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C04E71" w:rsidRPr="00CE549B" w:rsidRDefault="00C04E71" w:rsidP="00C04E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72"/>
          <w:u w:val="single"/>
        </w:rPr>
      </w:pPr>
      <w:r w:rsidRPr="00CE549B">
        <w:rPr>
          <w:b/>
          <w:sz w:val="72"/>
          <w:u w:val="single"/>
        </w:rPr>
        <w:t>Policy Outlines</w:t>
      </w:r>
      <w:r>
        <w:rPr>
          <w:b/>
          <w:sz w:val="72"/>
          <w:u w:val="single"/>
        </w:rPr>
        <w:t xml:space="preserve"> for Q3</w:t>
      </w:r>
      <w:r w:rsidRPr="00CE549B">
        <w:rPr>
          <w:b/>
          <w:sz w:val="72"/>
          <w:u w:val="single"/>
        </w:rPr>
        <w:t>:</w:t>
      </w:r>
    </w:p>
    <w:p w:rsidR="00C04E71" w:rsidRDefault="00EF45D8" w:rsidP="00C04E71">
      <w:pPr>
        <w:pStyle w:val="Heading2"/>
      </w:pPr>
      <w:r w:rsidRPr="00EF45D8">
        <w:rPr>
          <w:rFonts w:ascii="Calibri" w:hAnsi="Calibri"/>
          <w:noProof/>
          <w:sz w:val="22"/>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90pt;margin-top:23.25pt;width:298pt;height:44pt;z-index:251660288;mso-wrap-edited:f;mso-position-horizontal:absolute;mso-position-vertical:absolute" wrapcoords="4461 -1464 326 -366 -217 0 -217 20501 13112 21966 13275 24162 14091 24162 14309 21966 20403 21600 22198 20501 22252 10250 22089 6223 21872 4393 21763 366 19042 -1464 13329 -1464 4461 -1464" fillcolor="#eeece1" strokecolor="#1f497d" strokeweight="1.25pt">
            <v:shadow on="t" color="#d8d8d8" offset=",1pt" offset2=",-2pt"/>
            <v:textpath style="font-family:&quot;Calibri&quot;;font-weight:bold;v-text-kern:t" trim="t" fitpath="t" string="Medical Malpractice"/>
            <w10:wrap type="tight"/>
          </v:shape>
        </w:pict>
      </w:r>
    </w:p>
    <w:p w:rsidR="00C04E71" w:rsidRDefault="00C04E71" w:rsidP="00C04E71">
      <w:pPr>
        <w:pStyle w:val="Heading2"/>
      </w:pPr>
    </w:p>
    <w:p w:rsidR="00C04E71" w:rsidRPr="00637107" w:rsidRDefault="00C04E71" w:rsidP="00C04E71">
      <w:pPr>
        <w:rPr>
          <w:rFonts w:ascii="Calibri" w:hAnsi="Calibri"/>
          <w:sz w:val="22"/>
        </w:rPr>
      </w:pPr>
    </w:p>
    <w:p w:rsidR="00246A8D" w:rsidRPr="00246A8D" w:rsidRDefault="00C04E71" w:rsidP="00246A8D">
      <w:pPr>
        <w:pStyle w:val="ListParagraph"/>
        <w:numPr>
          <w:ilvl w:val="0"/>
          <w:numId w:val="5"/>
        </w:numPr>
        <w:rPr>
          <w:rFonts w:ascii="Calibri" w:hAnsi="Calibri"/>
          <w:b/>
          <w:i/>
          <w:sz w:val="22"/>
        </w:rPr>
      </w:pPr>
      <w:r w:rsidRPr="00637107">
        <w:rPr>
          <w:rFonts w:ascii="Calibri" w:hAnsi="Calibri"/>
          <w:b/>
          <w:sz w:val="22"/>
        </w:rPr>
        <w:t xml:space="preserve">Special Duties of Professionals (in </w:t>
      </w:r>
      <w:r w:rsidRPr="00246A8D">
        <w:rPr>
          <w:rFonts w:ascii="Calibri" w:hAnsi="Calibri"/>
          <w:b/>
          <w:sz w:val="22"/>
        </w:rPr>
        <w:t>General)</w:t>
      </w:r>
    </w:p>
    <w:p w:rsidR="00246A8D" w:rsidRPr="00246A8D" w:rsidRDefault="00246A8D" w:rsidP="00246A8D">
      <w:pPr>
        <w:pStyle w:val="ListParagraph"/>
        <w:numPr>
          <w:ilvl w:val="1"/>
          <w:numId w:val="5"/>
        </w:numPr>
        <w:rPr>
          <w:rFonts w:ascii="Calibri" w:hAnsi="Calibri"/>
          <w:b/>
          <w:i/>
          <w:sz w:val="22"/>
        </w:rPr>
      </w:pPr>
      <w:r w:rsidRPr="00246A8D">
        <w:rPr>
          <w:rFonts w:ascii="Calibri" w:hAnsi="Calibri"/>
          <w:b/>
          <w:sz w:val="22"/>
        </w:rPr>
        <w:t>Three broad professional duties:</w:t>
      </w:r>
    </w:p>
    <w:p w:rsidR="00246A8D" w:rsidRPr="00246A8D" w:rsidRDefault="00246A8D" w:rsidP="00246A8D">
      <w:pPr>
        <w:pStyle w:val="ListParagraph"/>
        <w:numPr>
          <w:ilvl w:val="2"/>
          <w:numId w:val="5"/>
        </w:numPr>
        <w:rPr>
          <w:rFonts w:ascii="Calibri" w:hAnsi="Calibri"/>
          <w:b/>
          <w:i/>
          <w:sz w:val="22"/>
        </w:rPr>
      </w:pPr>
      <w:r w:rsidRPr="00246A8D">
        <w:rPr>
          <w:rFonts w:ascii="Calibri" w:hAnsi="Calibri"/>
          <w:b/>
          <w:sz w:val="22"/>
          <w:u w:val="single"/>
        </w:rPr>
        <w:t>Knowledge and skills</w:t>
      </w:r>
      <w:r w:rsidRPr="00246A8D">
        <w:rPr>
          <w:rFonts w:ascii="Calibri" w:hAnsi="Calibri"/>
          <w:b/>
          <w:sz w:val="22"/>
        </w:rPr>
        <w:t xml:space="preserve"> ordinarily possessed by a professional who is similarly situated</w:t>
      </w:r>
    </w:p>
    <w:p w:rsidR="00246A8D" w:rsidRPr="00246A8D" w:rsidRDefault="00246A8D" w:rsidP="00246A8D">
      <w:pPr>
        <w:pStyle w:val="ListParagraph"/>
        <w:numPr>
          <w:ilvl w:val="2"/>
          <w:numId w:val="5"/>
        </w:numPr>
        <w:rPr>
          <w:rFonts w:ascii="Calibri" w:hAnsi="Calibri"/>
          <w:b/>
          <w:i/>
          <w:sz w:val="22"/>
        </w:rPr>
      </w:pPr>
      <w:r w:rsidRPr="00246A8D">
        <w:rPr>
          <w:rFonts w:ascii="Calibri" w:hAnsi="Calibri"/>
          <w:b/>
          <w:sz w:val="22"/>
        </w:rPr>
        <w:t xml:space="preserve">Make an </w:t>
      </w:r>
      <w:r w:rsidRPr="00246A8D">
        <w:rPr>
          <w:rFonts w:ascii="Calibri" w:hAnsi="Calibri"/>
          <w:b/>
          <w:sz w:val="22"/>
          <w:u w:val="single"/>
        </w:rPr>
        <w:t xml:space="preserve">honest good faith best judgment </w:t>
      </w:r>
      <w:r w:rsidRPr="00246A8D">
        <w:rPr>
          <w:rFonts w:ascii="Calibri" w:hAnsi="Calibri"/>
          <w:b/>
          <w:sz w:val="22"/>
        </w:rPr>
        <w:t>in the client’s interest</w:t>
      </w:r>
    </w:p>
    <w:p w:rsidR="00C04E71" w:rsidRPr="00246A8D" w:rsidRDefault="00246A8D" w:rsidP="00246A8D">
      <w:pPr>
        <w:pStyle w:val="ListParagraph"/>
        <w:numPr>
          <w:ilvl w:val="2"/>
          <w:numId w:val="5"/>
        </w:numPr>
        <w:rPr>
          <w:rFonts w:ascii="Calibri" w:hAnsi="Calibri"/>
          <w:b/>
          <w:i/>
          <w:sz w:val="22"/>
        </w:rPr>
      </w:pPr>
      <w:r w:rsidRPr="00246A8D">
        <w:rPr>
          <w:rFonts w:ascii="Calibri" w:hAnsi="Calibri"/>
          <w:b/>
          <w:sz w:val="22"/>
          <w:u w:val="single"/>
        </w:rPr>
        <w:t xml:space="preserve">Actually exercise reasonably </w:t>
      </w:r>
      <w:r w:rsidRPr="00246A8D">
        <w:rPr>
          <w:rFonts w:ascii="Calibri" w:hAnsi="Calibri"/>
          <w:b/>
          <w:sz w:val="22"/>
        </w:rPr>
        <w:t>and with due diligence this special skill and knowledge that you have as a professional to treat or respond to the clients need</w:t>
      </w:r>
    </w:p>
    <w:p w:rsidR="00246A8D" w:rsidRPr="00246A8D" w:rsidRDefault="00246A8D" w:rsidP="00246A8D">
      <w:pPr>
        <w:pStyle w:val="ListParagraph"/>
        <w:numPr>
          <w:ilvl w:val="1"/>
          <w:numId w:val="5"/>
        </w:numPr>
        <w:rPr>
          <w:rFonts w:ascii="Calibri" w:hAnsi="Calibri"/>
          <w:i/>
          <w:sz w:val="22"/>
        </w:rPr>
      </w:pPr>
      <w:r w:rsidRPr="00246A8D">
        <w:rPr>
          <w:rFonts w:ascii="Calibri" w:hAnsi="Calibri"/>
          <w:sz w:val="22"/>
        </w:rPr>
        <w:t>W</w:t>
      </w:r>
      <w:r w:rsidR="00C04E71" w:rsidRPr="00246A8D">
        <w:rPr>
          <w:rFonts w:ascii="Calibri" w:hAnsi="Calibri"/>
          <w:sz w:val="22"/>
        </w:rPr>
        <w:t>ho is a professional</w:t>
      </w:r>
    </w:p>
    <w:p w:rsidR="00246A8D" w:rsidRPr="00246A8D" w:rsidRDefault="00246A8D" w:rsidP="00246A8D">
      <w:pPr>
        <w:pStyle w:val="ListParagraph"/>
        <w:numPr>
          <w:ilvl w:val="2"/>
          <w:numId w:val="5"/>
        </w:numPr>
        <w:rPr>
          <w:rFonts w:ascii="Calibri" w:hAnsi="Calibri"/>
          <w:i/>
          <w:sz w:val="22"/>
        </w:rPr>
      </w:pPr>
      <w:r w:rsidRPr="00246A8D">
        <w:rPr>
          <w:rFonts w:ascii="Calibri" w:hAnsi="Calibri"/>
          <w:sz w:val="22"/>
        </w:rPr>
        <w:t>Licensed professionals (doctors, lawyers, nurses, pharmacists, architects, engineer, clergy…)</w:t>
      </w:r>
    </w:p>
    <w:p w:rsidR="00C04E71" w:rsidRPr="00246A8D" w:rsidRDefault="00246A8D" w:rsidP="00246A8D">
      <w:pPr>
        <w:pStyle w:val="ListParagraph"/>
        <w:numPr>
          <w:ilvl w:val="2"/>
          <w:numId w:val="5"/>
        </w:numPr>
        <w:rPr>
          <w:rFonts w:ascii="Calibri" w:hAnsi="Calibri"/>
          <w:i/>
          <w:sz w:val="22"/>
        </w:rPr>
      </w:pPr>
      <w:r w:rsidRPr="00246A8D">
        <w:rPr>
          <w:rFonts w:ascii="Calibri" w:hAnsi="Calibri"/>
          <w:sz w:val="22"/>
        </w:rPr>
        <w:t>P</w:t>
      </w:r>
      <w:r w:rsidR="00C04E71" w:rsidRPr="00246A8D">
        <w:rPr>
          <w:rFonts w:ascii="Calibri" w:hAnsi="Calibri"/>
          <w:sz w:val="22"/>
        </w:rPr>
        <w:t xml:space="preserve">art of </w:t>
      </w:r>
      <w:r w:rsidRPr="00246A8D">
        <w:rPr>
          <w:rFonts w:ascii="Calibri" w:hAnsi="Calibri"/>
          <w:sz w:val="22"/>
        </w:rPr>
        <w:t xml:space="preserve">judging </w:t>
      </w:r>
      <w:r w:rsidR="00C04E71" w:rsidRPr="00246A8D">
        <w:rPr>
          <w:rFonts w:ascii="Calibri" w:hAnsi="Calibri"/>
          <w:sz w:val="22"/>
        </w:rPr>
        <w:t>is the professional’s representation that they have certain skills</w:t>
      </w:r>
    </w:p>
    <w:p w:rsidR="00C04E71" w:rsidRPr="00246A8D" w:rsidRDefault="00C04E71" w:rsidP="00246A8D">
      <w:pPr>
        <w:pStyle w:val="ListParagraph"/>
        <w:numPr>
          <w:ilvl w:val="1"/>
          <w:numId w:val="5"/>
        </w:numPr>
        <w:rPr>
          <w:rFonts w:ascii="Calibri" w:hAnsi="Calibri"/>
          <w:i/>
          <w:sz w:val="22"/>
        </w:rPr>
      </w:pPr>
      <w:r w:rsidRPr="00246A8D">
        <w:rPr>
          <w:rFonts w:ascii="Calibri" w:hAnsi="Calibri"/>
          <w:sz w:val="22"/>
        </w:rPr>
        <w:t xml:space="preserve">Why don’t you sue the professional for breach of contract? </w:t>
      </w:r>
    </w:p>
    <w:p w:rsidR="00C04E71" w:rsidRPr="00246A8D" w:rsidRDefault="00246A8D" w:rsidP="00246A8D">
      <w:pPr>
        <w:pStyle w:val="ListParagraph"/>
        <w:numPr>
          <w:ilvl w:val="2"/>
          <w:numId w:val="5"/>
        </w:numPr>
        <w:rPr>
          <w:rFonts w:ascii="Calibri" w:hAnsi="Calibri"/>
          <w:i/>
          <w:sz w:val="22"/>
        </w:rPr>
      </w:pPr>
      <w:r w:rsidRPr="00246A8D">
        <w:rPr>
          <w:rFonts w:ascii="Calibri" w:hAnsi="Calibri"/>
          <w:sz w:val="22"/>
        </w:rPr>
        <w:t>Can’t get non-</w:t>
      </w:r>
      <w:r w:rsidR="00C04E71" w:rsidRPr="00246A8D">
        <w:rPr>
          <w:rFonts w:ascii="Calibri" w:hAnsi="Calibri"/>
          <w:sz w:val="22"/>
        </w:rPr>
        <w:t>economic damages, probably not even consequent economic damages.</w:t>
      </w:r>
    </w:p>
    <w:p w:rsidR="00C04E71" w:rsidRPr="00246A8D" w:rsidRDefault="00C04E71" w:rsidP="00246A8D">
      <w:pPr>
        <w:pStyle w:val="ListParagraph"/>
        <w:numPr>
          <w:ilvl w:val="2"/>
          <w:numId w:val="5"/>
        </w:numPr>
        <w:rPr>
          <w:rFonts w:ascii="Calibri" w:hAnsi="Calibri"/>
          <w:i/>
          <w:sz w:val="22"/>
        </w:rPr>
      </w:pPr>
      <w:r w:rsidRPr="00246A8D">
        <w:rPr>
          <w:rFonts w:ascii="Calibri" w:hAnsi="Calibri"/>
          <w:sz w:val="22"/>
        </w:rPr>
        <w:t>Its all about money and how much you can be compensated.</w:t>
      </w:r>
    </w:p>
    <w:p w:rsidR="00C04E71" w:rsidRPr="00246A8D" w:rsidRDefault="00C04E71" w:rsidP="00C04E71">
      <w:pPr>
        <w:rPr>
          <w:rFonts w:ascii="Calibri" w:hAnsi="Calibri"/>
          <w:sz w:val="22"/>
        </w:rPr>
      </w:pPr>
    </w:p>
    <w:p w:rsidR="00C04E71" w:rsidRPr="00246A8D" w:rsidRDefault="00246A8D" w:rsidP="00246A8D">
      <w:pPr>
        <w:rPr>
          <w:rFonts w:ascii="Calibri" w:hAnsi="Calibri"/>
          <w:b/>
          <w:i/>
          <w:sz w:val="22"/>
          <w:u w:val="single"/>
        </w:rPr>
      </w:pPr>
      <w:r>
        <w:rPr>
          <w:rFonts w:ascii="Calibri" w:hAnsi="Calibri"/>
          <w:b/>
          <w:sz w:val="22"/>
          <w:u w:val="single"/>
        </w:rPr>
        <w:t xml:space="preserve">*** </w:t>
      </w:r>
      <w:r w:rsidR="00C04E71" w:rsidRPr="00246A8D">
        <w:rPr>
          <w:rFonts w:ascii="Calibri" w:hAnsi="Calibri"/>
          <w:b/>
          <w:sz w:val="22"/>
          <w:u w:val="single"/>
        </w:rPr>
        <w:t>MEDICAL MALPRACTICE</w:t>
      </w:r>
      <w:r>
        <w:rPr>
          <w:rFonts w:ascii="Calibri" w:hAnsi="Calibri"/>
          <w:b/>
          <w:sz w:val="22"/>
          <w:u w:val="single"/>
        </w:rPr>
        <w:t xml:space="preserve"> - GENERALLY***</w:t>
      </w:r>
    </w:p>
    <w:p w:rsidR="00C04E71" w:rsidRPr="00246A8D" w:rsidRDefault="00C04E71" w:rsidP="00246A8D">
      <w:pPr>
        <w:pStyle w:val="ListParagraph"/>
        <w:numPr>
          <w:ilvl w:val="0"/>
          <w:numId w:val="7"/>
        </w:numPr>
        <w:rPr>
          <w:rFonts w:ascii="Calibri" w:hAnsi="Calibri"/>
          <w:b/>
          <w:i/>
          <w:sz w:val="22"/>
        </w:rPr>
      </w:pPr>
      <w:r w:rsidRPr="00246A8D">
        <w:rPr>
          <w:rFonts w:ascii="Calibri" w:hAnsi="Calibri"/>
          <w:b/>
          <w:sz w:val="22"/>
        </w:rPr>
        <w:t>Doctors from all schools of medicine set their own standard of care:</w:t>
      </w:r>
    </w:p>
    <w:p w:rsidR="00C04E71" w:rsidRPr="00246A8D" w:rsidRDefault="00C04E71" w:rsidP="00246A8D">
      <w:pPr>
        <w:pStyle w:val="ListParagraph"/>
        <w:numPr>
          <w:ilvl w:val="1"/>
          <w:numId w:val="7"/>
        </w:numPr>
        <w:rPr>
          <w:rFonts w:ascii="Calibri" w:hAnsi="Calibri"/>
          <w:b/>
          <w:i/>
          <w:sz w:val="22"/>
        </w:rPr>
      </w:pPr>
      <w:r w:rsidRPr="00246A8D">
        <w:rPr>
          <w:rFonts w:ascii="Calibri" w:hAnsi="Calibri"/>
          <w:sz w:val="22"/>
        </w:rPr>
        <w:t>Industry custom – “standard” is conclusive in medicine, is set by the professionals themselves</w:t>
      </w:r>
    </w:p>
    <w:p w:rsidR="00C04E71" w:rsidRPr="00246A8D" w:rsidRDefault="00C04E71" w:rsidP="00246A8D">
      <w:pPr>
        <w:pStyle w:val="ListParagraph"/>
        <w:numPr>
          <w:ilvl w:val="1"/>
          <w:numId w:val="7"/>
        </w:numPr>
        <w:rPr>
          <w:rFonts w:ascii="Calibri" w:hAnsi="Calibri"/>
          <w:b/>
          <w:i/>
          <w:sz w:val="22"/>
        </w:rPr>
      </w:pPr>
      <w:r w:rsidRPr="00246A8D">
        <w:rPr>
          <w:rFonts w:ascii="Calibri" w:hAnsi="Calibri"/>
          <w:sz w:val="22"/>
        </w:rPr>
        <w:t>Only they know what professional care involves</w:t>
      </w:r>
    </w:p>
    <w:p w:rsidR="00246A8D" w:rsidRPr="00246A8D" w:rsidRDefault="00C04E71" w:rsidP="00246A8D">
      <w:pPr>
        <w:pStyle w:val="ListParagraph"/>
        <w:numPr>
          <w:ilvl w:val="0"/>
          <w:numId w:val="7"/>
        </w:numPr>
        <w:rPr>
          <w:rFonts w:ascii="Calibri" w:hAnsi="Calibri"/>
          <w:b/>
          <w:i/>
          <w:sz w:val="22"/>
        </w:rPr>
      </w:pPr>
      <w:r w:rsidRPr="00246A8D">
        <w:rPr>
          <w:rFonts w:ascii="Calibri" w:hAnsi="Calibri"/>
          <w:b/>
          <w:sz w:val="22"/>
        </w:rPr>
        <w:t>Which doctors set the standard of care (who is eligible to testify about the standard):</w:t>
      </w:r>
    </w:p>
    <w:p w:rsidR="00C04E71" w:rsidRPr="00246A8D" w:rsidRDefault="00246A8D" w:rsidP="00246A8D">
      <w:pPr>
        <w:pStyle w:val="ListParagraph"/>
        <w:numPr>
          <w:ilvl w:val="1"/>
          <w:numId w:val="7"/>
        </w:numPr>
        <w:rPr>
          <w:rFonts w:ascii="Calibri" w:hAnsi="Calibri"/>
          <w:b/>
          <w:i/>
          <w:sz w:val="22"/>
        </w:rPr>
      </w:pPr>
      <w:r w:rsidRPr="00246A8D">
        <w:rPr>
          <w:rFonts w:ascii="Calibri" w:hAnsi="Calibri"/>
          <w:sz w:val="22"/>
        </w:rPr>
        <w:t>The standard of care and how crucial it is, and how it comes from the medical community.</w:t>
      </w:r>
    </w:p>
    <w:p w:rsidR="00C04E71" w:rsidRPr="00246A8D" w:rsidRDefault="00C04E71" w:rsidP="00246A8D">
      <w:pPr>
        <w:pStyle w:val="ListParagraph"/>
        <w:numPr>
          <w:ilvl w:val="1"/>
          <w:numId w:val="7"/>
        </w:numPr>
        <w:rPr>
          <w:rFonts w:ascii="Calibri" w:hAnsi="Calibri"/>
          <w:b/>
          <w:i/>
          <w:sz w:val="22"/>
        </w:rPr>
      </w:pPr>
      <w:r w:rsidRPr="00246A8D">
        <w:rPr>
          <w:rFonts w:ascii="Calibri" w:hAnsi="Calibri"/>
          <w:sz w:val="22"/>
        </w:rPr>
        <w:t>Traditionally, you had to have a doctor from that locality testify as to the standard of care.</w:t>
      </w:r>
    </w:p>
    <w:p w:rsidR="00C04E71" w:rsidRPr="00246A8D" w:rsidRDefault="00C04E71" w:rsidP="00246A8D">
      <w:pPr>
        <w:pStyle w:val="ListParagraph"/>
        <w:numPr>
          <w:ilvl w:val="2"/>
          <w:numId w:val="7"/>
        </w:numPr>
        <w:rPr>
          <w:rFonts w:ascii="Calibri" w:hAnsi="Calibri"/>
          <w:b/>
          <w:i/>
          <w:sz w:val="22"/>
        </w:rPr>
      </w:pPr>
      <w:r w:rsidRPr="00246A8D">
        <w:rPr>
          <w:rFonts w:ascii="Calibri" w:hAnsi="Calibri"/>
          <w:sz w:val="22"/>
        </w:rPr>
        <w:t>Because people like to protect their peers, sometimes its difficult for someone who claims med mal to find a doctor in the local community to testify</w:t>
      </w:r>
    </w:p>
    <w:p w:rsidR="00C04E71" w:rsidRPr="00637107" w:rsidRDefault="00C04E71" w:rsidP="00246A8D">
      <w:pPr>
        <w:pStyle w:val="ListParagraph"/>
        <w:numPr>
          <w:ilvl w:val="1"/>
          <w:numId w:val="7"/>
        </w:numPr>
        <w:rPr>
          <w:rFonts w:ascii="Calibri" w:hAnsi="Calibri"/>
          <w:b/>
          <w:i/>
          <w:sz w:val="22"/>
        </w:rPr>
      </w:pPr>
      <w:r w:rsidRPr="00246A8D">
        <w:rPr>
          <w:rFonts w:ascii="Calibri" w:hAnsi="Calibri"/>
          <w:sz w:val="22"/>
        </w:rPr>
        <w:t xml:space="preserve">Many localities have abandoned </w:t>
      </w:r>
      <w:r w:rsidRPr="00246A8D">
        <w:rPr>
          <w:rFonts w:ascii="Calibri" w:hAnsi="Calibri"/>
          <w:b/>
          <w:sz w:val="22"/>
        </w:rPr>
        <w:t xml:space="preserve">specific locality rule </w:t>
      </w:r>
      <w:r w:rsidRPr="00246A8D">
        <w:rPr>
          <w:rFonts w:ascii="Calibri" w:hAnsi="Calibri"/>
          <w:sz w:val="22"/>
        </w:rPr>
        <w:t>and</w:t>
      </w:r>
      <w:r w:rsidRPr="00637107">
        <w:rPr>
          <w:rFonts w:ascii="Calibri" w:hAnsi="Calibri"/>
          <w:sz w:val="22"/>
        </w:rPr>
        <w:t xml:space="preserve"> now use </w:t>
      </w:r>
      <w:r w:rsidRPr="00637107">
        <w:rPr>
          <w:rFonts w:ascii="Calibri" w:hAnsi="Calibri"/>
          <w:b/>
          <w:sz w:val="22"/>
        </w:rPr>
        <w:t>modified locality rule</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 xml:space="preserve">Not necessarily from the local community but from </w:t>
      </w:r>
      <w:r w:rsidR="00246A8D">
        <w:rPr>
          <w:rFonts w:ascii="Calibri" w:hAnsi="Calibri"/>
          <w:sz w:val="22"/>
        </w:rPr>
        <w:t>“</w:t>
      </w:r>
      <w:r w:rsidRPr="00637107">
        <w:rPr>
          <w:rFonts w:ascii="Calibri" w:hAnsi="Calibri"/>
          <w:sz w:val="22"/>
        </w:rPr>
        <w:t>a similar community</w:t>
      </w:r>
      <w:r w:rsidR="00246A8D">
        <w:rPr>
          <w:rFonts w:ascii="Calibri" w:hAnsi="Calibri"/>
          <w:sz w:val="22"/>
        </w:rPr>
        <w:t>”</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Sometimes a statewide standard</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Often a national standard for specialists</w:t>
      </w:r>
    </w:p>
    <w:p w:rsidR="00C04E71" w:rsidRPr="00637107" w:rsidRDefault="00C04E71" w:rsidP="00246A8D">
      <w:pPr>
        <w:pStyle w:val="ListParagraph"/>
        <w:numPr>
          <w:ilvl w:val="0"/>
          <w:numId w:val="7"/>
        </w:numPr>
        <w:rPr>
          <w:rFonts w:ascii="Calibri" w:hAnsi="Calibri"/>
          <w:b/>
          <w:i/>
          <w:sz w:val="22"/>
        </w:rPr>
      </w:pPr>
      <w:r w:rsidRPr="00637107">
        <w:rPr>
          <w:rFonts w:ascii="Calibri" w:hAnsi="Calibri"/>
          <w:b/>
          <w:sz w:val="22"/>
        </w:rPr>
        <w:t>Since the Plaintiff has to present evidence of the standard of care, most med mal cases turn on expert testimony</w:t>
      </w:r>
    </w:p>
    <w:p w:rsidR="00C04E71" w:rsidRPr="00246A8D" w:rsidRDefault="00C04E71" w:rsidP="00246A8D">
      <w:pPr>
        <w:pStyle w:val="ListParagraph"/>
        <w:numPr>
          <w:ilvl w:val="1"/>
          <w:numId w:val="7"/>
        </w:numPr>
        <w:rPr>
          <w:rFonts w:ascii="Calibri" w:hAnsi="Calibri"/>
          <w:b/>
          <w:i/>
          <w:sz w:val="22"/>
        </w:rPr>
      </w:pPr>
      <w:r w:rsidRPr="00637107">
        <w:rPr>
          <w:rFonts w:ascii="Calibri" w:hAnsi="Calibri"/>
          <w:sz w:val="22"/>
        </w:rPr>
        <w:t>Exceptions to the battles of experts</w:t>
      </w:r>
    </w:p>
    <w:p w:rsidR="00C04E71" w:rsidRPr="00637107" w:rsidRDefault="00C04E71" w:rsidP="00246A8D">
      <w:pPr>
        <w:pStyle w:val="ListParagraph"/>
        <w:numPr>
          <w:ilvl w:val="1"/>
          <w:numId w:val="7"/>
        </w:numPr>
        <w:rPr>
          <w:rFonts w:ascii="Calibri" w:hAnsi="Calibri"/>
          <w:b/>
          <w:i/>
          <w:sz w:val="22"/>
        </w:rPr>
      </w:pPr>
      <w:r w:rsidRPr="00637107">
        <w:rPr>
          <w:rFonts w:ascii="Calibri" w:hAnsi="Calibri"/>
          <w:sz w:val="22"/>
        </w:rPr>
        <w:t xml:space="preserve">Expert needed on: </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Standard of care</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Cause in fact</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Medical records are also key (need someone experienced to understand the medical records)</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Research – what medical research is out there on a particular issue</w:t>
      </w:r>
    </w:p>
    <w:p w:rsidR="00C04E71" w:rsidRPr="00637107" w:rsidRDefault="00C04E71" w:rsidP="00246A8D">
      <w:pPr>
        <w:pStyle w:val="ListParagraph"/>
        <w:numPr>
          <w:ilvl w:val="1"/>
          <w:numId w:val="7"/>
        </w:numPr>
        <w:rPr>
          <w:rFonts w:ascii="Calibri" w:hAnsi="Calibri"/>
          <w:b/>
          <w:i/>
          <w:sz w:val="22"/>
        </w:rPr>
      </w:pPr>
      <w:r w:rsidRPr="00637107">
        <w:rPr>
          <w:rFonts w:ascii="Calibri" w:hAnsi="Calibri"/>
          <w:sz w:val="22"/>
        </w:rPr>
        <w:t>What do</w:t>
      </w:r>
      <w:r w:rsidR="00246A8D">
        <w:rPr>
          <w:rFonts w:ascii="Calibri" w:hAnsi="Calibri"/>
          <w:sz w:val="22"/>
        </w:rPr>
        <w:t>es</w:t>
      </w:r>
      <w:r w:rsidRPr="00637107">
        <w:rPr>
          <w:rFonts w:ascii="Calibri" w:hAnsi="Calibri"/>
          <w:sz w:val="22"/>
        </w:rPr>
        <w:t xml:space="preserve"> the expert</w:t>
      </w:r>
      <w:r w:rsidR="00246A8D">
        <w:rPr>
          <w:rFonts w:ascii="Calibri" w:hAnsi="Calibri"/>
          <w:sz w:val="22"/>
        </w:rPr>
        <w:t xml:space="preserve"> need</w:t>
      </w:r>
      <w:r w:rsidRPr="00637107">
        <w:rPr>
          <w:rFonts w:ascii="Calibri" w:hAnsi="Calibri"/>
          <w:sz w:val="22"/>
        </w:rPr>
        <w:t>?</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Credentials – Foundation (has the expert knowledge)</w:t>
      </w:r>
    </w:p>
    <w:p w:rsidR="00C04E71" w:rsidRPr="00637107" w:rsidRDefault="00C04E71" w:rsidP="00246A8D">
      <w:pPr>
        <w:pStyle w:val="ListParagraph"/>
        <w:numPr>
          <w:ilvl w:val="3"/>
          <w:numId w:val="7"/>
        </w:numPr>
        <w:rPr>
          <w:rFonts w:ascii="Calibri" w:hAnsi="Calibri"/>
          <w:b/>
          <w:i/>
          <w:sz w:val="22"/>
        </w:rPr>
      </w:pPr>
      <w:r w:rsidRPr="00637107">
        <w:rPr>
          <w:rFonts w:ascii="Calibri" w:hAnsi="Calibri"/>
          <w:sz w:val="22"/>
        </w:rPr>
        <w:t>Proper credential/paperwork/certification</w:t>
      </w:r>
    </w:p>
    <w:p w:rsidR="00C04E71" w:rsidRPr="00637107" w:rsidRDefault="00C04E71" w:rsidP="00246A8D">
      <w:pPr>
        <w:pStyle w:val="ListParagraph"/>
        <w:numPr>
          <w:ilvl w:val="3"/>
          <w:numId w:val="7"/>
        </w:numPr>
        <w:rPr>
          <w:rFonts w:ascii="Calibri" w:hAnsi="Calibri"/>
          <w:b/>
          <w:i/>
          <w:sz w:val="22"/>
        </w:rPr>
      </w:pPr>
      <w:r w:rsidRPr="00637107">
        <w:rPr>
          <w:rFonts w:ascii="Calibri" w:hAnsi="Calibri"/>
          <w:sz w:val="22"/>
        </w:rPr>
        <w:t>Proper knowledge of the case – particular issue</w:t>
      </w:r>
    </w:p>
    <w:p w:rsidR="00C04E71" w:rsidRPr="00637107" w:rsidRDefault="00C04E71" w:rsidP="00246A8D">
      <w:pPr>
        <w:pStyle w:val="ListParagraph"/>
        <w:ind w:left="2160"/>
        <w:rPr>
          <w:rFonts w:ascii="Calibri" w:hAnsi="Calibri"/>
          <w:b/>
          <w:i/>
          <w:sz w:val="22"/>
        </w:rPr>
      </w:pPr>
    </w:p>
    <w:p w:rsidR="00C04E71" w:rsidRPr="00637107" w:rsidRDefault="00C04E71" w:rsidP="00246A8D">
      <w:pPr>
        <w:pStyle w:val="ListParagraph"/>
        <w:numPr>
          <w:ilvl w:val="0"/>
          <w:numId w:val="7"/>
        </w:numPr>
        <w:rPr>
          <w:rFonts w:ascii="Calibri" w:hAnsi="Calibri"/>
          <w:b/>
          <w:i/>
          <w:sz w:val="22"/>
        </w:rPr>
      </w:pPr>
      <w:r w:rsidRPr="00637107">
        <w:rPr>
          <w:rFonts w:ascii="Calibri" w:hAnsi="Calibri"/>
          <w:sz w:val="22"/>
        </w:rPr>
        <w:t>Medical treatment is deemed to be a battery unless it’s consented to</w:t>
      </w:r>
    </w:p>
    <w:p w:rsidR="00C04E71" w:rsidRPr="00637107" w:rsidRDefault="00C04E71" w:rsidP="00246A8D">
      <w:pPr>
        <w:pStyle w:val="ListParagraph"/>
        <w:numPr>
          <w:ilvl w:val="1"/>
          <w:numId w:val="7"/>
        </w:numPr>
        <w:rPr>
          <w:rFonts w:ascii="Calibri" w:hAnsi="Calibri"/>
          <w:b/>
          <w:i/>
          <w:sz w:val="22"/>
        </w:rPr>
      </w:pPr>
      <w:r w:rsidRPr="00246A8D">
        <w:rPr>
          <w:rFonts w:ascii="Calibri" w:hAnsi="Calibri"/>
          <w:i/>
          <w:sz w:val="22"/>
          <w:u w:val="single"/>
        </w:rPr>
        <w:t>Fraud</w:t>
      </w:r>
      <w:r w:rsidRPr="00637107">
        <w:rPr>
          <w:rFonts w:ascii="Calibri" w:hAnsi="Calibri"/>
          <w:i/>
          <w:sz w:val="22"/>
        </w:rPr>
        <w:t xml:space="preserve"> </w:t>
      </w:r>
      <w:r w:rsidRPr="00637107">
        <w:rPr>
          <w:rFonts w:ascii="Calibri" w:hAnsi="Calibri"/>
          <w:sz w:val="22"/>
        </w:rPr>
        <w:t>Invalid consent in battery compare</w:t>
      </w:r>
      <w:r w:rsidR="00246A8D">
        <w:rPr>
          <w:rFonts w:ascii="Calibri" w:hAnsi="Calibri"/>
          <w:sz w:val="22"/>
        </w:rPr>
        <w:t>s</w:t>
      </w:r>
      <w:r w:rsidRPr="00637107">
        <w:rPr>
          <w:rFonts w:ascii="Calibri" w:hAnsi="Calibri"/>
          <w:sz w:val="22"/>
        </w:rPr>
        <w:t xml:space="preserve"> to consent without enough information in medical treatment</w:t>
      </w:r>
    </w:p>
    <w:p w:rsidR="00C04E71" w:rsidRPr="00637107" w:rsidRDefault="00C04E71" w:rsidP="00246A8D">
      <w:pPr>
        <w:pStyle w:val="ListParagraph"/>
        <w:numPr>
          <w:ilvl w:val="1"/>
          <w:numId w:val="7"/>
        </w:numPr>
        <w:rPr>
          <w:rFonts w:ascii="Calibri" w:hAnsi="Calibri"/>
          <w:b/>
          <w:i/>
          <w:sz w:val="22"/>
        </w:rPr>
      </w:pPr>
      <w:r w:rsidRPr="00246A8D">
        <w:rPr>
          <w:rFonts w:ascii="Calibri" w:hAnsi="Calibri"/>
          <w:i/>
          <w:sz w:val="22"/>
          <w:u w:val="single"/>
        </w:rPr>
        <w:t xml:space="preserve">Misrepresentation </w:t>
      </w:r>
      <w:r w:rsidRPr="00637107">
        <w:rPr>
          <w:rFonts w:ascii="Calibri" w:hAnsi="Calibri"/>
          <w:sz w:val="22"/>
        </w:rPr>
        <w:t>of facts to get consent can nullify consent and then the touching involved in the treatments are batteries. Consent can also be invalid if it occurs before age of majority, if given when intoxicated or mentally incapacitated.</w:t>
      </w:r>
    </w:p>
    <w:p w:rsidR="00C04E71" w:rsidRPr="00637107" w:rsidRDefault="00C04E71" w:rsidP="00246A8D">
      <w:pPr>
        <w:pStyle w:val="ListParagraph"/>
        <w:numPr>
          <w:ilvl w:val="1"/>
          <w:numId w:val="7"/>
        </w:numPr>
        <w:rPr>
          <w:rFonts w:ascii="Calibri" w:hAnsi="Calibri"/>
          <w:b/>
          <w:i/>
          <w:sz w:val="22"/>
        </w:rPr>
      </w:pPr>
      <w:r w:rsidRPr="00246A8D">
        <w:rPr>
          <w:rFonts w:ascii="Calibri" w:hAnsi="Calibri"/>
          <w:i/>
          <w:sz w:val="22"/>
          <w:u w:val="single"/>
        </w:rPr>
        <w:t>Exceeding scope of consent</w:t>
      </w:r>
      <w:r w:rsidRPr="00246A8D">
        <w:rPr>
          <w:rFonts w:ascii="Calibri" w:hAnsi="Calibri"/>
          <w:sz w:val="22"/>
          <w:u w:val="single"/>
        </w:rPr>
        <w:t xml:space="preserve"> </w:t>
      </w:r>
      <w:r w:rsidRPr="00637107">
        <w:rPr>
          <w:rFonts w:ascii="Calibri" w:hAnsi="Calibri"/>
          <w:sz w:val="22"/>
        </w:rPr>
        <w:t xml:space="preserve">if I consent to hip replacement on the right hip and they operate on my left hip that clearly exceeds the consent I gave. That's a battery case. </w:t>
      </w:r>
    </w:p>
    <w:p w:rsidR="00C04E71" w:rsidRPr="00246A8D" w:rsidRDefault="00C04E71" w:rsidP="00246A8D">
      <w:pPr>
        <w:pStyle w:val="ListParagraph"/>
        <w:numPr>
          <w:ilvl w:val="2"/>
          <w:numId w:val="7"/>
        </w:numPr>
        <w:rPr>
          <w:rFonts w:ascii="Calibri" w:hAnsi="Calibri"/>
          <w:b/>
          <w:i/>
          <w:sz w:val="20"/>
        </w:rPr>
      </w:pPr>
      <w:r w:rsidRPr="00246A8D">
        <w:rPr>
          <w:rFonts w:ascii="Calibri" w:hAnsi="Calibri"/>
          <w:sz w:val="20"/>
        </w:rPr>
        <w:t>Performing a surgical procedure by a physician without the patient’s consent is professional misconduct, including a physician’s failure to divulge in a reasonable manner sufficient information to enable the patient to make an informed judgment of whether to give or withhold consent.</w:t>
      </w:r>
      <w:r w:rsidRPr="00246A8D">
        <w:rPr>
          <w:rFonts w:ascii="Calibri" w:hAnsi="Calibri"/>
          <w:sz w:val="20"/>
        </w:rPr>
        <w:br/>
      </w:r>
    </w:p>
    <w:p w:rsidR="00C04E71" w:rsidRPr="00246A8D" w:rsidRDefault="00C04E71" w:rsidP="00246A8D">
      <w:pPr>
        <w:pStyle w:val="ListParagraph"/>
        <w:numPr>
          <w:ilvl w:val="0"/>
          <w:numId w:val="7"/>
        </w:numPr>
        <w:rPr>
          <w:rFonts w:ascii="Calibri" w:hAnsi="Calibri"/>
          <w:b/>
          <w:i/>
          <w:sz w:val="22"/>
        </w:rPr>
      </w:pPr>
      <w:r w:rsidRPr="00637107">
        <w:rPr>
          <w:rFonts w:ascii="Calibri" w:hAnsi="Calibri"/>
          <w:b/>
          <w:i/>
          <w:sz w:val="22"/>
        </w:rPr>
        <w:t xml:space="preserve">Melville v. Southward </w:t>
      </w:r>
      <w:r w:rsidR="00246A8D">
        <w:rPr>
          <w:rFonts w:ascii="Calibri" w:hAnsi="Calibri"/>
          <w:b/>
          <w:i/>
          <w:sz w:val="22"/>
        </w:rPr>
        <w:t xml:space="preserve"> </w:t>
      </w:r>
      <w:r w:rsidR="00246A8D">
        <w:rPr>
          <w:rFonts w:ascii="Calibri" w:hAnsi="Calibri"/>
          <w:sz w:val="22"/>
        </w:rPr>
        <w:t xml:space="preserve">P </w:t>
      </w:r>
      <w:r w:rsidRPr="00246A8D">
        <w:rPr>
          <w:rFonts w:ascii="Calibri" w:hAnsi="Calibri"/>
          <w:sz w:val="22"/>
        </w:rPr>
        <w:t xml:space="preserve">went to Podiatrist in for an ingrown toenail, podiatrist recommended </w:t>
      </w:r>
      <w:r w:rsidR="00246A8D">
        <w:rPr>
          <w:rFonts w:ascii="Calibri" w:hAnsi="Calibri"/>
          <w:sz w:val="22"/>
        </w:rPr>
        <w:t xml:space="preserve">foot </w:t>
      </w:r>
      <w:r w:rsidRPr="00246A8D">
        <w:rPr>
          <w:rFonts w:ascii="Calibri" w:hAnsi="Calibri"/>
          <w:sz w:val="22"/>
        </w:rPr>
        <w:t xml:space="preserve">surgery for </w:t>
      </w:r>
      <w:r w:rsidR="00246A8D">
        <w:rPr>
          <w:rFonts w:ascii="Calibri" w:hAnsi="Calibri"/>
          <w:sz w:val="22"/>
        </w:rPr>
        <w:t xml:space="preserve">which </w:t>
      </w:r>
      <w:r w:rsidRPr="00246A8D">
        <w:rPr>
          <w:rFonts w:ascii="Calibri" w:hAnsi="Calibri"/>
          <w:sz w:val="22"/>
        </w:rPr>
        <w:t>resu</w:t>
      </w:r>
      <w:r w:rsidR="00246A8D">
        <w:rPr>
          <w:rFonts w:ascii="Calibri" w:hAnsi="Calibri"/>
          <w:sz w:val="22"/>
        </w:rPr>
        <w:t>lted in a permanent foot injury.</w:t>
      </w:r>
      <w:r w:rsidRPr="00246A8D">
        <w:rPr>
          <w:rFonts w:ascii="Calibri" w:hAnsi="Calibri"/>
          <w:sz w:val="22"/>
        </w:rPr>
        <w:t xml:space="preserve"> </w:t>
      </w:r>
      <w:r w:rsidR="00246A8D">
        <w:rPr>
          <w:rFonts w:ascii="Calibri" w:hAnsi="Calibri"/>
          <w:sz w:val="22"/>
        </w:rPr>
        <w:t xml:space="preserve">P </w:t>
      </w:r>
      <w:r w:rsidRPr="00246A8D">
        <w:rPr>
          <w:rFonts w:ascii="Calibri" w:hAnsi="Calibri"/>
          <w:sz w:val="22"/>
        </w:rPr>
        <w:t>sued for malpractice</w:t>
      </w:r>
      <w:r w:rsidR="00246A8D">
        <w:rPr>
          <w:rFonts w:ascii="Calibri" w:hAnsi="Calibri"/>
          <w:sz w:val="22"/>
        </w:rPr>
        <w:t xml:space="preserve">, </w:t>
      </w:r>
      <w:r w:rsidRPr="00246A8D">
        <w:rPr>
          <w:rFonts w:ascii="Calibri" w:hAnsi="Calibri"/>
          <w:sz w:val="22"/>
        </w:rPr>
        <w:t xml:space="preserve">Orthopedic surgeon testified as an expert that the podiatrist breached the accepted standard of care. </w:t>
      </w:r>
    </w:p>
    <w:p w:rsidR="00C04E71" w:rsidRPr="00246A8D" w:rsidRDefault="00C04E71" w:rsidP="00246A8D">
      <w:pPr>
        <w:pStyle w:val="ListParagraph"/>
        <w:numPr>
          <w:ilvl w:val="1"/>
          <w:numId w:val="7"/>
        </w:numPr>
        <w:rPr>
          <w:rFonts w:ascii="Calibri" w:hAnsi="Calibri"/>
          <w:b/>
          <w:i/>
          <w:sz w:val="22"/>
        </w:rPr>
      </w:pPr>
      <w:r w:rsidRPr="00246A8D">
        <w:rPr>
          <w:rFonts w:ascii="Calibri" w:hAnsi="Calibri"/>
          <w:sz w:val="22"/>
        </w:rPr>
        <w:t>Expert opinion by medical witness may be admissible if:</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The expert is substantially familiar with the specialty, or</w:t>
      </w:r>
    </w:p>
    <w:p w:rsidR="00C04E71" w:rsidRPr="00637107" w:rsidRDefault="00C04E71" w:rsidP="00246A8D">
      <w:pPr>
        <w:pStyle w:val="ListParagraph"/>
        <w:numPr>
          <w:ilvl w:val="2"/>
          <w:numId w:val="7"/>
        </w:numPr>
        <w:rPr>
          <w:rFonts w:ascii="Calibri" w:hAnsi="Calibri"/>
          <w:b/>
          <w:i/>
          <w:sz w:val="22"/>
        </w:rPr>
      </w:pPr>
      <w:r w:rsidRPr="00637107">
        <w:rPr>
          <w:rFonts w:ascii="Calibri" w:hAnsi="Calibri"/>
          <w:sz w:val="22"/>
        </w:rPr>
        <w:t xml:space="preserve">The standard of care is substantially identical for both specialties </w:t>
      </w:r>
    </w:p>
    <w:p w:rsidR="00C04E71" w:rsidRPr="00637107" w:rsidRDefault="00C04E71" w:rsidP="00246A8D">
      <w:pPr>
        <w:pStyle w:val="ListParagraph"/>
        <w:ind w:left="1440"/>
        <w:rPr>
          <w:rFonts w:ascii="Calibri" w:hAnsi="Calibri"/>
          <w:i/>
          <w:color w:val="008080"/>
          <w:sz w:val="22"/>
        </w:rPr>
      </w:pPr>
    </w:p>
    <w:p w:rsidR="00246A8D" w:rsidRPr="00246A8D" w:rsidRDefault="00C04E71" w:rsidP="00246A8D">
      <w:pPr>
        <w:pStyle w:val="ListParagraph"/>
        <w:numPr>
          <w:ilvl w:val="0"/>
          <w:numId w:val="7"/>
        </w:numPr>
        <w:rPr>
          <w:rFonts w:ascii="Calibri" w:hAnsi="Calibri"/>
          <w:i/>
          <w:sz w:val="22"/>
        </w:rPr>
      </w:pPr>
      <w:r w:rsidRPr="00637107">
        <w:rPr>
          <w:rFonts w:ascii="Calibri" w:hAnsi="Calibri"/>
          <w:b/>
          <w:i/>
          <w:sz w:val="22"/>
        </w:rPr>
        <w:t xml:space="preserve">Harnish v. Children’s Hospital </w:t>
      </w:r>
      <w:r w:rsidR="00246A8D">
        <w:rPr>
          <w:rFonts w:ascii="Calibri" w:hAnsi="Calibri"/>
          <w:sz w:val="22"/>
        </w:rPr>
        <w:t>P h</w:t>
      </w:r>
      <w:r w:rsidR="00246A8D" w:rsidRPr="00246A8D">
        <w:rPr>
          <w:rFonts w:ascii="Calibri" w:hAnsi="Calibri"/>
          <w:sz w:val="22"/>
        </w:rPr>
        <w:t>ad cosmetic surgery to remove a tumor from her neck</w:t>
      </w:r>
      <w:r w:rsidR="00246A8D">
        <w:rPr>
          <w:rFonts w:ascii="Calibri" w:hAnsi="Calibri"/>
          <w:sz w:val="22"/>
        </w:rPr>
        <w:t xml:space="preserve"> &amp; </w:t>
      </w:r>
      <w:r w:rsidR="00246A8D" w:rsidRPr="00246A8D">
        <w:rPr>
          <w:rFonts w:ascii="Calibri" w:hAnsi="Calibri"/>
          <w:sz w:val="22"/>
        </w:rPr>
        <w:t>lost he</w:t>
      </w:r>
      <w:r w:rsidR="00246A8D">
        <w:rPr>
          <w:rFonts w:ascii="Calibri" w:hAnsi="Calibri"/>
          <w:sz w:val="22"/>
        </w:rPr>
        <w:t xml:space="preserve">r tongue function. </w:t>
      </w:r>
      <w:r w:rsidR="00246A8D" w:rsidRPr="00246A8D">
        <w:rPr>
          <w:rFonts w:ascii="Calibri" w:hAnsi="Calibri"/>
          <w:sz w:val="22"/>
        </w:rPr>
        <w:t>Sued doctors, hospital for failing to warn there was a foreseeable risk this could happen.</w:t>
      </w:r>
    </w:p>
    <w:p w:rsidR="00246A8D" w:rsidRPr="00246A8D" w:rsidRDefault="00246A8D" w:rsidP="00246A8D">
      <w:pPr>
        <w:pStyle w:val="ListParagraph"/>
        <w:numPr>
          <w:ilvl w:val="1"/>
          <w:numId w:val="7"/>
        </w:numPr>
        <w:rPr>
          <w:rFonts w:ascii="Calibri" w:hAnsi="Calibri"/>
          <w:i/>
          <w:sz w:val="22"/>
        </w:rPr>
      </w:pPr>
      <w:r w:rsidRPr="00246A8D">
        <w:rPr>
          <w:rFonts w:ascii="Calibri" w:hAnsi="Calibri"/>
          <w:sz w:val="22"/>
        </w:rPr>
        <w:t xml:space="preserve">Issue of informed consent, which is a negligence claim: How much information should a doctor give to a patient so they have sufficient information to give informed consent? Today’s answer: whatever a </w:t>
      </w:r>
      <w:r w:rsidRPr="00246A8D">
        <w:rPr>
          <w:rFonts w:ascii="Calibri" w:hAnsi="Calibri"/>
          <w:i/>
          <w:sz w:val="22"/>
        </w:rPr>
        <w:t xml:space="preserve">reasonable patient </w:t>
      </w:r>
      <w:r w:rsidRPr="00246A8D">
        <w:rPr>
          <w:rFonts w:ascii="Calibri" w:hAnsi="Calibri"/>
          <w:sz w:val="22"/>
        </w:rPr>
        <w:t xml:space="preserve">would want to know.  Part of this trend to </w:t>
      </w:r>
      <w:r w:rsidRPr="00246A8D">
        <w:rPr>
          <w:rFonts w:ascii="Calibri" w:hAnsi="Calibri"/>
          <w:i/>
          <w:sz w:val="22"/>
        </w:rPr>
        <w:t>patient autonomy</w:t>
      </w:r>
      <w:r w:rsidRPr="00246A8D">
        <w:rPr>
          <w:rFonts w:ascii="Calibri" w:hAnsi="Calibri"/>
          <w:sz w:val="22"/>
        </w:rPr>
        <w:t>.</w:t>
      </w:r>
    </w:p>
    <w:p w:rsidR="00246A8D" w:rsidRPr="00246A8D" w:rsidRDefault="00246A8D" w:rsidP="00246A8D">
      <w:pPr>
        <w:pStyle w:val="ListParagraph"/>
        <w:numPr>
          <w:ilvl w:val="1"/>
          <w:numId w:val="7"/>
        </w:numPr>
        <w:rPr>
          <w:rFonts w:ascii="Calibri" w:hAnsi="Calibri"/>
          <w:i/>
          <w:sz w:val="22"/>
        </w:rPr>
      </w:pPr>
      <w:r w:rsidRPr="00246A8D">
        <w:rPr>
          <w:rFonts w:ascii="Calibri" w:hAnsi="Calibri"/>
          <w:sz w:val="22"/>
        </w:rPr>
        <w:t>shifts from doctor’s perspective to patient’s standard</w:t>
      </w:r>
    </w:p>
    <w:p w:rsidR="00C04E71" w:rsidRPr="00246A8D" w:rsidRDefault="00246A8D" w:rsidP="00246A8D">
      <w:pPr>
        <w:pStyle w:val="ListParagraph"/>
        <w:numPr>
          <w:ilvl w:val="1"/>
          <w:numId w:val="7"/>
        </w:numPr>
        <w:rPr>
          <w:rFonts w:ascii="Calibri" w:hAnsi="Calibri"/>
          <w:i/>
          <w:sz w:val="22"/>
        </w:rPr>
      </w:pPr>
      <w:r w:rsidRPr="00246A8D">
        <w:rPr>
          <w:rFonts w:ascii="Calibri" w:hAnsi="Calibri"/>
          <w:sz w:val="22"/>
        </w:rPr>
        <w:t xml:space="preserve">“A physician owes his patient the duty to disclose in a reasonable manner all significant medical information that the physician possesses or reasonably should possess </w:t>
      </w:r>
      <w:r w:rsidRPr="00246A8D">
        <w:rPr>
          <w:rFonts w:ascii="Calibri" w:hAnsi="Calibri"/>
          <w:sz w:val="22"/>
          <w:u w:val="single"/>
        </w:rPr>
        <w:t xml:space="preserve">that is material to an intelligent decision by the patient </w:t>
      </w:r>
      <w:r w:rsidRPr="00246A8D">
        <w:rPr>
          <w:rFonts w:ascii="Calibri" w:hAnsi="Calibri"/>
          <w:sz w:val="22"/>
        </w:rPr>
        <w:t>whether to undergo a proposed procedure.”</w:t>
      </w:r>
    </w:p>
    <w:p w:rsidR="00C04E71" w:rsidRPr="00637107" w:rsidRDefault="00C04E71" w:rsidP="00246A8D">
      <w:pPr>
        <w:pStyle w:val="ListParagraph"/>
        <w:numPr>
          <w:ilvl w:val="1"/>
          <w:numId w:val="7"/>
        </w:numPr>
        <w:rPr>
          <w:rFonts w:ascii="Calibri" w:hAnsi="Calibri"/>
          <w:b/>
          <w:i/>
          <w:sz w:val="22"/>
        </w:rPr>
      </w:pPr>
      <w:r w:rsidRPr="00637107">
        <w:rPr>
          <w:rFonts w:ascii="Calibri" w:hAnsi="Calibri"/>
          <w:sz w:val="22"/>
        </w:rPr>
        <w:t>Would a reasonable person have consented? Would this particular plaintiff have consented?</w:t>
      </w:r>
    </w:p>
    <w:p w:rsidR="00246A8D" w:rsidRDefault="00246A8D" w:rsidP="00C04E71">
      <w:pPr>
        <w:widowControl w:val="0"/>
        <w:rPr>
          <w:rFonts w:ascii="Calibri" w:hAnsi="Calibri"/>
          <w:b/>
          <w:sz w:val="22"/>
          <w:u w:val="single"/>
        </w:rPr>
      </w:pPr>
    </w:p>
    <w:p w:rsidR="00C04E71" w:rsidRPr="00246A8D" w:rsidRDefault="00F82EDE" w:rsidP="00246A8D">
      <w:pPr>
        <w:widowControl w:val="0"/>
        <w:rPr>
          <w:rFonts w:ascii="Calibri" w:hAnsi="Calibri"/>
          <w:sz w:val="22"/>
        </w:rPr>
      </w:pPr>
      <w:r>
        <w:rPr>
          <w:rFonts w:ascii="Calibri" w:hAnsi="Calibri"/>
          <w:b/>
          <w:sz w:val="22"/>
          <w:u w:val="single"/>
        </w:rPr>
        <w:t xml:space="preserve">*** </w:t>
      </w:r>
      <w:r w:rsidR="00C04E71" w:rsidRPr="00246A8D">
        <w:rPr>
          <w:rFonts w:ascii="Calibri" w:hAnsi="Calibri"/>
          <w:b/>
          <w:sz w:val="22"/>
          <w:u w:val="single"/>
        </w:rPr>
        <w:t xml:space="preserve">MEDICAL MALPRACTICE </w:t>
      </w:r>
      <w:r>
        <w:rPr>
          <w:rFonts w:ascii="Calibri" w:hAnsi="Calibri"/>
          <w:b/>
          <w:sz w:val="22"/>
          <w:u w:val="single"/>
        </w:rPr>
        <w:t>–</w:t>
      </w:r>
      <w:r w:rsidR="00246A8D">
        <w:rPr>
          <w:rFonts w:ascii="Calibri" w:hAnsi="Calibri"/>
          <w:b/>
          <w:sz w:val="22"/>
          <w:u w:val="single"/>
        </w:rPr>
        <w:t xml:space="preserve"> </w:t>
      </w:r>
      <w:r w:rsidR="00C04E71" w:rsidRPr="00246A8D">
        <w:rPr>
          <w:rFonts w:ascii="Calibri" w:hAnsi="Calibri"/>
          <w:b/>
          <w:sz w:val="22"/>
          <w:u w:val="single"/>
        </w:rPr>
        <w:t>REFORM</w:t>
      </w:r>
      <w:r>
        <w:rPr>
          <w:rFonts w:ascii="Calibri" w:hAnsi="Calibri"/>
          <w:b/>
          <w:sz w:val="22"/>
          <w:u w:val="single"/>
        </w:rPr>
        <w:t xml:space="preserve"> ***</w:t>
      </w:r>
    </w:p>
    <w:p w:rsidR="00C04E71" w:rsidRPr="00637107" w:rsidRDefault="00C04E71" w:rsidP="00246A8D">
      <w:pPr>
        <w:pStyle w:val="ListParagraph"/>
        <w:widowControl w:val="0"/>
        <w:numPr>
          <w:ilvl w:val="0"/>
          <w:numId w:val="8"/>
        </w:numPr>
        <w:rPr>
          <w:rFonts w:ascii="Calibri" w:hAnsi="Calibri"/>
          <w:sz w:val="22"/>
        </w:rPr>
      </w:pPr>
      <w:r w:rsidRPr="00637107">
        <w:rPr>
          <w:rFonts w:ascii="Calibri" w:hAnsi="Calibri"/>
          <w:sz w:val="22"/>
        </w:rPr>
        <w:t xml:space="preserve">How common is medical malpractice? </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 xml:space="preserve">45k -100k preventable medical deaths in hospitals are generally recognized.  </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Not even taking in account pharmacist stuff</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Deaths at home, etc</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Only a tiny percentage even seek legal advice.</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Of the cases that do get pursued, most are settled or dropped.</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Of those that go to trial, the doctor wins almost 3 of 4 cases</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The big awards are very exceptional- less than 1% of the total cases</w:t>
      </w:r>
    </w:p>
    <w:p w:rsidR="00C04E71" w:rsidRPr="00637107" w:rsidRDefault="00C04E71" w:rsidP="00246A8D">
      <w:pPr>
        <w:pStyle w:val="ListParagraph"/>
        <w:widowControl w:val="0"/>
        <w:numPr>
          <w:ilvl w:val="0"/>
          <w:numId w:val="8"/>
        </w:numPr>
        <w:rPr>
          <w:rFonts w:ascii="Calibri" w:hAnsi="Calibri"/>
          <w:sz w:val="22"/>
        </w:rPr>
      </w:pPr>
      <w:r w:rsidRPr="00637107">
        <w:rPr>
          <w:rFonts w:ascii="Calibri" w:hAnsi="Calibri"/>
          <w:sz w:val="22"/>
        </w:rPr>
        <w:t>Arguments for reform:</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Its wrong for the legal system to judge the medical system</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Everybody makes mistakes</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Runaway jury awards, ambulance chasing lawyers, are running doctors out of practice</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Med mal insurance rates are too high, burdening the cost of medicine</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This system causes doctors to practice defensive medicine incl. tests that aren’t necessary</w:t>
      </w:r>
    </w:p>
    <w:p w:rsidR="00C04E71" w:rsidRPr="00F82EDE" w:rsidRDefault="00C04E71" w:rsidP="00F82EDE">
      <w:pPr>
        <w:pStyle w:val="ListParagraph"/>
        <w:widowControl w:val="0"/>
        <w:numPr>
          <w:ilvl w:val="1"/>
          <w:numId w:val="8"/>
        </w:numPr>
        <w:rPr>
          <w:rFonts w:ascii="Calibri" w:hAnsi="Calibri"/>
          <w:sz w:val="22"/>
        </w:rPr>
      </w:pPr>
      <w:r w:rsidRPr="00637107">
        <w:rPr>
          <w:rFonts w:ascii="Calibri" w:hAnsi="Calibri"/>
          <w:sz w:val="22"/>
        </w:rPr>
        <w:t>Wrecks doctors’ careers, even when exonerated by favorable jury verdict</w:t>
      </w:r>
    </w:p>
    <w:p w:rsidR="00C04E71" w:rsidRPr="00637107" w:rsidRDefault="00C04E71" w:rsidP="00246A8D">
      <w:pPr>
        <w:pStyle w:val="ListParagraph"/>
        <w:widowControl w:val="0"/>
        <w:numPr>
          <w:ilvl w:val="0"/>
          <w:numId w:val="8"/>
        </w:numPr>
        <w:rPr>
          <w:rFonts w:ascii="Calibri" w:hAnsi="Calibri"/>
          <w:sz w:val="22"/>
        </w:rPr>
      </w:pPr>
      <w:r w:rsidRPr="00637107">
        <w:rPr>
          <w:rFonts w:ascii="Calibri" w:hAnsi="Calibri"/>
          <w:sz w:val="22"/>
        </w:rPr>
        <w:t>Reform ideas:</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 xml:space="preserve">Caps (250k) </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Should there be limits?</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What should they limit?</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Who should limit (state, fed, etc)</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Remove legal causes of action (ex: ban suits for informed consent)</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Pre-trial screening panel, health courts</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7</w:t>
      </w:r>
      <w:r w:rsidRPr="00637107">
        <w:rPr>
          <w:rFonts w:ascii="Calibri" w:hAnsi="Calibri"/>
          <w:sz w:val="22"/>
          <w:vertAlign w:val="superscript"/>
        </w:rPr>
        <w:t>th</w:t>
      </w:r>
      <w:r w:rsidRPr="00637107">
        <w:rPr>
          <w:rFonts w:ascii="Calibri" w:hAnsi="Calibri"/>
          <w:sz w:val="22"/>
        </w:rPr>
        <w:t xml:space="preserve"> Amendment issues? </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“I’m Sorry” Laws – encourage doctors to report their errors and apologize</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makes patient less likely to sue &amp; more amenable to settlement</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new statute sets a shield that doctor can apologize and explain without it being used against them in court</w:t>
      </w:r>
    </w:p>
    <w:p w:rsidR="00C04E71" w:rsidRPr="00637107" w:rsidRDefault="00C04E71" w:rsidP="00246A8D">
      <w:pPr>
        <w:pStyle w:val="ListParagraph"/>
        <w:widowControl w:val="0"/>
        <w:numPr>
          <w:ilvl w:val="1"/>
          <w:numId w:val="8"/>
        </w:numPr>
        <w:rPr>
          <w:rFonts w:ascii="Calibri" w:hAnsi="Calibri"/>
          <w:sz w:val="22"/>
        </w:rPr>
      </w:pPr>
      <w:r w:rsidRPr="00637107">
        <w:rPr>
          <w:rFonts w:ascii="Calibri" w:hAnsi="Calibri"/>
          <w:sz w:val="22"/>
        </w:rPr>
        <w:t>Curbs on attorney fees</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Assumption is that the problem is the Plaintiff’s lawyer</w:t>
      </w:r>
    </w:p>
    <w:p w:rsidR="00C04E71" w:rsidRPr="00637107" w:rsidRDefault="00C04E71" w:rsidP="00246A8D">
      <w:pPr>
        <w:pStyle w:val="ListParagraph"/>
        <w:widowControl w:val="0"/>
        <w:numPr>
          <w:ilvl w:val="2"/>
          <w:numId w:val="8"/>
        </w:numPr>
        <w:rPr>
          <w:rFonts w:ascii="Calibri" w:hAnsi="Calibri"/>
          <w:sz w:val="22"/>
        </w:rPr>
      </w:pPr>
      <w:r w:rsidRPr="00637107">
        <w:rPr>
          <w:rFonts w:ascii="Calibri" w:hAnsi="Calibri"/>
          <w:sz w:val="22"/>
        </w:rPr>
        <w:t>Other side of argument: if lawyers take less cases, those who need representation may not get it</w:t>
      </w:r>
    </w:p>
    <w:p w:rsidR="00C04E71" w:rsidRPr="00637107" w:rsidRDefault="00C04E71" w:rsidP="00C04E71">
      <w:pPr>
        <w:widowControl w:val="0"/>
        <w:rPr>
          <w:rFonts w:ascii="Calibri" w:hAnsi="Calibri"/>
          <w:sz w:val="22"/>
        </w:rPr>
      </w:pP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New Roman"/>
          <w:b/>
          <w:bCs/>
          <w:sz w:val="22"/>
          <w:szCs w:val="32"/>
          <w:u w:val="single"/>
        </w:rPr>
        <w:t>Medical Malpractice Statutory Restrictions</w:t>
      </w:r>
      <w:r w:rsidRPr="00274508">
        <w:rPr>
          <w:rFonts w:ascii="Verdana" w:hAnsi="Verdana" w:cs="Times New Roman"/>
          <w:sz w:val="22"/>
          <w:szCs w:val="32"/>
        </w:rPr>
        <w:t>: many states have limited medical malpractice liability by various methods due to a perceived crisis of medmal insurance rates. Statutes may use tribunals to weed out weak claims before they get to court, forbid use of res ipsa loquitur, reinstate locality rule for determining the standard of care, or impose caps on damages. Perhaps the best way to address medical malpractice costs, however, is with a better healthcare system.</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b/>
          <w:bCs/>
          <w:sz w:val="22"/>
          <w:szCs w:val="32"/>
        </w:rPr>
        <w:t>Pro Restriction</w:t>
      </w:r>
      <w:r w:rsidRPr="00274508">
        <w:rPr>
          <w:rFonts w:ascii="Verdana" w:hAnsi="Verdana" w:cs="Times New Roman"/>
          <w:sz w:val="22"/>
          <w:szCs w:val="32"/>
        </w:rPr>
        <w:t>: we must enact statutory restrictions to address the dire financial straits of medical malpractice insurance carriers, physicians themselves in paying the soaring insurance rates, and also of hospitals due to a proliferation of unfounded malpractice claims. Insurance carriers have begun to stop offering medical malpractice coverage, many physicians are unable to afford premiums, there is an increasing shortage of physicians particularly in rural areas, and hospitals nationwide are going bankrupt. It is clear that the problem must be decisively and directly addressed with legislative action.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Incorrect Estimates of Medical Error</w:t>
      </w:r>
      <w:r w:rsidRPr="00274508">
        <w:rPr>
          <w:rFonts w:ascii="Verdana" w:hAnsi="Verdana" w:cs="Times New Roman"/>
          <w:sz w:val="22"/>
          <w:szCs w:val="32"/>
        </w:rPr>
        <w:t>: the estimates include patients who would have died anyway, and fails to consider that hospitals treat thousands of elderly patients who have naturally arrived at an end-of-care stage, with weakened immune systems, heightened vulnerability to the slightest adjustment, and a natural tendency towards decline. Even if claims were brought for each and every such patient, most would have died within a matter of days regardless of any so-called medical error. Further, some researchers inappropriately include non-preventable medical error, such as technological glitches, into the estimate.</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Systems Problems Require Systems Solutions</w:t>
      </w:r>
      <w:r w:rsidRPr="00274508">
        <w:rPr>
          <w:rFonts w:ascii="Verdana" w:hAnsi="Verdana" w:cs="Times New Roman"/>
          <w:sz w:val="22"/>
          <w:szCs w:val="32"/>
        </w:rPr>
        <w:t>: systems problems account for most medical errors, such as equipment failure or misinterpretation of medical orders, and hospitals across the nation are already struggling financially or going bankrupt. Such a widespread problem demands executive or legislative action to limit the unmeritorious claims unjustly driving up costs and take other measures to decrease medical malpractice costs.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It Is Human Error, Not Malpractice</w:t>
      </w:r>
      <w:r w:rsidRPr="00274508">
        <w:rPr>
          <w:rFonts w:ascii="Verdana" w:hAnsi="Verdana" w:cs="Times New Roman"/>
          <w:sz w:val="22"/>
          <w:szCs w:val="32"/>
        </w:rPr>
        <w:t>: although the operating room is deemed “sterile,” when a physician is elbows deep inside of a human body in a highly time-pressured situation, it is anything but “sterile.” Unlike lawyers, physicians do not always have time to research, reflect, or consult. The human body is messy and fragile, and often only a vast array of “bad” medical options are available, with no corresponding clear courtroom “win” in sight. Unlike lawyers, physicians see dozens of patients per day, each with unique diseases, family histories, allergies, and possible hidden problems. Human error in such a context is inevitable. Behind closed doors, physicians may discuss the first patient whose death s/he accidentally (negligently) caused, with great sorrow and self-blame, but also with mutual understanding that “these things happen.” If all instances of such physician error resulted in liability, we would soon be without physicians. Furthermore, a contentious “negligence” outlook, rather than a realistic awareness of human error, seriously undermines and undervalues the professional best efforts of physicians who are, after all, only human. Physicians should be rewarded, not punished, for the emotional sacrifice they undertake on a daily basis with the knowledge that mistakes will occur despite the utmost professional competence and care, and the associated burden of guilt. That burden, of personally inevitable yet objectively avoidable error resulting in patient injury or death, is a significant emotional stressor that is rarely appreciated by P’s lawyers.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Excess Liability May Increase Medical Error</w:t>
      </w:r>
      <w:r w:rsidRPr="00274508">
        <w:rPr>
          <w:rFonts w:ascii="Verdana" w:hAnsi="Verdana" w:cs="Times New Roman"/>
          <w:sz w:val="22"/>
          <w:szCs w:val="32"/>
        </w:rPr>
        <w:t>: physicians should be able to seek help with substance abuse problems or unknown causes of error without fear of punitive repercussion. Physicians are only human, and the alternative is worse - a continuation of the current culture of silence, with physicians left unable to seek help to adequately address their problems. Errors occur, and in order to study when and why errors occur, and assist individual physicians to be healthy and decrease their error rate, it is imperative that physicians are free to self-report and discuss errors with colleagues without concern of future lawsuit.</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Defensive Medicine Is Bad Medicine</w:t>
      </w:r>
      <w:r w:rsidRPr="00274508">
        <w:rPr>
          <w:rFonts w:ascii="Verdana" w:hAnsi="Verdana" w:cs="Times New Roman"/>
          <w:sz w:val="22"/>
          <w:szCs w:val="32"/>
        </w:rPr>
        <w:t>: as then-President Bush said, doctors “should be focused on fighting illnesses, not fighting lawsuits.” The current system awards sympathetic P’s rather than deterring D’s. In order to avoid lawsuit, physicians order unnecessary and non-benign tests and procedures, which costs billions of dollars per year, are often time-consuming or even painful to administer, and likely involve health risks such as increased rate of cancer from radiation.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Contingency Fees Are Unethical</w:t>
      </w:r>
      <w:r w:rsidRPr="00274508">
        <w:rPr>
          <w:rFonts w:ascii="Verdana" w:hAnsi="Verdana" w:cs="Times New Roman"/>
          <w:sz w:val="22"/>
          <w:szCs w:val="32"/>
        </w:rPr>
        <w:t>: Doctors do not work on contingency fees because it is considered professionally unethical. Legislation should be enacted to reduce windfalls to greedy plaintiff’s attorneys and help awards to into injured patients’ pockets instead, along the lines of what California has done with a sliding scale prohibiting attorneys from collecting more than 15% on awards over $600,000. Attorney fees in the context of settlement in particular should be capped, since contingency fees inappropriately bias attorneys toward settlement, which is detrimental to the patient, since attorneys receive somewhat less money but after significantly less work. Further, where liability is undisputed, contingency fees inappropriately award attorneys for cases that are strong on their merits and deserving of large sums regardless of attorney fees. Some performance-based compensation is appropriate, but not immense sums disproportionate to the amount of work that was performed. When attorneys take money out of the pockets of deserving patients disproportionate to their workload, public esteem for the bar plummets and rightly so – these windfalls are highly unethical, and should be illegal. Contingency fees should only be paid when attorneys take on a meaningful risk of not being paid, and the fees should corroborate with the amount of work performed.</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Caps Provide More Appropriate Compensation</w:t>
      </w:r>
      <w:r w:rsidRPr="00274508">
        <w:rPr>
          <w:rFonts w:ascii="Verdana" w:hAnsi="Verdana" w:cs="Times New Roman"/>
          <w:sz w:val="22"/>
          <w:szCs w:val="32"/>
        </w:rPr>
        <w:t>: Physicians often feel that a bad outcome, rather than malpractice, is what prompts a lawsuit. D’s win approximately ¾ of medmal suits, so unmeritorious claims are in the courtroom more often than they should be. Often, more serious injuries influence juries to make large awards even without negligence due to the “sympathetic plaintiff” effect. Caps on damages decrease the inappropriately exorbitant sums due to jury sympathy. Nonpecuniary losses such as pain and suffering or loss of enjoyment of life in particular should have strict damages caps, since these nebulous losses which can in no way be truly recompensed by monetary means. Exorbitant sums prejudice the public against not only medical malpractice claims and lawyers, but against all types of injury claims and all who practice in the field of law. The public is justified in its perception of greedy plaintiffs seeking ever more questionable damages, and caps on damages will help redeem lawyers in the public eye, and more appropriately compensate injured patients and lawyers alike.</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Pre-Trial Screening Reduces Frivolous Lawsuits</w:t>
      </w:r>
      <w:r w:rsidRPr="00274508">
        <w:rPr>
          <w:rFonts w:ascii="Verdana" w:hAnsi="Verdana" w:cs="Times New Roman"/>
          <w:sz w:val="22"/>
          <w:szCs w:val="32"/>
        </w:rPr>
        <w:t>: although screening panels do present potential 7</w:t>
      </w:r>
      <w:r w:rsidRPr="00274508">
        <w:rPr>
          <w:rFonts w:ascii="Verdana" w:hAnsi="Verdana" w:cs="Times New Roman"/>
          <w:sz w:val="22"/>
          <w:szCs w:val="26"/>
          <w:vertAlign w:val="superscript"/>
        </w:rPr>
        <w:t>th</w:t>
      </w:r>
      <w:r w:rsidRPr="00274508">
        <w:rPr>
          <w:rFonts w:ascii="Verdana" w:hAnsi="Verdana" w:cs="Times New Roman"/>
          <w:sz w:val="22"/>
          <w:szCs w:val="32"/>
        </w:rPr>
        <w:t xml:space="preserve"> Amendment Constitutional problems regarding right to a civil jury trial, pre-screening trials are endorsed by AMA and reduce costs while ensuring that deserving victims of medical error are not denied trial. Perhaps a Constitutional amendment should be proposed that provides medical malpractice victims with a right to a civil jury trial only after undergoing a pre-trial screening with a panel of medical experts. This pre-trial “jury of professionals” is particularly appropriate given the applicable professional standard of care. Plaintiff’s attorneys may do everything they can to bring only meritorious cases, but medical experts are in the best position to weed out weak or frivolous medmal claims. Such a practice could even benefit P’s attorneys by preventing further time and expenditure on a case without merit. Such a change in civil procedure would decrease medical litigation and insurance costs and protect physicians from socially and professionally damaging litigation, without denying deserving Ps their day in court. While some endorse secrecy in the pre-trial proceedings, with less strict evidentiary and other rules more along the lines of mediation, perhaps more transparency would allow for more deterrence effect and allow for studies on standards of care, the most common medical errors, and improving patient outcomes.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“I’m Sorry” Laws Benefit Patients and Physicians</w:t>
      </w:r>
      <w:r w:rsidRPr="00274508">
        <w:rPr>
          <w:rFonts w:ascii="Verdana" w:hAnsi="Verdana" w:cs="Times New Roman"/>
          <w:sz w:val="22"/>
          <w:szCs w:val="32"/>
        </w:rPr>
        <w:t>: patients want a detailed explanation of how the system broke down or what mistakes were made. Patients understand that mistakes occasionally happen, even without negligence. Granting immunity encourages full disclosure, helps patients retain trust in the medical profession, and reduces the emotional suffering of resentment and rage of secret harms done subject only to peer review without medical professionals appearing to share the patient’s sorrow, frustration, and even regret at the turn of events. Studies show that when physicians demonstrate that they care after a bad outcome, patients are less likely to file a medmal suit. Thus, “I’m sorry” laws protect physicians from a lawsuit, protect the physician-patient relationship, and encourage patient access to information about what occurred.</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b/>
          <w:bCs/>
          <w:sz w:val="22"/>
          <w:szCs w:val="32"/>
        </w:rPr>
        <w:t>Anti Restriction</w:t>
      </w:r>
      <w:r w:rsidRPr="00274508">
        <w:rPr>
          <w:rFonts w:ascii="Verdana" w:hAnsi="Verdana" w:cs="Times New Roman"/>
          <w:sz w:val="22"/>
          <w:szCs w:val="32"/>
        </w:rPr>
        <w:t>: rising medical malpractice rates may be a problem, but there are far better ways of approaching that problem than by unjustly barring or deterring meritorious claims. physicians’ incomes increased more than the cost of insurance.</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High Incidence of Preventable Medical Error</w:t>
      </w:r>
      <w:r w:rsidRPr="00274508">
        <w:rPr>
          <w:rFonts w:ascii="Verdana" w:hAnsi="Verdana" w:cs="Times New Roman"/>
          <w:sz w:val="22"/>
          <w:szCs w:val="32"/>
        </w:rPr>
        <w:t>: far greater than number of malpractice claims, an ABA task force found only about 2% of victims of medmal even file claims, and may disproportionately effect children due to their varying size, lesser communicative capabilities, and tendency to faster deteriorate. Medical errors cause more deaths than car accidents, cancer, or AIDS each year. Once a foreseeable P proves a prima facie case for negligence, it is wildly unjust for that P to be prevented from recovering full and just compensation for all of the losses suffered as a result of that negligence. Culture of safety is possible, with multiple redundancies in safety systems as demonstrated by nuclear power industry and space program.</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Caps Increase Medical Error</w:t>
      </w:r>
      <w:r w:rsidRPr="00274508">
        <w:rPr>
          <w:rFonts w:ascii="Verdana" w:hAnsi="Verdana" w:cs="Times New Roman"/>
          <w:sz w:val="22"/>
          <w:szCs w:val="32"/>
        </w:rPr>
        <w:t>: There is a growing public fear of preventable medical error, which is entirely rationale, and the error itself must be addressed rather than merely its symptoms. There are a variety of ways to decrease medical error and thereby reduce medical malpractice litigation and associated costs. Legislation regarding use of information technology to eliminate reliance on handwriting, avoidance of similar-sounding and look-alike names and packages of medication, and standardization of treatment policies and protocols to avoid confusion and reliance on memory. Caps may make this problem worse by reducing incentives for doctors and hospitals to reduce medical errors.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Caps Unfairly Effect Certain Patients</w:t>
      </w:r>
      <w:r w:rsidRPr="00274508">
        <w:rPr>
          <w:rFonts w:ascii="Verdana" w:hAnsi="Verdana" w:cs="Times New Roman"/>
          <w:sz w:val="22"/>
          <w:szCs w:val="32"/>
        </w:rPr>
        <w:t>: frivolous lawsuits are dismissed pre-trial, so caps on damages influence a different group of plantiffs. Elderly, poor, and unemployed patients’ economic loss is less readily calculable, perhaps undervalued, and simply lower than other patients. Without recovery for noneconomic losses, these groups of P’s may not be able to find attorneys financially able to take their case, even when injustice has undeniably occurred, and thus be denied any form of compensation. Further, patients with the most serious injuries require large sums of money to appropriately offset large economic losses. Even when these victims of medmal recover, when their damages are capped their losses are significantly undercompensated, meaning the victims bear the burden of others’ wrongdoing. To pay full damages to patients with less serious injuries, but deny more seriously injured patients full recovery, seems patently unfair. Concerns of “sympathetic plaintiffs” can be addressed in other ways, such as with a bifurcated trial or other more precise jury instructions.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Individual Problems Require Individual Solutions</w:t>
      </w:r>
      <w:r w:rsidRPr="00274508">
        <w:rPr>
          <w:rFonts w:ascii="Verdana" w:hAnsi="Verdana" w:cs="Times New Roman"/>
          <w:sz w:val="22"/>
          <w:szCs w:val="32"/>
        </w:rPr>
        <w:t>: small percentage of doctors cost the most. Premiums should be merit based. When a doctor does surgery drunk, personal and individual accountability is essential. Decreasing liability further decreases deterrence. While physicians with drug problems may initially try to keep it secret, once the issue is discovered, strict licensing rules should be in place with stringent testing requirements so that no more patients suffer the same fate. When the approach is more lenient, physicians may not be afraid to come forward and seek treatment, but they also may not have the same deterrence incentives to get clean and stay clean.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“I’m Sorry” Laws Inappropriately Reduce Liability</w:t>
      </w:r>
      <w:r w:rsidRPr="00274508">
        <w:rPr>
          <w:rFonts w:ascii="Verdana" w:hAnsi="Verdana" w:cs="Times New Roman"/>
          <w:sz w:val="22"/>
          <w:szCs w:val="32"/>
        </w:rPr>
        <w:t>: to my knowledge, in no other context would a D’s admission of fault be inadmissible in court. Such protection of a negligent D who has confessed to that negligence seems, on its face, wildly inappropriate. Patients deserve to know what has gone wrong, and they also deserve to recover appropriate compensation for the injury they have suffered due to another’s negligence. The medical culture of silence should be broken with legislative or judicial action, with “whistle-blowing” laws holding hospitals and physicians accountable for not reporting negligent physicians, particularly repeat offenders. While laws requiring disclosure are fully compatible with decreasing medical costs and improving patient care, protective laws that decrease victims’ recourse to address injuries caused by admitted negligence is a patently unjust option.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Legal Costs Not A Problem</w:t>
      </w:r>
      <w:r w:rsidRPr="00274508">
        <w:rPr>
          <w:rFonts w:ascii="Verdana" w:hAnsi="Verdana" w:cs="Times New Roman"/>
          <w:sz w:val="22"/>
          <w:szCs w:val="32"/>
        </w:rPr>
        <w:t>: although Americans spend outrageous sums on healthcare compared to other countries, approximately 2 cents of the health care dollar goes toward medical malpractice litigation. Opinion differs as to whether medmal insurance payouts have increased, but it appears that insurance premiums more closely reflect the national market economy rather than damages of malpractice claims. Further, caps do not necessarily correspond with lower insurance premiums, and are even less likely to correspond with lower patient costs. Legislation may be required to decrease the percentage of funds that can be invested in the stock market by medical insurance providers.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Caps On Attorneys Fees Reduce Access To Courts</w:t>
      </w:r>
      <w:r w:rsidRPr="00274508">
        <w:rPr>
          <w:rFonts w:ascii="Verdana" w:hAnsi="Verdana" w:cs="Times New Roman"/>
          <w:sz w:val="22"/>
          <w:szCs w:val="32"/>
        </w:rPr>
        <w:t>: complex medical cases require plaintiff’s attorneys to conduct years of investigation, pay hundreds of thousands of dollars in fees for medical experts, and expend thousands of hours on each individual case, all without any guarantee of return. Most victims of medmal cannot afford an hourly rate. Contingency fees allow plaintiff’s attorneys to shoulder the burden of this immensely costly and ultimately risky undertaking, which benefits the patient. Occasional big paydays are necessary to cover daily expenses, since the rigorous screening process alone can take months and cost tens of thousands of dollars, since the causal knot is buried in medical science, with local professional standards further hidden by the medical culture of silence. Medmal attorneys already take only 2-3% of medmal cases due to the large risks involved in each one. Without the sporadic payout, attorneys would have less incentive (or perhaps even ability) to take on even the most meritorious medmal cases, let alone those where liability is less certain, and many victims of medmal would be denied access to the courtroom.</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Caps Are Un-Constitutional</w:t>
      </w:r>
      <w:r w:rsidRPr="00274508">
        <w:rPr>
          <w:rFonts w:ascii="Verdana" w:hAnsi="Verdana" w:cs="Times New Roman"/>
          <w:sz w:val="22"/>
          <w:szCs w:val="32"/>
        </w:rPr>
        <w:t>: in states where medmal legislation has been enacted to reduce potential recovery, medmal litigation has decreased. As a result, insurance companies, physicians, and hospitals (although not patients) have profited. Proponents of such caps tout this result as a success. However, the decrease in medmal litigation is not due to decreased medical error, betterment of professional standards of care, or a decrease in frivolous lawsuits - it has simply become economically unfeasible for lawyers to pursue most medmal cases. Medmal litigation was already a risky and expensive venture, and caps have succeeded only in further reducing medmal victims’ access to justice. Caps eliminate compensation without substituting an alternative remedy. Thus, caps are contrary to the core Constitutional value of “justice for all.” Caps present further “separation of powers” issues when a legislature interferes with the right of juries and judges to determine fair damages. Tort law provides an essential component of the American system of “checks and balances,” often the only method of holding big business and industry accountable. Caps are further contrary to state constitutions with remedy clauses, for example the Oregon constitution declares that “every man shall have remedy… of law.” Like mandatory sentences, mandatory caps give a cookie-cutter solution for unique cases.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Pecuniary Damage Caps Particularly Unjust</w:t>
      </w:r>
      <w:r w:rsidRPr="00274508">
        <w:rPr>
          <w:rFonts w:ascii="Verdana" w:hAnsi="Verdana" w:cs="Times New Roman"/>
          <w:sz w:val="22"/>
          <w:szCs w:val="32"/>
        </w:rPr>
        <w:t>: unlike nonpecuniary losses, monetary damages can directly compensate P for the pecuniary loss suffered due to D’s wrongdoing. The most seriously injured Ps should still receive full pecuniary losses. Any medical liability policy should compensate victims of medical mistakes.</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b/>
          <w:bCs/>
          <w:sz w:val="22"/>
          <w:szCs w:val="32"/>
        </w:rPr>
        <w:t>Possible Areas of Agreement</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Decrease Medical Error</w:t>
      </w:r>
      <w:r w:rsidRPr="00274508">
        <w:rPr>
          <w:rFonts w:ascii="Verdana" w:hAnsi="Verdana" w:cs="Times New Roman"/>
          <w:sz w:val="22"/>
          <w:szCs w:val="32"/>
        </w:rPr>
        <w:t>: the least controversial way to decrease litigation costs of medical malpractice is to decrease medical malpractice. Physician-centric methods of decreasing error might include: improving physician-patient communication, improving accuracy of medical records, obtaining meaningful consent, completing careful and thorough examinations, consulting and referring appropriately with other specialists. Systems-based methods of decreasing error might include: increased systematic redundancy, decreasing look-alike medications, relying on typed prescriptions rather than hand-written, and special precautions for vulnerable patient populations such as children.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Culture of Transparency</w:t>
      </w:r>
      <w:r w:rsidRPr="00274508">
        <w:rPr>
          <w:rFonts w:ascii="Verdana" w:hAnsi="Verdana" w:cs="Times New Roman"/>
          <w:sz w:val="22"/>
          <w:szCs w:val="32"/>
        </w:rPr>
        <w:t>: when a physician suggested evaluating surgeon competence in regular peer review conferences in the early 1900s, he lost his staff privileges at the hospital as a result. Now all academic hospitals and most large private hospitals as well conduct Morbidity and Mortality (M&amp;M) conferences on a regular basis (often weekly or biweekly) to learn from complications and errors. Conferences are nonpunitive and focus on the goal of improved patient care. Hospitals should be required to maintain statistics on error rates for individual physicians in various specialties, compare with national averages, and for repeat offenders provide further training or suspend staff privileges. Further, as an extension of “informed consent,” non-medical healthcare providers should be legally required to inform patients that they have not attended medical school, are not qualified to provide a medical differential diagnosis, and other details of the different professional standard of care. (If patients choose to have a homebirth attended by a midwife, or mysterious pain treated by acupuncture, they should be informed that serious adverse outcomes are more likely.)</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Legislative Protection of Revocation of Staff Privileges</w:t>
      </w:r>
      <w:r w:rsidRPr="00274508">
        <w:rPr>
          <w:rFonts w:ascii="Verdana" w:hAnsi="Verdana" w:cs="Times New Roman"/>
          <w:sz w:val="22"/>
          <w:szCs w:val="32"/>
        </w:rPr>
        <w:t>: when staff privileges are terminated or suspended, physicians often bring suits against the hospital, governing board, and even other staff physicians, with actions alleging state and federal antitrust violations, substantive and procedural due process errors, defamation, federal civil rights violations, conspiracy, breach of contractual obligations, and tortious interference with contractual and business relationships, among others. The threat of these suits deters hospitals from revoking staff privileges without well-grounded and verifiable justification. More analysis is necessary, but perhaps legislative protection of merit-based staff privileges would decrease preventable medical error.</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Merit-Based Insurance Premiums</w:t>
      </w:r>
      <w:r w:rsidRPr="00274508">
        <w:rPr>
          <w:rFonts w:ascii="Verdana" w:hAnsi="Verdana" w:cs="Times New Roman"/>
          <w:sz w:val="22"/>
          <w:szCs w:val="32"/>
        </w:rPr>
        <w:t>: insurance premiums vary by specialty, but not according to past medmal settlements or judgments or individual risk-reducing practices within a physician’s control despite the highly predictive value of past offenses. Without merit-based insurance premiums, physicians have little deterrence incentive since personal financial payout is utterly unaffected by individual rates of medical error and associated medmal litigation. Insurance companies have resisted merit-based premiums, complaining that the physicians with the highest surcharges cancel their policies. However, higher risk physicians should pay higher premiums. If merit-based insurance premiums are legally mandatory, merit evaluations will attach to physicians and prevent policy shopping. If it becomes economically infeasible for physicians proven to be negligent in the past to practice, common sense indicates that might be a public good rather than a detriment. Merit-based insurance premiums would correspondingly reward low-risk behaviors, high quality physicians, and innovative methods of improving patient outcomes and/or decreasing medmal litigation.</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National Insurance System</w:t>
      </w:r>
      <w:r w:rsidRPr="00274508">
        <w:rPr>
          <w:rFonts w:ascii="Verdana" w:hAnsi="Verdana" w:cs="Times New Roman"/>
          <w:sz w:val="22"/>
          <w:szCs w:val="32"/>
        </w:rPr>
        <w:t>: physicians and lawyers alike want patients to have access to high quality healthcare, with less medical error, more preventative medicine, and an economically healthy medical system. As other countries have demonstrated, it is possible for physicians and patients to afford insurance, insurance companies to make a profit on medmal, and for hospitals to thrive. This may be an exciting point in healthcare history, as increasingly large numbers of the populace approve of legislation to create a unified, national, no-fault system, which would hopefully bring healthcare costs down, improve hospital financial stability, achieve better regulation over insurance carriers, and deter frivolous lawsuits by removing part of the damages (medical expenses) from the equation. Despite American values of patient autonomy in electing whether or not to have coverage, all Americans in effect have coverage via emergency rooms once something goes wrong. Thus the true difference is access to preventative care, which is far cheaper to society than reactive care. The American Medical Association (AMA) originally believed that such a universal healthcare system would be detrimental to physicians, and even coined the term “socialized medicine” to turn public opinion against it as a communist system. However, the official AMA stance has changed within the past decade despite ties between physicians and insurance companies (60% of providers owned/managed by doctors), hopefully signaling a movement in that direction. Such a national healthcare system would inevitably decrease medmal costs, and in a way that increases patient access to preventative care without decreasing access to justice.</w:t>
      </w:r>
      <w:r w:rsidRPr="00274508">
        <w:rPr>
          <w:rFonts w:ascii="Verdana" w:hAnsi="Verdana" w:cs="Times"/>
          <w:sz w:val="22"/>
          <w:szCs w:val="32"/>
        </w:rPr>
        <w:t> </w:t>
      </w:r>
    </w:p>
    <w:p w:rsidR="00C04E71" w:rsidRPr="00274508" w:rsidRDefault="00C04E71" w:rsidP="00C04E71">
      <w:pPr>
        <w:widowControl w:val="0"/>
        <w:autoSpaceDE w:val="0"/>
        <w:autoSpaceDN w:val="0"/>
        <w:adjustRightInd w:val="0"/>
        <w:spacing w:after="320"/>
        <w:rPr>
          <w:rFonts w:ascii="Verdana" w:hAnsi="Verdana" w:cs="Times"/>
          <w:sz w:val="22"/>
          <w:szCs w:val="32"/>
        </w:rPr>
      </w:pPr>
      <w:r w:rsidRPr="00274508">
        <w:rPr>
          <w:rFonts w:ascii="Verdana" w:hAnsi="Verdana" w:cs="Times"/>
          <w:sz w:val="22"/>
          <w:szCs w:val="32"/>
        </w:rPr>
        <w:t>                  </w:t>
      </w:r>
      <w:r w:rsidRPr="00274508">
        <w:rPr>
          <w:rFonts w:ascii="Verdana" w:hAnsi="Verdana" w:cs="Times New Roman"/>
          <w:sz w:val="22"/>
          <w:szCs w:val="32"/>
          <w:u w:val="single"/>
        </w:rPr>
        <w:t>Start With Medikids</w:t>
      </w:r>
      <w:r w:rsidRPr="00274508">
        <w:rPr>
          <w:rFonts w:ascii="Verdana" w:hAnsi="Verdana" w:cs="Times New Roman"/>
          <w:sz w:val="22"/>
          <w:szCs w:val="32"/>
        </w:rPr>
        <w:t>: just as our nation provides public education to enable the populace to meaningfully participate in our democracy, providing a free public healthcare system for children might be a less controversial step on the road towards implementing a national healthcare program. Without adequate prophylactic care, uninsured children are denied “equal opportunity” to purse “life, liberty, and justice.” A variety of state and federal programs already exist to provide health coverage to low-income children, and it is politically uncontroversial to initiate services “for the children.” Expanding on Medicare and Medicaid with “Medikids” is a realistic step towards universal healthcare. Just as parents are required to send their children to school or otherwise ensure they attain minimum education standards, parents should be required to send their children for immunizations, regular check-ups, and medical preventative care. Symptoms of an unknown medical origin are too often treated with substandard alternative, non-medical “medicine,” such as faith-based healing, and this should not be a legal option for children under the age of 18.</w:t>
      </w:r>
      <w:r w:rsidRPr="00274508">
        <w:rPr>
          <w:rFonts w:ascii="Verdana" w:hAnsi="Verdana" w:cs="Times"/>
          <w:sz w:val="22"/>
          <w:szCs w:val="32"/>
        </w:rPr>
        <w:t> </w:t>
      </w:r>
    </w:p>
    <w:p w:rsidR="00C04E71" w:rsidRPr="00274508" w:rsidRDefault="00C04E71" w:rsidP="00C04E71">
      <w:pPr>
        <w:tabs>
          <w:tab w:val="left" w:pos="2506"/>
        </w:tabs>
        <w:rPr>
          <w:rFonts w:ascii="Verdana" w:hAnsi="Verdana"/>
          <w:sz w:val="22"/>
        </w:rPr>
      </w:pPr>
      <w:r w:rsidRPr="00274508">
        <w:rPr>
          <w:rFonts w:ascii="Verdana" w:hAnsi="Verdana" w:cs="Times"/>
          <w:sz w:val="22"/>
          <w:szCs w:val="32"/>
        </w:rPr>
        <w:t>                  </w:t>
      </w:r>
      <w:r w:rsidRPr="00274508">
        <w:rPr>
          <w:rFonts w:ascii="Verdana" w:hAnsi="Verdana" w:cs="Times New Roman"/>
          <w:sz w:val="22"/>
          <w:szCs w:val="32"/>
          <w:u w:val="single"/>
        </w:rPr>
        <w:t>No-Fault System</w:t>
      </w:r>
      <w:r w:rsidRPr="00274508">
        <w:rPr>
          <w:rFonts w:ascii="Verdana" w:hAnsi="Verdana" w:cs="Times New Roman"/>
          <w:sz w:val="22"/>
          <w:szCs w:val="32"/>
        </w:rPr>
        <w:t>: impossible to regulate professional standard of care in every situation (otherwise medmal cases would have no need of medical experts), so a no fault system without deterrence or regulation would likely lead to lower caliber of patient care. Therefore a no-fault healthcare system is not a viable option.</w:t>
      </w:r>
    </w:p>
    <w:p w:rsidR="00C04E71" w:rsidRDefault="00EF45D8" w:rsidP="00C04E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EF45D8">
        <w:rPr>
          <w:rFonts w:ascii="Calibri" w:hAnsi="Calibri"/>
          <w:noProof/>
        </w:rPr>
        <w:pict>
          <v:shape id="_x0000_s1027" type="#_x0000_t136" style="position:absolute;margin-left:-18pt;margin-top:14.8pt;width:586pt;height:44pt;z-index:251661312;mso-wrap-edited:f;mso-position-horizontal:absolute;mso-position-vertical:absolute" wrapcoords="3401 -1464 414 -732 -55 0 -110 10250 -55 20501 1438 21600 6388 21966 6444 24162 19138 24162 19166 24162 19332 21966 21157 21600 21904 20135 21931 9152 21848 6223 21710 3661 18419 -1464 18198 -1464 3401 -1464" fillcolor="#eeece1" strokecolor="#1f497d" strokeweight="1.25pt">
            <v:shadow on="t" color="#d8d8d8" offset=",1pt" offset2=",-2pt"/>
            <v:textpath style="font-family:&quot;Calibri&quot;;font-weight:bold;v-text-kern:t" trim="t" fitpath="t" string="Contributory v. Comparative Negligence"/>
            <w10:wrap type="tight"/>
          </v:shape>
        </w:pict>
      </w:r>
    </w:p>
    <w:p w:rsidR="00C04E71" w:rsidRPr="00637107" w:rsidRDefault="00C04E71" w:rsidP="00C04E71">
      <w:pPr>
        <w:pStyle w:val="ListParagraph"/>
        <w:widowControl w:val="0"/>
        <w:numPr>
          <w:ilvl w:val="0"/>
          <w:numId w:val="2"/>
        </w:numPr>
        <w:rPr>
          <w:rFonts w:ascii="Calibri" w:hAnsi="Calibri"/>
          <w:sz w:val="22"/>
        </w:rPr>
      </w:pPr>
      <w:r w:rsidRPr="00637107">
        <w:rPr>
          <w:rFonts w:ascii="Calibri" w:hAnsi="Calibri"/>
          <w:b/>
          <w:sz w:val="22"/>
        </w:rPr>
        <w:t>Contributory negligence in history</w:t>
      </w:r>
    </w:p>
    <w:p w:rsidR="00C04E71" w:rsidRPr="00637107" w:rsidRDefault="00C04E71" w:rsidP="00C04E71">
      <w:pPr>
        <w:pStyle w:val="ListParagraph"/>
        <w:widowControl w:val="0"/>
        <w:numPr>
          <w:ilvl w:val="1"/>
          <w:numId w:val="2"/>
        </w:numPr>
        <w:rPr>
          <w:rFonts w:ascii="Calibri" w:hAnsi="Calibri"/>
          <w:sz w:val="22"/>
        </w:rPr>
      </w:pPr>
      <w:r w:rsidRPr="00637107">
        <w:rPr>
          <w:rFonts w:ascii="Calibri" w:hAnsi="Calibri"/>
          <w:sz w:val="22"/>
        </w:rPr>
        <w:t>Could we view the change in US Law from contributory to comparative negligence system as part of the larger fluctuation back and forth in common law, tort law, in the confidence the law has in juries.</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Contributory negligence itself replaced a regime where the jury could weigh the Plaintiff’s negligence but weren’t obligated to apply that in any particular way</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But in early 18th century contributory negligence was seized upon as a way of shielding business – retreat from confidence in the jury</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Exceptions to cancel out Plaintiff’s negligence (willful and wanton, last clear chance, etc)- doctrines where in judge wants to carve out exceptions because of less confidence in the jury</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Plaintiff’s key issue is can I get in front of a jury, and Defendant doesn’t want to. Tort law as body of doctrine, set of rules, that defines when juries get to decide in a dispute and when they don’t.</w:t>
      </w:r>
    </w:p>
    <w:p w:rsidR="00C04E71" w:rsidRPr="00637107" w:rsidRDefault="00C04E71" w:rsidP="00C04E71">
      <w:pPr>
        <w:pStyle w:val="ListParagraph"/>
        <w:widowControl w:val="0"/>
        <w:numPr>
          <w:ilvl w:val="0"/>
          <w:numId w:val="2"/>
        </w:numPr>
        <w:rPr>
          <w:rFonts w:ascii="Calibri" w:hAnsi="Calibri"/>
          <w:sz w:val="22"/>
        </w:rPr>
      </w:pPr>
      <w:r w:rsidRPr="00637107">
        <w:rPr>
          <w:rFonts w:ascii="Calibri" w:hAnsi="Calibri"/>
          <w:b/>
          <w:sz w:val="22"/>
        </w:rPr>
        <w:t>Comparative negligence since the 1970s</w:t>
      </w:r>
      <w:r w:rsidRPr="00637107">
        <w:rPr>
          <w:rFonts w:ascii="Calibri" w:hAnsi="Calibri"/>
          <w:sz w:val="22"/>
        </w:rPr>
        <w:t xml:space="preserve"> </w:t>
      </w:r>
    </w:p>
    <w:p w:rsidR="00C04E71" w:rsidRPr="00637107" w:rsidRDefault="00C04E71" w:rsidP="00C04E71">
      <w:pPr>
        <w:pStyle w:val="ListParagraph"/>
        <w:widowControl w:val="0"/>
        <w:numPr>
          <w:ilvl w:val="1"/>
          <w:numId w:val="2"/>
        </w:numPr>
        <w:rPr>
          <w:rFonts w:ascii="Calibri" w:hAnsi="Calibri"/>
          <w:sz w:val="22"/>
        </w:rPr>
      </w:pPr>
      <w:r w:rsidRPr="00637107">
        <w:rPr>
          <w:rFonts w:ascii="Calibri" w:hAnsi="Calibri"/>
          <w:sz w:val="22"/>
        </w:rPr>
        <w:t>maybe it wasn’t totally thought out what would be the implications of adopting a new system.</w:t>
      </w:r>
    </w:p>
    <w:p w:rsidR="00C04E71" w:rsidRPr="00637107" w:rsidRDefault="00C04E71" w:rsidP="00C04E71">
      <w:pPr>
        <w:pStyle w:val="ListParagraph"/>
        <w:widowControl w:val="0"/>
        <w:numPr>
          <w:ilvl w:val="1"/>
          <w:numId w:val="2"/>
        </w:numPr>
        <w:rPr>
          <w:rFonts w:ascii="Calibri" w:hAnsi="Calibri"/>
          <w:sz w:val="22"/>
        </w:rPr>
      </w:pPr>
      <w:r w:rsidRPr="00637107">
        <w:rPr>
          <w:rFonts w:ascii="Calibri" w:hAnsi="Calibri"/>
          <w:b/>
          <w:sz w:val="22"/>
        </w:rPr>
        <w:t>Doctrines affected:</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Last clear chance (famous case involving the tethering of the ass).</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Do you need this once you’ve adopted a system of comparative negligence, or do you just roll this into account of Defendant’s negligence/Defendant’s fault?</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 xml:space="preserve">Most states abolished. </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Willful or wanton negligence doctrine (still around in other parts of tort law)</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 xml:space="preserve">Used to be a separate Plaintiff’s counter-position that defeated contributory negligence </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Some states have abolished altogether (all or nothing doctrine not necessary when we are comparing to begin with)</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Joint and Several Liability (substitute system where each Defendant is only responsible for damages in proportion to their own percentage of fault.)</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Generally we have done away with joint and several liability (before degree of fault was determined, J&amp;S rule says all tortfeasors are jointly liable for all the $ on the hook)</w:t>
      </w:r>
    </w:p>
    <w:p w:rsidR="00C04E71" w:rsidRPr="00637107" w:rsidRDefault="00C04E71" w:rsidP="00C04E71">
      <w:pPr>
        <w:pStyle w:val="ListParagraph"/>
        <w:widowControl w:val="0"/>
        <w:numPr>
          <w:ilvl w:val="3"/>
          <w:numId w:val="2"/>
        </w:numPr>
        <w:rPr>
          <w:rFonts w:ascii="Calibri" w:hAnsi="Calibri"/>
          <w:b/>
          <w:sz w:val="22"/>
        </w:rPr>
      </w:pPr>
      <w:r w:rsidRPr="00637107">
        <w:rPr>
          <w:rFonts w:ascii="Calibri" w:hAnsi="Calibri"/>
          <w:b/>
          <w:sz w:val="22"/>
        </w:rPr>
        <w:t xml:space="preserve">Comparative fault: term you can use to describe the comparison of fault </w:t>
      </w:r>
      <w:r w:rsidRPr="00637107">
        <w:rPr>
          <w:rFonts w:ascii="Calibri" w:hAnsi="Calibri"/>
          <w:b/>
          <w:sz w:val="22"/>
          <w:u w:val="single"/>
        </w:rPr>
        <w:t xml:space="preserve">within </w:t>
      </w:r>
      <w:r w:rsidRPr="00637107">
        <w:rPr>
          <w:rFonts w:ascii="Calibri" w:hAnsi="Calibri"/>
          <w:b/>
          <w:sz w:val="22"/>
        </w:rPr>
        <w:t xml:space="preserve">the Defendant class (d1 compared to d2).  </w:t>
      </w:r>
    </w:p>
    <w:p w:rsidR="00C04E71" w:rsidRPr="00637107" w:rsidRDefault="00C04E71" w:rsidP="00C04E71">
      <w:pPr>
        <w:pStyle w:val="ListParagraph"/>
        <w:widowControl w:val="0"/>
        <w:numPr>
          <w:ilvl w:val="4"/>
          <w:numId w:val="2"/>
        </w:numPr>
        <w:rPr>
          <w:rFonts w:ascii="Calibri" w:hAnsi="Calibri"/>
          <w:sz w:val="22"/>
        </w:rPr>
      </w:pPr>
      <w:r w:rsidRPr="00637107">
        <w:rPr>
          <w:rFonts w:ascii="Calibri" w:hAnsi="Calibri"/>
          <w:sz w:val="22"/>
        </w:rPr>
        <w:t>Has now in many states replaced J&amp;S</w:t>
      </w:r>
    </w:p>
    <w:p w:rsidR="00C04E71" w:rsidRPr="00637107" w:rsidRDefault="00C04E71" w:rsidP="00C04E71">
      <w:pPr>
        <w:pStyle w:val="ListParagraph"/>
        <w:widowControl w:val="0"/>
        <w:numPr>
          <w:ilvl w:val="4"/>
          <w:numId w:val="2"/>
        </w:numPr>
        <w:rPr>
          <w:rFonts w:ascii="Calibri" w:hAnsi="Calibri"/>
          <w:b/>
          <w:sz w:val="22"/>
        </w:rPr>
      </w:pPr>
      <w:r w:rsidRPr="00637107">
        <w:rPr>
          <w:rFonts w:ascii="Calibri" w:hAnsi="Calibri"/>
          <w:sz w:val="22"/>
        </w:rPr>
        <w:t>Notice terminology:</w:t>
      </w:r>
    </w:p>
    <w:p w:rsidR="00C04E71" w:rsidRPr="00637107" w:rsidRDefault="00C04E71" w:rsidP="00C04E71">
      <w:pPr>
        <w:pStyle w:val="ListParagraph"/>
        <w:widowControl w:val="0"/>
        <w:numPr>
          <w:ilvl w:val="4"/>
          <w:numId w:val="2"/>
        </w:numPr>
        <w:rPr>
          <w:rFonts w:ascii="Calibri" w:hAnsi="Calibri"/>
          <w:b/>
          <w:sz w:val="22"/>
        </w:rPr>
      </w:pPr>
      <w:r w:rsidRPr="00637107">
        <w:rPr>
          <w:rFonts w:ascii="Calibri" w:hAnsi="Calibri"/>
          <w:b/>
          <w:sz w:val="22"/>
        </w:rPr>
        <w:t>Comparative negligence: doctrine that compares Plaintiff’s fault to Defendant classes fault</w:t>
      </w:r>
    </w:p>
    <w:p w:rsidR="00C04E71" w:rsidRDefault="00C04E71" w:rsidP="00C04E71">
      <w:pPr>
        <w:pStyle w:val="ListParagraph"/>
        <w:widowControl w:val="0"/>
        <w:numPr>
          <w:ilvl w:val="2"/>
          <w:numId w:val="2"/>
        </w:numPr>
        <w:rPr>
          <w:rFonts w:ascii="Calibri" w:hAnsi="Calibri"/>
          <w:sz w:val="22"/>
        </w:rPr>
      </w:pPr>
      <w:r w:rsidRPr="00637107">
        <w:rPr>
          <w:rFonts w:ascii="Calibri" w:hAnsi="Calibri"/>
          <w:sz w:val="22"/>
        </w:rPr>
        <w:t>J&amp;S often used to relieve Plaintiff of burden of causation - (1) J&amp;S (2) alternative causation-bring both D1 and D2 and prove they were both negligence and that one of them caused the injury just cant tell which, alternative liability shifts the proof of causation to Defendants if they cannot unravel the causal knot they are both liable under J&amp;S.  (3) two tortfeasors inflict indivisible injury, in that case burden to separate out the harms goes to Defendant and if they cant they are liable under J&amp;S)</w:t>
      </w:r>
    </w:p>
    <w:p w:rsidR="00C04E71" w:rsidRPr="00637107" w:rsidRDefault="00C04E71" w:rsidP="00C04E71">
      <w:pPr>
        <w:pStyle w:val="ListParagraph"/>
        <w:widowControl w:val="0"/>
        <w:numPr>
          <w:ilvl w:val="1"/>
          <w:numId w:val="2"/>
        </w:numPr>
        <w:rPr>
          <w:rFonts w:ascii="Calibri" w:hAnsi="Calibri"/>
          <w:sz w:val="22"/>
        </w:rPr>
      </w:pPr>
      <w:r w:rsidRPr="00637107">
        <w:rPr>
          <w:rFonts w:ascii="Calibri" w:hAnsi="Calibri"/>
          <w:sz w:val="22"/>
        </w:rPr>
        <w:t xml:space="preserve">Traditional CL </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Traditional common law approach when multiple Defendant have been involved in Plaintiff’s injuries.  From concerted action cases- if a group agreed to beat up someone, all of the group should be responsible for all of Plaintiff’s injuries.</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 xml:space="preserve">All who are part of a conspiracy are responsible for each other’s actions, all liable up to the full extent of Plaintiff’s injuries. Plaintiff can target the deep pocket and collect all from D1… </w:t>
      </w:r>
    </w:p>
    <w:p w:rsidR="00C04E71" w:rsidRPr="00637107" w:rsidRDefault="00C04E71" w:rsidP="00C04E71">
      <w:pPr>
        <w:pStyle w:val="ListParagraph"/>
        <w:widowControl w:val="0"/>
        <w:numPr>
          <w:ilvl w:val="2"/>
          <w:numId w:val="2"/>
        </w:numPr>
        <w:rPr>
          <w:rFonts w:ascii="Calibri" w:hAnsi="Calibri"/>
          <w:sz w:val="22"/>
        </w:rPr>
      </w:pPr>
      <w:r w:rsidRPr="00637107">
        <w:rPr>
          <w:rFonts w:ascii="Calibri" w:hAnsi="Calibri"/>
          <w:sz w:val="22"/>
        </w:rPr>
        <w:t>From concert cases has been extended to common ownership</w:t>
      </w:r>
    </w:p>
    <w:p w:rsidR="00C04E71" w:rsidRDefault="00C04E71" w:rsidP="00C04E71">
      <w:pPr>
        <w:pStyle w:val="ListParagraph"/>
        <w:widowControl w:val="0"/>
        <w:numPr>
          <w:ilvl w:val="3"/>
          <w:numId w:val="2"/>
        </w:numPr>
        <w:rPr>
          <w:rFonts w:ascii="Calibri" w:hAnsi="Calibri"/>
          <w:sz w:val="22"/>
        </w:rPr>
      </w:pPr>
      <w:r w:rsidRPr="00637107">
        <w:rPr>
          <w:rFonts w:ascii="Calibri" w:hAnsi="Calibri"/>
          <w:sz w:val="22"/>
        </w:rPr>
        <w:t>ie owner and operator are together jointly &amp; severally liable for Plaintiff’s injury from broken elevator.</w:t>
      </w:r>
    </w:p>
    <w:p w:rsidR="00C04E71" w:rsidRPr="00637107" w:rsidRDefault="00C04E71" w:rsidP="00C04E71">
      <w:pPr>
        <w:pStyle w:val="ListParagraph"/>
        <w:widowControl w:val="0"/>
        <w:numPr>
          <w:ilvl w:val="3"/>
          <w:numId w:val="2"/>
        </w:numPr>
        <w:rPr>
          <w:rFonts w:ascii="Calibri" w:hAnsi="Calibri"/>
          <w:sz w:val="22"/>
        </w:rPr>
      </w:pPr>
      <w:r w:rsidRPr="00637107">
        <w:rPr>
          <w:rFonts w:ascii="Calibri" w:hAnsi="Calibri"/>
          <w:sz w:val="22"/>
        </w:rPr>
        <w:t>Implication of substituting comparative negligence for contributory negligence is that we should abolish J&amp;S and start comparing the fault of parties.</w:t>
      </w:r>
      <w:r w:rsidRPr="00637107">
        <w:rPr>
          <w:rFonts w:ascii="Calibri" w:hAnsi="Calibri"/>
          <w:sz w:val="22"/>
        </w:rPr>
        <w:br/>
      </w:r>
    </w:p>
    <w:p w:rsidR="00C04E71" w:rsidRPr="00637107" w:rsidRDefault="00C04E71" w:rsidP="00C04E71">
      <w:pPr>
        <w:pStyle w:val="ListParagraph"/>
        <w:widowControl w:val="0"/>
        <w:ind w:left="2160"/>
        <w:rPr>
          <w:rFonts w:ascii="Calibri" w:hAnsi="Calibri"/>
          <w:sz w:val="22"/>
        </w:rPr>
      </w:pPr>
    </w:p>
    <w:p w:rsidR="00C04E71" w:rsidRDefault="00C04E71" w:rsidP="00C04E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C04E71" w:rsidRDefault="00EF45D8" w:rsidP="00C04E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w:pict>
          <v:shape id="_x0000_s1028" type="#_x0000_t136" style="position:absolute;margin-left:36pt;margin-top:-36pt;width:490pt;height:44pt;z-index:251662336;mso-wrap-edited:f;mso-position-horizontal:absolute;mso-position-vertical:absolute" wrapcoords="10551 -1464 1157 -1464 -99 -732 -132 20501 1554 21600 7211 21966 7310 24162 20872 24162 20905 24162 21004 21966 21401 21600 21765 18671 21765 16108 21897 10250 21996 4759 21996 -1098 21070 -1464 10849 -1464 10551 -1464" fillcolor="#eeece1" strokecolor="#1f497d" strokeweight="1.25pt">
            <v:shadow on="t" color="#d8d8d8" offset=",1pt" offset2=",-2pt"/>
            <v:textpath style="font-family:&quot;Calibri&quot;;font-weight:bold;v-text-kern:t" trim="t" fitpath="t" string="Should Duty be for Judge or Jury?"/>
            <w10:wrap type="tight"/>
          </v:shape>
        </w:pict>
      </w:r>
    </w:p>
    <w:p w:rsidR="00F82EDE" w:rsidRDefault="00F82EDE" w:rsidP="00F82EDE">
      <w:pPr>
        <w:widowControl w:val="0"/>
        <w:rPr>
          <w:rFonts w:ascii="Calibri" w:hAnsi="Calibri"/>
          <w:i/>
          <w:sz w:val="22"/>
        </w:rPr>
      </w:pPr>
      <w:r>
        <w:rPr>
          <w:rFonts w:ascii="Calibri" w:hAnsi="Calibri"/>
          <w:sz w:val="22"/>
        </w:rPr>
        <w:t xml:space="preserve">In </w:t>
      </w:r>
      <w:r w:rsidRPr="00F82EDE">
        <w:rPr>
          <w:rFonts w:ascii="Calibri" w:hAnsi="Calibri"/>
          <w:sz w:val="22"/>
        </w:rPr>
        <w:t>Palsgraf</w:t>
      </w:r>
      <w:r>
        <w:rPr>
          <w:rFonts w:ascii="Calibri" w:hAnsi="Calibri"/>
          <w:sz w:val="22"/>
        </w:rPr>
        <w:t xml:space="preserve">, </w:t>
      </w:r>
      <w:r w:rsidR="007A7C31" w:rsidRPr="00F82EDE">
        <w:rPr>
          <w:rFonts w:ascii="Calibri" w:hAnsi="Calibri"/>
          <w:i/>
          <w:sz w:val="22"/>
        </w:rPr>
        <w:t>Cardozo’s decision of no negligence is bizarre, as there are many ways which negligence could have been construed: discouraging men from boarding a moving train, closing the door, poorly mounted scale etc)</w:t>
      </w:r>
    </w:p>
    <w:p w:rsidR="00F82EDE" w:rsidRDefault="00F82EDE" w:rsidP="00F82EDE">
      <w:pPr>
        <w:widowControl w:val="0"/>
        <w:rPr>
          <w:rFonts w:ascii="Calibri" w:hAnsi="Calibri"/>
          <w:i/>
          <w:sz w:val="22"/>
        </w:rPr>
      </w:pPr>
    </w:p>
    <w:p w:rsidR="007A7C31" w:rsidRPr="00F82EDE" w:rsidRDefault="007A7C31" w:rsidP="00F82EDE">
      <w:pPr>
        <w:widowControl w:val="0"/>
        <w:rPr>
          <w:rFonts w:ascii="Calibri" w:hAnsi="Calibri"/>
          <w:sz w:val="22"/>
        </w:rPr>
      </w:pPr>
      <w:r w:rsidRPr="00F82EDE">
        <w:rPr>
          <w:rFonts w:ascii="Calibri" w:hAnsi="Calibri"/>
          <w:sz w:val="22"/>
          <w:u w:val="single"/>
        </w:rPr>
        <w:t>Cardozo turned question of legal cause into a question of duty</w:t>
      </w:r>
      <w:r w:rsidRPr="00F82EDE">
        <w:rPr>
          <w:rFonts w:ascii="Calibri" w:hAnsi="Calibri"/>
          <w:sz w:val="22"/>
        </w:rPr>
        <w:t xml:space="preserve"> (who does D have a duty to), becomes a question for the judge: Cardozo says HE gets to decide, instead of jury. (Andrews dissented, said jury can consider forseeability along with other factors).</w:t>
      </w:r>
      <w:r w:rsidR="00F82EDE">
        <w:rPr>
          <w:rFonts w:ascii="Calibri" w:hAnsi="Calibri"/>
          <w:sz w:val="22"/>
        </w:rPr>
        <w:t xml:space="preserve">  When you make something a duty issue, the judge gets more power.</w:t>
      </w:r>
    </w:p>
    <w:p w:rsidR="00F82EDE" w:rsidRDefault="00F82EDE" w:rsidP="00F82EDE">
      <w:pPr>
        <w:widowControl w:val="0"/>
        <w:rPr>
          <w:rFonts w:ascii="Calibri" w:hAnsi="Calibri"/>
          <w:b/>
          <w:i/>
          <w:sz w:val="22"/>
        </w:rPr>
      </w:pPr>
    </w:p>
    <w:p w:rsidR="007A7C31" w:rsidRPr="00F82EDE" w:rsidRDefault="007A7C31" w:rsidP="00F82EDE">
      <w:pPr>
        <w:widowControl w:val="0"/>
        <w:rPr>
          <w:rFonts w:ascii="Calibri" w:hAnsi="Calibri"/>
          <w:b/>
          <w:sz w:val="22"/>
        </w:rPr>
      </w:pPr>
      <w:r w:rsidRPr="00F82EDE">
        <w:rPr>
          <w:rFonts w:ascii="Calibri" w:hAnsi="Calibri"/>
          <w:b/>
          <w:i/>
          <w:sz w:val="22"/>
        </w:rPr>
        <w:t>Edwards v. Honeywell</w:t>
      </w:r>
      <w:r w:rsidRPr="00F82EDE">
        <w:rPr>
          <w:rFonts w:ascii="Calibri" w:hAnsi="Calibri"/>
          <w:b/>
          <w:sz w:val="22"/>
        </w:rPr>
        <w:t xml:space="preserve"> (1995) </w:t>
      </w:r>
      <w:r w:rsidRPr="00F82EDE">
        <w:rPr>
          <w:rFonts w:ascii="Calibri" w:hAnsi="Calibri"/>
          <w:sz w:val="22"/>
        </w:rPr>
        <w:t>Fireman’s widow sued claiming death was caused by delay of alarm dispatch. Court astoundingly holds: a firefighter being injured is not a foreseeable risk by a tardy alarm.</w:t>
      </w:r>
      <w:r w:rsidR="00F82EDE">
        <w:rPr>
          <w:rFonts w:ascii="Calibri" w:hAnsi="Calibri"/>
          <w:b/>
          <w:sz w:val="22"/>
        </w:rPr>
        <w:t xml:space="preserve"> </w:t>
      </w:r>
      <w:r w:rsidRPr="00F82EDE">
        <w:rPr>
          <w:rFonts w:ascii="Calibri" w:hAnsi="Calibri"/>
          <w:sz w:val="22"/>
        </w:rPr>
        <w:t>Cardozian trick: turns forseeability Q into duty Q (judge limits liability &amp; keep the case away from jury &amp; decide as a pure legal matter).</w:t>
      </w:r>
    </w:p>
    <w:p w:rsidR="00F82EDE" w:rsidRDefault="00F82EDE" w:rsidP="00F82EDE">
      <w:pPr>
        <w:widowControl w:val="0"/>
        <w:rPr>
          <w:rFonts w:ascii="Calibri" w:hAnsi="Calibri"/>
          <w:sz w:val="22"/>
        </w:rPr>
      </w:pPr>
    </w:p>
    <w:p w:rsidR="00F82EDE" w:rsidRDefault="007A7C31" w:rsidP="00F82EDE">
      <w:pPr>
        <w:widowControl w:val="0"/>
        <w:rPr>
          <w:rFonts w:ascii="Calibri" w:hAnsi="Calibri"/>
          <w:b/>
          <w:sz w:val="22"/>
        </w:rPr>
      </w:pPr>
      <w:r w:rsidRPr="00F82EDE">
        <w:rPr>
          <w:rFonts w:ascii="Calibri" w:hAnsi="Calibri"/>
          <w:sz w:val="22"/>
        </w:rPr>
        <w:t xml:space="preserve">Better ways of analysis: </w:t>
      </w:r>
      <w:r w:rsidR="00F82EDE">
        <w:rPr>
          <w:rFonts w:ascii="Calibri" w:hAnsi="Calibri"/>
          <w:b/>
          <w:sz w:val="22"/>
        </w:rPr>
        <w:t xml:space="preserve"> </w:t>
      </w:r>
      <w:r w:rsidRPr="00F82EDE">
        <w:rPr>
          <w:rFonts w:ascii="Calibri" w:hAnsi="Calibri"/>
          <w:sz w:val="22"/>
        </w:rPr>
        <w:t>Duty of care by providers of services of the public utility to the general public (not customers)</w:t>
      </w:r>
    </w:p>
    <w:p w:rsidR="007A7C31" w:rsidRPr="00F82EDE" w:rsidRDefault="007A7C31" w:rsidP="00F82EDE">
      <w:pPr>
        <w:widowControl w:val="0"/>
        <w:rPr>
          <w:rFonts w:ascii="Calibri" w:hAnsi="Calibri"/>
          <w:b/>
          <w:sz w:val="22"/>
        </w:rPr>
      </w:pPr>
      <w:r w:rsidRPr="00F82EDE">
        <w:rPr>
          <w:rFonts w:ascii="Calibri" w:hAnsi="Calibri"/>
          <w:sz w:val="22"/>
        </w:rPr>
        <w:t>Determining duty: would have had an impossible task determining how careful it must be to meet its legal obligation, or how much more to charge its subscribers to cover its liability.</w:t>
      </w:r>
      <w:r w:rsidR="00F82EDE">
        <w:rPr>
          <w:rFonts w:ascii="Calibri" w:hAnsi="Calibri"/>
          <w:b/>
          <w:sz w:val="22"/>
        </w:rPr>
        <w:t xml:space="preserve"> </w:t>
      </w:r>
      <w:r w:rsidRPr="00F82EDE">
        <w:rPr>
          <w:rFonts w:ascii="Calibri" w:hAnsi="Calibri"/>
          <w:sz w:val="22"/>
        </w:rPr>
        <w:t>Hand formula: creation of a duty of care running from alarm service to fireman would at best make a marginal contribution to fire safety (would be outweighed by the cost).</w:t>
      </w:r>
    </w:p>
    <w:p w:rsidR="00F82EDE" w:rsidRDefault="00F82EDE"/>
    <w:p w:rsidR="00F82EDE" w:rsidRPr="00F82EDE" w:rsidRDefault="00EF45D8" w:rsidP="00F82EDE">
      <w:r w:rsidRPr="00EF45D8">
        <w:rPr>
          <w:rFonts w:ascii="Calibri" w:hAnsi="Calibri"/>
          <w:noProof/>
        </w:rPr>
        <w:pict>
          <v:shape id="_x0000_s1029" type="#_x0000_t136" style="position:absolute;margin-left:-18pt;margin-top:5.7pt;width:544pt;height:44pt;z-index:251663360;mso-wrap-edited:f;mso-position-horizontal:absolute;mso-position-vertical:absolute" wrapcoords="7954 -1464 238 -366 -119 0 -119 20135 1519 21600 6733 21966 6822 24162 7299 24162 7418 21966 21957 20867 21957 -1098 21480 -1464 8222 -1464 7954 -1464" fillcolor="#eeece1" strokecolor="#1f497d" strokeweight="1.25pt">
            <v:shadow on="t" color="#d8d8d8" offset=",1pt" offset2=",-2pt"/>
            <v:textpath style="font-family:&quot;Calibri&quot;;font-weight:bold;v-text-kern:t" trim="t" fitpath="t" string="No Recovery for Pure Economic Loss!"/>
            <w10:wrap type="tight"/>
          </v:shape>
        </w:pict>
      </w:r>
      <w:r w:rsidR="00F82EDE" w:rsidRPr="00F82EDE">
        <w:rPr>
          <w:rFonts w:ascii="Calibri" w:hAnsi="Calibri"/>
        </w:rPr>
        <w:t xml:space="preserve">Why are we so reluctant to allow recovery for pure economic loss? </w:t>
      </w:r>
      <w:r w:rsidR="00F82EDE" w:rsidRPr="00F82EDE">
        <w:rPr>
          <w:rFonts w:ascii="Calibri" w:hAnsi="Calibri"/>
          <w:sz w:val="22"/>
        </w:rPr>
        <w:t>Need for limits, Need predictable and workable rule, a bright line rule (no recovery for pure economic loss), Concerns about floodgates, fraud, inflated claims</w:t>
      </w:r>
    </w:p>
    <w:tbl>
      <w:tblPr>
        <w:tblStyle w:val="MediumShading2"/>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E0"/>
      </w:tblPr>
      <w:tblGrid>
        <w:gridCol w:w="4890"/>
        <w:gridCol w:w="4890"/>
      </w:tblGrid>
      <w:tr w:rsidR="00F82EDE" w:rsidRPr="00F82EDE">
        <w:trPr>
          <w:cnfStyle w:val="100000000000"/>
          <w:trHeight w:val="318"/>
        </w:trPr>
        <w:tc>
          <w:tcPr>
            <w:cnfStyle w:val="001000000100"/>
            <w:tcW w:w="4890" w:type="dxa"/>
            <w:tcBorders>
              <w:top w:val="none" w:sz="0" w:space="0" w:color="auto"/>
              <w:left w:val="none" w:sz="0" w:space="0" w:color="auto"/>
              <w:bottom w:val="none" w:sz="0" w:space="0" w:color="auto"/>
              <w:right w:val="none" w:sz="0" w:space="0" w:color="auto"/>
            </w:tcBorders>
            <w:shd w:val="clear" w:color="auto" w:fill="7F7F7F" w:themeFill="text1" w:themeFillTint="80"/>
          </w:tcPr>
          <w:p w:rsidR="00F82EDE" w:rsidRPr="00F82EDE" w:rsidRDefault="00F82EDE" w:rsidP="0049076C">
            <w:pPr>
              <w:jc w:val="center"/>
              <w:rPr>
                <w:rFonts w:ascii="Arial" w:hAnsi="Arial"/>
                <w:color w:val="000000" w:themeColor="text1"/>
                <w:sz w:val="18"/>
              </w:rPr>
            </w:pPr>
            <w:r w:rsidRPr="00F82EDE">
              <w:rPr>
                <w:rFonts w:ascii="Arial" w:hAnsi="Arial"/>
                <w:color w:val="000000" w:themeColor="text1"/>
                <w:sz w:val="18"/>
              </w:rPr>
              <w:t>HIGGENBOTHAM (LAW OF ECONOMICS)</w:t>
            </w:r>
          </w:p>
        </w:tc>
        <w:tc>
          <w:tcPr>
            <w:tcW w:w="4890" w:type="dxa"/>
            <w:tcBorders>
              <w:top w:val="none" w:sz="0" w:space="0" w:color="auto"/>
              <w:left w:val="none" w:sz="0" w:space="0" w:color="auto"/>
              <w:bottom w:val="none" w:sz="0" w:space="0" w:color="auto"/>
              <w:right w:val="none" w:sz="0" w:space="0" w:color="auto"/>
            </w:tcBorders>
            <w:shd w:val="clear" w:color="auto" w:fill="7F7F7F" w:themeFill="text1" w:themeFillTint="80"/>
          </w:tcPr>
          <w:p w:rsidR="00F82EDE" w:rsidRPr="00F82EDE" w:rsidRDefault="00F82EDE" w:rsidP="0049076C">
            <w:pPr>
              <w:jc w:val="center"/>
              <w:cnfStyle w:val="100000000000"/>
              <w:rPr>
                <w:rFonts w:ascii="Arial" w:hAnsi="Arial"/>
                <w:color w:val="000000" w:themeColor="text1"/>
                <w:sz w:val="18"/>
              </w:rPr>
            </w:pPr>
            <w:r w:rsidRPr="00F82EDE">
              <w:rPr>
                <w:rFonts w:ascii="Arial" w:hAnsi="Arial"/>
                <w:color w:val="000000" w:themeColor="text1"/>
                <w:sz w:val="18"/>
              </w:rPr>
              <w:t>JUDGE WISOM (DISSENT)</w:t>
            </w:r>
          </w:p>
        </w:tc>
      </w:tr>
      <w:tr w:rsidR="00F82EDE" w:rsidRPr="00F82EDE">
        <w:trPr>
          <w:trHeight w:val="318"/>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Forseeability isn’t enough &amp; includes too many people.</w:t>
            </w:r>
          </w:p>
        </w:tc>
        <w:tc>
          <w:tcPr>
            <w:tcW w:w="4890" w:type="dxa"/>
            <w:shd w:val="clear" w:color="auto" w:fill="D9D9D9" w:themeFill="background1" w:themeFillShade="D9"/>
          </w:tcPr>
          <w:p w:rsidR="00F82EDE" w:rsidRPr="00F82EDE" w:rsidRDefault="00F82EDE" w:rsidP="0049076C">
            <w:pPr>
              <w:cnfStyle w:val="000000000000"/>
              <w:rPr>
                <w:rFonts w:ascii="Arial" w:hAnsi="Arial"/>
                <w:b/>
                <w:color w:val="000000" w:themeColor="text1"/>
                <w:sz w:val="18"/>
              </w:rPr>
            </w:pPr>
            <w:r w:rsidRPr="00F82EDE">
              <w:rPr>
                <w:rFonts w:ascii="Arial" w:hAnsi="Arial"/>
                <w:b/>
                <w:color w:val="000000" w:themeColor="text1"/>
                <w:sz w:val="18"/>
              </w:rPr>
              <w:t>Forseeability is too broad.</w:t>
            </w:r>
            <w:r>
              <w:rPr>
                <w:rFonts w:ascii="Arial" w:hAnsi="Arial"/>
                <w:b/>
                <w:color w:val="000000" w:themeColor="text1"/>
                <w:sz w:val="18"/>
              </w:rPr>
              <w:t xml:space="preserve"> </w:t>
            </w:r>
            <w:r>
              <w:rPr>
                <w:rFonts w:ascii="Arial" w:hAnsi="Arial"/>
                <w:color w:val="000000" w:themeColor="text1"/>
                <w:sz w:val="18"/>
              </w:rPr>
              <w:t>A new line can be drawn</w:t>
            </w:r>
            <w:r w:rsidRPr="00F82EDE">
              <w:rPr>
                <w:rFonts w:ascii="Arial" w:hAnsi="Arial"/>
                <w:color w:val="000000" w:themeColor="text1"/>
                <w:sz w:val="18"/>
              </w:rPr>
              <w:t>:</w:t>
            </w:r>
          </w:p>
          <w:p w:rsidR="00F82EDE" w:rsidRPr="00F82EDE" w:rsidRDefault="00F82EDE" w:rsidP="0049076C">
            <w:pPr>
              <w:cnfStyle w:val="000000000000"/>
              <w:rPr>
                <w:rFonts w:ascii="Arial" w:hAnsi="Arial"/>
                <w:color w:val="000000" w:themeColor="text1"/>
                <w:sz w:val="18"/>
              </w:rPr>
            </w:pPr>
            <w:r w:rsidRPr="00F82EDE">
              <w:rPr>
                <w:rFonts w:ascii="Arial" w:hAnsi="Arial"/>
                <w:color w:val="000000" w:themeColor="text1"/>
                <w:sz w:val="18"/>
              </w:rPr>
              <w:t>1. Was the harm foreseeable</w:t>
            </w:r>
          </w:p>
          <w:p w:rsidR="00F82EDE" w:rsidRPr="00F82EDE" w:rsidRDefault="00F82EDE" w:rsidP="0049076C">
            <w:pPr>
              <w:cnfStyle w:val="000000000000"/>
              <w:rPr>
                <w:rFonts w:ascii="Arial" w:hAnsi="Arial"/>
                <w:color w:val="000000" w:themeColor="text1"/>
                <w:sz w:val="18"/>
              </w:rPr>
            </w:pPr>
            <w:r w:rsidRPr="00F82EDE">
              <w:rPr>
                <w:rFonts w:ascii="Arial" w:hAnsi="Arial"/>
                <w:color w:val="000000" w:themeColor="text1"/>
                <w:sz w:val="18"/>
              </w:rPr>
              <w:t>2. Apply cause in fact (proximate cause) limitation- must prove the collision was in fact the cause of their economic losses</w:t>
            </w:r>
          </w:p>
          <w:p w:rsidR="00F82EDE" w:rsidRPr="00F82EDE" w:rsidRDefault="00F82EDE">
            <w:pPr>
              <w:cnfStyle w:val="000000000000"/>
              <w:rPr>
                <w:rFonts w:ascii="Arial" w:hAnsi="Arial"/>
                <w:color w:val="000000" w:themeColor="text1"/>
                <w:sz w:val="18"/>
              </w:rPr>
            </w:pPr>
            <w:r w:rsidRPr="00F82EDE">
              <w:rPr>
                <w:rFonts w:ascii="Arial" w:hAnsi="Arial"/>
                <w:color w:val="000000" w:themeColor="text1"/>
                <w:sz w:val="18"/>
              </w:rPr>
              <w:t xml:space="preserve">3. Distinct Damage. Borrow from nuisance law the concept of particular damage, claimants must show they are uniquely damaged (somehow more than the rest of the public). </w:t>
            </w:r>
          </w:p>
        </w:tc>
      </w:tr>
      <w:tr w:rsidR="00F82EDE" w:rsidRPr="00F82EDE">
        <w:trPr>
          <w:trHeight w:val="319"/>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Economic loss rule is necessary</w:t>
            </w:r>
          </w:p>
        </w:tc>
        <w:tc>
          <w:tcPr>
            <w:tcW w:w="4890" w:type="dxa"/>
            <w:shd w:val="clear" w:color="auto" w:fill="D9D9D9" w:themeFill="background1" w:themeFillShade="D9"/>
          </w:tcPr>
          <w:p w:rsidR="00F82EDE" w:rsidRPr="00F82EDE" w:rsidRDefault="00F82EDE">
            <w:pPr>
              <w:cnfStyle w:val="000000000000"/>
              <w:rPr>
                <w:rFonts w:ascii="Arial" w:hAnsi="Arial"/>
                <w:b/>
                <w:color w:val="000000" w:themeColor="text1"/>
                <w:sz w:val="18"/>
              </w:rPr>
            </w:pPr>
            <w:r w:rsidRPr="00F82EDE">
              <w:rPr>
                <w:rFonts w:ascii="Arial" w:hAnsi="Arial"/>
                <w:b/>
                <w:color w:val="000000" w:themeColor="text1"/>
                <w:sz w:val="18"/>
              </w:rPr>
              <w:t>Draws (an arbitrary line) against recourse for restaurants</w:t>
            </w:r>
          </w:p>
        </w:tc>
      </w:tr>
      <w:tr w:rsidR="00F82EDE" w:rsidRPr="00F82EDE">
        <w:trPr>
          <w:trHeight w:val="318"/>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Economic rule is a bright line rule that’s easy to apply (value in predictability and simplicity of the system)</w:t>
            </w:r>
          </w:p>
        </w:tc>
        <w:tc>
          <w:tcPr>
            <w:tcW w:w="4890" w:type="dxa"/>
            <w:shd w:val="clear" w:color="auto" w:fill="D9D9D9" w:themeFill="background1" w:themeFillShade="D9"/>
          </w:tcPr>
          <w:p w:rsidR="00F82EDE" w:rsidRPr="00F82EDE" w:rsidRDefault="00F82EDE">
            <w:pPr>
              <w:cnfStyle w:val="000000000000"/>
              <w:rPr>
                <w:rFonts w:ascii="Arial" w:hAnsi="Arial"/>
                <w:b/>
                <w:color w:val="000000" w:themeColor="text1"/>
                <w:sz w:val="18"/>
              </w:rPr>
            </w:pPr>
            <w:r w:rsidRPr="00F82EDE">
              <w:rPr>
                <w:rFonts w:ascii="Arial" w:hAnsi="Arial"/>
                <w:b/>
                <w:color w:val="000000" w:themeColor="text1"/>
                <w:sz w:val="18"/>
              </w:rPr>
              <w:t>Economic loss rule cuts out too many people</w:t>
            </w:r>
          </w:p>
        </w:tc>
      </w:tr>
      <w:tr w:rsidR="00F82EDE" w:rsidRPr="00F82EDE">
        <w:trPr>
          <w:trHeight w:val="319"/>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This is real judging: to make and apply bright line rules</w:t>
            </w:r>
          </w:p>
        </w:tc>
        <w:tc>
          <w:tcPr>
            <w:tcW w:w="4890" w:type="dxa"/>
            <w:shd w:val="clear" w:color="auto" w:fill="D9D9D9" w:themeFill="background1" w:themeFillShade="D9"/>
          </w:tcPr>
          <w:p w:rsidR="00F82EDE" w:rsidRPr="00F82EDE" w:rsidRDefault="00F82EDE">
            <w:pPr>
              <w:cnfStyle w:val="000000000000"/>
              <w:rPr>
                <w:rFonts w:ascii="Arial" w:hAnsi="Arial"/>
                <w:b/>
                <w:color w:val="000000" w:themeColor="text1"/>
                <w:sz w:val="18"/>
              </w:rPr>
            </w:pPr>
            <w:r w:rsidRPr="00F82EDE">
              <w:rPr>
                <w:rFonts w:ascii="Arial" w:hAnsi="Arial"/>
                <w:b/>
                <w:color w:val="000000" w:themeColor="text1"/>
                <w:sz w:val="18"/>
              </w:rPr>
              <w:t>This is real judging: to analyze case by case</w:t>
            </w:r>
          </w:p>
        </w:tc>
      </w:tr>
      <w:tr w:rsidR="00F82EDE" w:rsidRPr="00F82EDE">
        <w:trPr>
          <w:trHeight w:val="318"/>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rsidP="0049076C">
            <w:pPr>
              <w:rPr>
                <w:rFonts w:ascii="Arial" w:hAnsi="Arial"/>
                <w:color w:val="000000" w:themeColor="text1"/>
                <w:sz w:val="18"/>
              </w:rPr>
            </w:pPr>
            <w:r w:rsidRPr="00F82EDE">
              <w:rPr>
                <w:rFonts w:ascii="Arial" w:hAnsi="Arial"/>
                <w:color w:val="000000" w:themeColor="text1"/>
                <w:sz w:val="18"/>
              </w:rPr>
              <w:t>Deterrence to wrongdoers: economic rule is enough. To expand would be overdeterrence (At some point, additional liability doesn’t add additional deterrence, at some point we’re maxed out)</w:t>
            </w:r>
          </w:p>
        </w:tc>
        <w:tc>
          <w:tcPr>
            <w:tcW w:w="4890" w:type="dxa"/>
            <w:shd w:val="clear" w:color="auto" w:fill="D9D9D9" w:themeFill="background1" w:themeFillShade="D9"/>
          </w:tcPr>
          <w:p w:rsidR="00F82EDE" w:rsidRPr="00F82EDE" w:rsidRDefault="00F82EDE">
            <w:pPr>
              <w:cnfStyle w:val="000000000000"/>
              <w:rPr>
                <w:rFonts w:ascii="Arial" w:hAnsi="Arial"/>
                <w:b/>
                <w:color w:val="000000" w:themeColor="text1"/>
                <w:sz w:val="18"/>
              </w:rPr>
            </w:pPr>
            <w:r w:rsidRPr="00F82EDE">
              <w:rPr>
                <w:rFonts w:ascii="Arial" w:hAnsi="Arial"/>
                <w:b/>
                <w:color w:val="000000" w:themeColor="text1"/>
                <w:sz w:val="18"/>
              </w:rPr>
              <w:t>Deterrence to wrongdoers: not enough. Otherwise, the wrongdoers won’t optimize safety (because they won’t be responsible for all of the harm that their risky activity causes)</w:t>
            </w:r>
          </w:p>
        </w:tc>
      </w:tr>
      <w:tr w:rsidR="00F82EDE" w:rsidRPr="00F82EDE">
        <w:trPr>
          <w:trHeight w:val="319"/>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Claimants should get first party insurance to cover this</w:t>
            </w:r>
          </w:p>
        </w:tc>
        <w:tc>
          <w:tcPr>
            <w:tcW w:w="4890" w:type="dxa"/>
            <w:shd w:val="clear" w:color="auto" w:fill="D9D9D9" w:themeFill="background1" w:themeFillShade="D9"/>
          </w:tcPr>
          <w:p w:rsidR="00F82EDE" w:rsidRPr="00F82EDE" w:rsidRDefault="00F82EDE" w:rsidP="0049076C">
            <w:pPr>
              <w:cnfStyle w:val="000000000000"/>
              <w:rPr>
                <w:rFonts w:ascii="Arial" w:hAnsi="Arial"/>
                <w:color w:val="000000" w:themeColor="text1"/>
                <w:sz w:val="18"/>
              </w:rPr>
            </w:pPr>
            <w:r w:rsidRPr="00F82EDE">
              <w:rPr>
                <w:rFonts w:ascii="Arial" w:hAnsi="Arial"/>
                <w:b/>
                <w:color w:val="000000" w:themeColor="text1"/>
                <w:sz w:val="18"/>
              </w:rPr>
              <w:t xml:space="preserve">What the heck is first party insurance to cover mass environmental torts? </w:t>
            </w:r>
            <w:r w:rsidRPr="00F82EDE">
              <w:rPr>
                <w:rFonts w:ascii="Arial" w:hAnsi="Arial"/>
                <w:color w:val="000000" w:themeColor="text1"/>
                <w:sz w:val="18"/>
              </w:rPr>
              <w:t>Insure against the risk of the environmental disaster.  But where could you get an insurance policy against all potential economic harms? How would the insurance company even price that?</w:t>
            </w:r>
          </w:p>
          <w:p w:rsidR="00F82EDE" w:rsidRPr="00F82EDE" w:rsidRDefault="00F82EDE">
            <w:pPr>
              <w:cnfStyle w:val="000000000000"/>
              <w:rPr>
                <w:rFonts w:ascii="Arial" w:hAnsi="Arial"/>
                <w:b/>
                <w:color w:val="000000" w:themeColor="text1"/>
                <w:sz w:val="18"/>
              </w:rPr>
            </w:pPr>
            <w:r w:rsidRPr="00F82EDE">
              <w:rPr>
                <w:rFonts w:ascii="Arial" w:hAnsi="Arial"/>
                <w:b/>
                <w:color w:val="000000" w:themeColor="text1"/>
                <w:sz w:val="18"/>
              </w:rPr>
              <w:t>Besides, classic insurance to cover torts is 3</w:t>
            </w:r>
            <w:r w:rsidRPr="00F82EDE">
              <w:rPr>
                <w:rFonts w:ascii="Arial" w:hAnsi="Arial"/>
                <w:b/>
                <w:color w:val="000000" w:themeColor="text1"/>
                <w:sz w:val="18"/>
                <w:vertAlign w:val="superscript"/>
              </w:rPr>
              <w:t>rd</w:t>
            </w:r>
            <w:r w:rsidRPr="00F82EDE">
              <w:rPr>
                <w:rFonts w:ascii="Arial" w:hAnsi="Arial"/>
                <w:b/>
                <w:color w:val="000000" w:themeColor="text1"/>
                <w:sz w:val="18"/>
              </w:rPr>
              <w:t xml:space="preserve"> party liability insurance.</w:t>
            </w:r>
          </w:p>
        </w:tc>
      </w:tr>
      <w:tr w:rsidR="00F82EDE" w:rsidRPr="00F82EDE">
        <w:trPr>
          <w:cnfStyle w:val="010000000000"/>
          <w:trHeight w:val="318"/>
        </w:trPr>
        <w:tc>
          <w:tcPr>
            <w:cnfStyle w:val="001000000000"/>
            <w:tcW w:w="4890" w:type="dxa"/>
            <w:tcBorders>
              <w:left w:val="none" w:sz="0" w:space="0" w:color="auto"/>
              <w:bottom w:val="none" w:sz="0" w:space="0" w:color="auto"/>
              <w:right w:val="none" w:sz="0" w:space="0" w:color="auto"/>
            </w:tcBorders>
            <w:shd w:val="clear" w:color="auto" w:fill="D9D9D9" w:themeFill="background1" w:themeFillShade="D9"/>
          </w:tcPr>
          <w:p w:rsidR="00F82EDE" w:rsidRPr="00F82EDE" w:rsidRDefault="00F82EDE">
            <w:pPr>
              <w:rPr>
                <w:rFonts w:ascii="Arial" w:hAnsi="Arial"/>
                <w:color w:val="000000" w:themeColor="text1"/>
                <w:sz w:val="18"/>
              </w:rPr>
            </w:pPr>
            <w:r w:rsidRPr="00F82EDE">
              <w:rPr>
                <w:rFonts w:ascii="Arial" w:hAnsi="Arial"/>
                <w:color w:val="000000" w:themeColor="text1"/>
                <w:sz w:val="18"/>
              </w:rPr>
              <w:t>In maritime law, the economic loss rule exists.  States may vary.</w:t>
            </w:r>
          </w:p>
        </w:tc>
        <w:tc>
          <w:tcPr>
            <w:tcW w:w="4890" w:type="dxa"/>
            <w:shd w:val="clear" w:color="auto" w:fill="D9D9D9" w:themeFill="background1" w:themeFillShade="D9"/>
          </w:tcPr>
          <w:p w:rsidR="00F82EDE" w:rsidRPr="00F82EDE" w:rsidRDefault="00F82EDE" w:rsidP="0049076C">
            <w:pPr>
              <w:cnfStyle w:val="010000000000"/>
              <w:rPr>
                <w:rFonts w:ascii="Arial" w:hAnsi="Arial"/>
                <w:b/>
                <w:color w:val="000000" w:themeColor="text1"/>
                <w:sz w:val="18"/>
              </w:rPr>
            </w:pPr>
            <w:r w:rsidRPr="00F82EDE">
              <w:rPr>
                <w:rFonts w:ascii="Arial" w:hAnsi="Arial"/>
                <w:b/>
                <w:color w:val="000000" w:themeColor="text1"/>
                <w:sz w:val="18"/>
              </w:rPr>
              <w:t>Either way there is a line, but Wisdom lets a lot more people recover</w:t>
            </w:r>
          </w:p>
        </w:tc>
      </w:tr>
    </w:tbl>
    <w:p w:rsidR="007A7C31" w:rsidRPr="00F82EDE" w:rsidRDefault="007A7C31" w:rsidP="00F82EDE">
      <w:pPr>
        <w:tabs>
          <w:tab w:val="left" w:pos="1440"/>
        </w:tabs>
      </w:pPr>
    </w:p>
    <w:sectPr w:rsidR="007A7C31" w:rsidRPr="00F82EDE" w:rsidSect="007A7C31">
      <w:footerReference w:type="even" r:id="rId5"/>
      <w:footerReference w:type="default" r:id="rId6"/>
      <w:pgSz w:w="12240" w:h="15840"/>
      <w:pgMar w:top="1440" w:right="720" w:bottom="1440" w:left="72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rculanum">
    <w:panose1 w:val="020005050000000200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8D" w:rsidRDefault="00EF45D8" w:rsidP="007A7C31">
    <w:pPr>
      <w:pStyle w:val="Footer"/>
      <w:framePr w:wrap="around" w:vAnchor="text" w:hAnchor="margin" w:xAlign="center" w:y="1"/>
      <w:rPr>
        <w:rStyle w:val="PageNumber"/>
      </w:rPr>
    </w:pPr>
    <w:r>
      <w:rPr>
        <w:rStyle w:val="PageNumber"/>
      </w:rPr>
      <w:fldChar w:fldCharType="begin"/>
    </w:r>
    <w:r w:rsidR="00246A8D">
      <w:rPr>
        <w:rStyle w:val="PageNumber"/>
      </w:rPr>
      <w:instrText xml:space="preserve">PAGE  </w:instrText>
    </w:r>
    <w:r>
      <w:rPr>
        <w:rStyle w:val="PageNumber"/>
      </w:rPr>
      <w:fldChar w:fldCharType="end"/>
    </w:r>
  </w:p>
  <w:p w:rsidR="00246A8D" w:rsidRDefault="00246A8D">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8D" w:rsidRPr="000151F9" w:rsidRDefault="00EF45D8" w:rsidP="007A7C31">
    <w:pPr>
      <w:pStyle w:val="Footer"/>
      <w:framePr w:wrap="around" w:vAnchor="text" w:hAnchor="margin" w:xAlign="center" w:y="1"/>
      <w:rPr>
        <w:rStyle w:val="PageNumber"/>
      </w:rPr>
    </w:pPr>
    <w:r w:rsidRPr="000151F9">
      <w:rPr>
        <w:rStyle w:val="PageNumber"/>
        <w:rFonts w:ascii="Herculanum" w:hAnsi="Herculanum"/>
        <w:sz w:val="32"/>
      </w:rPr>
      <w:fldChar w:fldCharType="begin"/>
    </w:r>
    <w:r w:rsidR="00246A8D" w:rsidRPr="000151F9">
      <w:rPr>
        <w:rStyle w:val="PageNumber"/>
        <w:rFonts w:ascii="Herculanum" w:hAnsi="Herculanum"/>
        <w:sz w:val="32"/>
      </w:rPr>
      <w:instrText xml:space="preserve">PAGE  </w:instrText>
    </w:r>
    <w:r w:rsidRPr="000151F9">
      <w:rPr>
        <w:rStyle w:val="PageNumber"/>
        <w:rFonts w:ascii="Herculanum" w:hAnsi="Herculanum"/>
        <w:sz w:val="32"/>
      </w:rPr>
      <w:fldChar w:fldCharType="separate"/>
    </w:r>
    <w:r w:rsidR="00077B1A">
      <w:rPr>
        <w:rStyle w:val="PageNumber"/>
        <w:rFonts w:ascii="Herculanum" w:hAnsi="Herculanum"/>
        <w:noProof/>
        <w:sz w:val="32"/>
      </w:rPr>
      <w:t>1</w:t>
    </w:r>
    <w:r w:rsidRPr="000151F9">
      <w:rPr>
        <w:rStyle w:val="PageNumber"/>
        <w:rFonts w:ascii="Herculanum" w:hAnsi="Herculanum"/>
        <w:sz w:val="32"/>
      </w:rPr>
      <w:fldChar w:fldCharType="end"/>
    </w:r>
  </w:p>
  <w:p w:rsidR="00246A8D" w:rsidRDefault="00246A8D">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C7985"/>
    <w:multiLevelType w:val="multilevel"/>
    <w:tmpl w:val="6942A250"/>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13A26642"/>
    <w:multiLevelType w:val="multilevel"/>
    <w:tmpl w:val="D0366738"/>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53B2AD5"/>
    <w:multiLevelType w:val="multilevel"/>
    <w:tmpl w:val="B2585B48"/>
    <w:lvl w:ilvl="0">
      <w:start w:val="1"/>
      <w:numFmt w:val="upperLetter"/>
      <w:lvlText w:val="%1."/>
      <w:lvlJc w:val="left"/>
      <w:pPr>
        <w:ind w:left="720" w:hanging="360"/>
      </w:pPr>
      <w:rPr>
        <w:rFonts w:hint="default"/>
        <w:b w:val="0"/>
        <w:i w:val="0"/>
      </w:rPr>
    </w:lvl>
    <w:lvl w:ilvl="1">
      <w:start w:val="1"/>
      <w:numFmt w:val="lowerLetter"/>
      <w:lvlText w:val="%2."/>
      <w:lvlJc w:val="left"/>
      <w:pPr>
        <w:ind w:left="1440" w:hanging="360"/>
      </w:pPr>
      <w:rPr>
        <w:b w:val="0"/>
        <w:i w:val="0"/>
      </w:rPr>
    </w:lvl>
    <w:lvl w:ilvl="2">
      <w:start w:val="1"/>
      <w:numFmt w:val="lowerRoman"/>
      <w:lvlText w:val="%3."/>
      <w:lvlJc w:val="right"/>
      <w:pPr>
        <w:ind w:left="2160" w:hanging="180"/>
      </w:pPr>
      <w:rPr>
        <w:b w:val="0"/>
        <w:i w:val="0"/>
      </w:rPr>
    </w:lvl>
    <w:lvl w:ilvl="3">
      <w:start w:val="1"/>
      <w:numFmt w:val="decimal"/>
      <w:lvlText w:val="%4."/>
      <w:lvlJc w:val="left"/>
      <w:pPr>
        <w:ind w:left="2880" w:hanging="360"/>
      </w:pPr>
      <w:rPr>
        <w:b w:val="0"/>
        <w:i w:val="0"/>
      </w:rPr>
    </w:lvl>
    <w:lvl w:ilvl="4">
      <w:start w:val="1"/>
      <w:numFmt w:val="lowerLetter"/>
      <w:lvlText w:val="%5."/>
      <w:lvlJc w:val="left"/>
      <w:pPr>
        <w:ind w:left="3600" w:hanging="360"/>
      </w:pPr>
      <w:rPr>
        <w:b w:val="0"/>
        <w:i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9317022"/>
    <w:multiLevelType w:val="multilevel"/>
    <w:tmpl w:val="4F2E2F7A"/>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50A64926"/>
    <w:multiLevelType w:val="multilevel"/>
    <w:tmpl w:val="9A286EA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55C95635"/>
    <w:multiLevelType w:val="multilevel"/>
    <w:tmpl w:val="EBC2339C"/>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5BD24687"/>
    <w:multiLevelType w:val="hybridMultilevel"/>
    <w:tmpl w:val="B2585B48"/>
    <w:lvl w:ilvl="0" w:tplc="04090015">
      <w:start w:val="1"/>
      <w:numFmt w:val="upperLetter"/>
      <w:lvlText w:val="%1."/>
      <w:lvlJc w:val="left"/>
      <w:pPr>
        <w:ind w:left="720" w:hanging="360"/>
      </w:pPr>
      <w:rPr>
        <w:rFonts w:hint="default"/>
        <w:b w:val="0"/>
        <w:i w:val="0"/>
      </w:rPr>
    </w:lvl>
    <w:lvl w:ilvl="1" w:tplc="0854E21A">
      <w:start w:val="1"/>
      <w:numFmt w:val="lowerLetter"/>
      <w:lvlText w:val="%2."/>
      <w:lvlJc w:val="left"/>
      <w:pPr>
        <w:ind w:left="1440" w:hanging="360"/>
      </w:pPr>
      <w:rPr>
        <w:b w:val="0"/>
        <w:i w:val="0"/>
      </w:rPr>
    </w:lvl>
    <w:lvl w:ilvl="2" w:tplc="A8520674">
      <w:start w:val="1"/>
      <w:numFmt w:val="lowerRoman"/>
      <w:lvlText w:val="%3."/>
      <w:lvlJc w:val="right"/>
      <w:pPr>
        <w:ind w:left="2160" w:hanging="180"/>
      </w:pPr>
      <w:rPr>
        <w:b w:val="0"/>
        <w:i w:val="0"/>
      </w:rPr>
    </w:lvl>
    <w:lvl w:ilvl="3" w:tplc="A7201E5A">
      <w:start w:val="1"/>
      <w:numFmt w:val="decimal"/>
      <w:lvlText w:val="%4."/>
      <w:lvlJc w:val="left"/>
      <w:pPr>
        <w:ind w:left="2880" w:hanging="360"/>
      </w:pPr>
      <w:rPr>
        <w:b w:val="0"/>
        <w:i w:val="0"/>
      </w:rPr>
    </w:lvl>
    <w:lvl w:ilvl="4" w:tplc="31E8FB46">
      <w:start w:val="1"/>
      <w:numFmt w:val="lowerLetter"/>
      <w:lvlText w:val="%5."/>
      <w:lvlJc w:val="left"/>
      <w:pPr>
        <w:ind w:left="3600" w:hanging="360"/>
      </w:pPr>
      <w:rPr>
        <w:b w:val="0"/>
        <w:i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0B4D36"/>
    <w:multiLevelType w:val="multilevel"/>
    <w:tmpl w:val="B6CC2F48"/>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60BF43CE"/>
    <w:multiLevelType w:val="multilevel"/>
    <w:tmpl w:val="701C853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6E480DE4"/>
    <w:multiLevelType w:val="multilevel"/>
    <w:tmpl w:val="B2585B48"/>
    <w:lvl w:ilvl="0">
      <w:start w:val="1"/>
      <w:numFmt w:val="upperLetter"/>
      <w:lvlText w:val="%1."/>
      <w:lvlJc w:val="left"/>
      <w:pPr>
        <w:ind w:left="720" w:hanging="360"/>
      </w:pPr>
      <w:rPr>
        <w:rFonts w:hint="default"/>
        <w:b w:val="0"/>
        <w:i w:val="0"/>
      </w:rPr>
    </w:lvl>
    <w:lvl w:ilvl="1">
      <w:start w:val="1"/>
      <w:numFmt w:val="lowerLetter"/>
      <w:lvlText w:val="%2."/>
      <w:lvlJc w:val="left"/>
      <w:pPr>
        <w:ind w:left="1440" w:hanging="360"/>
      </w:pPr>
      <w:rPr>
        <w:b w:val="0"/>
        <w:i w:val="0"/>
      </w:rPr>
    </w:lvl>
    <w:lvl w:ilvl="2">
      <w:start w:val="1"/>
      <w:numFmt w:val="lowerRoman"/>
      <w:lvlText w:val="%3."/>
      <w:lvlJc w:val="right"/>
      <w:pPr>
        <w:ind w:left="2160" w:hanging="180"/>
      </w:pPr>
      <w:rPr>
        <w:b w:val="0"/>
        <w:i w:val="0"/>
      </w:rPr>
    </w:lvl>
    <w:lvl w:ilvl="3">
      <w:start w:val="1"/>
      <w:numFmt w:val="decimal"/>
      <w:lvlText w:val="%4."/>
      <w:lvlJc w:val="left"/>
      <w:pPr>
        <w:ind w:left="2880" w:hanging="360"/>
      </w:pPr>
      <w:rPr>
        <w:b w:val="0"/>
        <w:i w:val="0"/>
      </w:rPr>
    </w:lvl>
    <w:lvl w:ilvl="4">
      <w:start w:val="1"/>
      <w:numFmt w:val="lowerLetter"/>
      <w:lvlText w:val="%5."/>
      <w:lvlJc w:val="left"/>
      <w:pPr>
        <w:ind w:left="3600" w:hanging="360"/>
      </w:pPr>
      <w:rPr>
        <w:b w:val="0"/>
        <w:i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
  </w:num>
  <w:num w:numId="3">
    <w:abstractNumId w:val="8"/>
  </w:num>
  <w:num w:numId="4">
    <w:abstractNumId w:val="2"/>
  </w:num>
  <w:num w:numId="5">
    <w:abstractNumId w:val="7"/>
  </w:num>
  <w:num w:numId="6">
    <w:abstractNumId w:val="9"/>
  </w:num>
  <w:num w:numId="7">
    <w:abstractNumId w:val="0"/>
  </w:num>
  <w:num w:numId="8">
    <w:abstractNumId w:val="4"/>
  </w:num>
  <w:num w:numId="9">
    <w:abstractNumId w:val="3"/>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C04E71"/>
    <w:rsid w:val="000672CD"/>
    <w:rsid w:val="00077B1A"/>
    <w:rsid w:val="00246A8D"/>
    <w:rsid w:val="006C66D5"/>
    <w:rsid w:val="007A7C31"/>
    <w:rsid w:val="00C04E71"/>
    <w:rsid w:val="00EF45D8"/>
    <w:rsid w:val="00F82EDE"/>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Medium Shading 2" w:uiPriority="64"/>
  </w:latentStyles>
  <w:style w:type="paragraph" w:default="1" w:styleId="Normal">
    <w:name w:val="Normal"/>
    <w:qFormat/>
    <w:rsid w:val="00C04E71"/>
  </w:style>
  <w:style w:type="paragraph" w:styleId="Heading1">
    <w:name w:val="heading 1"/>
    <w:basedOn w:val="Normal"/>
    <w:next w:val="Normal"/>
    <w:link w:val="Heading1Char"/>
    <w:uiPriority w:val="9"/>
    <w:qFormat/>
    <w:rsid w:val="00C04E71"/>
    <w:pPr>
      <w:keepNext/>
      <w:keepLines/>
      <w:spacing w:before="480"/>
      <w:outlineLvl w:val="0"/>
    </w:pPr>
    <w:rPr>
      <w:rFonts w:asciiTheme="majorHAnsi" w:eastAsiaTheme="majorEastAsia" w:hAnsiTheme="majorHAnsi" w:cstheme="majorBidi"/>
      <w:b/>
      <w:bCs/>
      <w:sz w:val="32"/>
      <w:szCs w:val="32"/>
      <w:u w:val="single"/>
    </w:rPr>
  </w:style>
  <w:style w:type="paragraph" w:styleId="Heading2">
    <w:name w:val="heading 2"/>
    <w:basedOn w:val="Normal"/>
    <w:next w:val="Normal"/>
    <w:link w:val="Heading2Char"/>
    <w:autoRedefine/>
    <w:rsid w:val="00C04E71"/>
    <w:pPr>
      <w:keepNext/>
      <w:keepLines/>
      <w:spacing w:before="200"/>
      <w:outlineLvl w:val="1"/>
    </w:pPr>
    <w:rPr>
      <w:rFonts w:asciiTheme="majorHAnsi" w:eastAsiaTheme="majorEastAsia" w:hAnsiTheme="majorHAnsi" w:cstheme="majorBidi"/>
      <w:b/>
      <w:bCs/>
      <w:sz w:val="28"/>
      <w:szCs w:val="26"/>
      <w:u w:val="single"/>
    </w:rPr>
  </w:style>
  <w:style w:type="paragraph" w:styleId="Heading3">
    <w:name w:val="heading 3"/>
    <w:basedOn w:val="Normal"/>
    <w:next w:val="Normal"/>
    <w:link w:val="Heading3Char"/>
    <w:autoRedefine/>
    <w:rsid w:val="00C04E71"/>
    <w:pPr>
      <w:keepNext/>
      <w:keepLines/>
      <w:spacing w:before="200"/>
      <w:outlineLvl w:val="2"/>
    </w:pPr>
    <w:rPr>
      <w:rFonts w:asciiTheme="majorHAnsi" w:eastAsiaTheme="majorEastAsia" w:hAnsiTheme="majorHAnsi" w:cstheme="majorBidi"/>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C04E71"/>
    <w:rPr>
      <w:rFonts w:asciiTheme="majorHAnsi" w:eastAsiaTheme="majorEastAsia" w:hAnsiTheme="majorHAnsi" w:cstheme="majorBidi"/>
      <w:b/>
      <w:bCs/>
      <w:sz w:val="32"/>
      <w:szCs w:val="32"/>
      <w:u w:val="single"/>
    </w:rPr>
  </w:style>
  <w:style w:type="character" w:customStyle="1" w:styleId="Heading2Char">
    <w:name w:val="Heading 2 Char"/>
    <w:basedOn w:val="DefaultParagraphFont"/>
    <w:link w:val="Heading2"/>
    <w:rsid w:val="00C04E71"/>
    <w:rPr>
      <w:rFonts w:asciiTheme="majorHAnsi" w:eastAsiaTheme="majorEastAsia" w:hAnsiTheme="majorHAnsi" w:cstheme="majorBidi"/>
      <w:b/>
      <w:bCs/>
      <w:sz w:val="28"/>
      <w:szCs w:val="26"/>
      <w:u w:val="single"/>
    </w:rPr>
  </w:style>
  <w:style w:type="character" w:customStyle="1" w:styleId="Heading3Char">
    <w:name w:val="Heading 3 Char"/>
    <w:basedOn w:val="DefaultParagraphFont"/>
    <w:link w:val="Heading3"/>
    <w:rsid w:val="00C04E71"/>
    <w:rPr>
      <w:rFonts w:asciiTheme="majorHAnsi" w:eastAsiaTheme="majorEastAsia" w:hAnsiTheme="majorHAnsi" w:cstheme="majorBidi"/>
      <w:b/>
      <w:bCs/>
    </w:rPr>
  </w:style>
  <w:style w:type="paragraph" w:styleId="ListParagraph">
    <w:name w:val="List Paragraph"/>
    <w:basedOn w:val="Normal"/>
    <w:uiPriority w:val="34"/>
    <w:qFormat/>
    <w:rsid w:val="00C04E71"/>
    <w:pPr>
      <w:ind w:left="720"/>
      <w:contextualSpacing/>
    </w:pPr>
  </w:style>
  <w:style w:type="paragraph" w:styleId="TOCHeading">
    <w:name w:val="TOC Heading"/>
    <w:basedOn w:val="Heading1"/>
    <w:next w:val="Normal"/>
    <w:uiPriority w:val="39"/>
    <w:unhideWhenUsed/>
    <w:qFormat/>
    <w:rsid w:val="00C04E71"/>
    <w:pPr>
      <w:spacing w:line="276" w:lineRule="auto"/>
      <w:jc w:val="center"/>
      <w:outlineLvl w:val="9"/>
    </w:pPr>
    <w:rPr>
      <w:szCs w:val="28"/>
    </w:rPr>
  </w:style>
  <w:style w:type="paragraph" w:styleId="TOC1">
    <w:name w:val="toc 1"/>
    <w:basedOn w:val="Normal"/>
    <w:next w:val="Normal"/>
    <w:autoRedefine/>
    <w:uiPriority w:val="39"/>
    <w:rsid w:val="00C04E71"/>
    <w:pPr>
      <w:spacing w:before="240" w:after="120"/>
    </w:pPr>
    <w:rPr>
      <w:b/>
      <w:caps/>
      <w:sz w:val="22"/>
      <w:szCs w:val="22"/>
      <w:u w:val="single"/>
    </w:rPr>
  </w:style>
  <w:style w:type="paragraph" w:styleId="TOC2">
    <w:name w:val="toc 2"/>
    <w:basedOn w:val="Normal"/>
    <w:next w:val="Normal"/>
    <w:autoRedefine/>
    <w:uiPriority w:val="39"/>
    <w:rsid w:val="00C04E71"/>
    <w:rPr>
      <w:b/>
      <w:smallCaps/>
      <w:sz w:val="22"/>
      <w:szCs w:val="22"/>
    </w:rPr>
  </w:style>
  <w:style w:type="paragraph" w:styleId="TOC3">
    <w:name w:val="toc 3"/>
    <w:basedOn w:val="Normal"/>
    <w:next w:val="Normal"/>
    <w:autoRedefine/>
    <w:uiPriority w:val="39"/>
    <w:rsid w:val="00C04E71"/>
    <w:rPr>
      <w:smallCaps/>
      <w:sz w:val="22"/>
      <w:szCs w:val="22"/>
    </w:rPr>
  </w:style>
  <w:style w:type="paragraph" w:styleId="TOC4">
    <w:name w:val="toc 4"/>
    <w:basedOn w:val="Normal"/>
    <w:next w:val="Normal"/>
    <w:autoRedefine/>
    <w:uiPriority w:val="39"/>
    <w:rsid w:val="00C04E71"/>
    <w:rPr>
      <w:sz w:val="22"/>
      <w:szCs w:val="22"/>
    </w:rPr>
  </w:style>
  <w:style w:type="paragraph" w:styleId="TOC5">
    <w:name w:val="toc 5"/>
    <w:basedOn w:val="Normal"/>
    <w:next w:val="Normal"/>
    <w:autoRedefine/>
    <w:uiPriority w:val="39"/>
    <w:rsid w:val="00C04E71"/>
    <w:rPr>
      <w:sz w:val="22"/>
      <w:szCs w:val="22"/>
    </w:rPr>
  </w:style>
  <w:style w:type="paragraph" w:styleId="TOC6">
    <w:name w:val="toc 6"/>
    <w:basedOn w:val="Normal"/>
    <w:next w:val="Normal"/>
    <w:autoRedefine/>
    <w:uiPriority w:val="39"/>
    <w:rsid w:val="00C04E71"/>
    <w:rPr>
      <w:sz w:val="22"/>
      <w:szCs w:val="22"/>
    </w:rPr>
  </w:style>
  <w:style w:type="paragraph" w:styleId="TOC7">
    <w:name w:val="toc 7"/>
    <w:basedOn w:val="Normal"/>
    <w:next w:val="Normal"/>
    <w:autoRedefine/>
    <w:uiPriority w:val="39"/>
    <w:rsid w:val="00C04E71"/>
    <w:rPr>
      <w:sz w:val="22"/>
      <w:szCs w:val="22"/>
    </w:rPr>
  </w:style>
  <w:style w:type="paragraph" w:styleId="TOC8">
    <w:name w:val="toc 8"/>
    <w:basedOn w:val="Normal"/>
    <w:next w:val="Normal"/>
    <w:autoRedefine/>
    <w:uiPriority w:val="39"/>
    <w:rsid w:val="00C04E71"/>
    <w:rPr>
      <w:sz w:val="22"/>
      <w:szCs w:val="22"/>
    </w:rPr>
  </w:style>
  <w:style w:type="paragraph" w:styleId="TOC9">
    <w:name w:val="toc 9"/>
    <w:basedOn w:val="Normal"/>
    <w:next w:val="Normal"/>
    <w:autoRedefine/>
    <w:uiPriority w:val="39"/>
    <w:rsid w:val="00C04E71"/>
    <w:rPr>
      <w:sz w:val="22"/>
      <w:szCs w:val="22"/>
    </w:rPr>
  </w:style>
  <w:style w:type="paragraph" w:customStyle="1" w:styleId="Style1">
    <w:name w:val="Style1"/>
    <w:basedOn w:val="Normal"/>
    <w:qFormat/>
    <w:rsid w:val="00C04E71"/>
    <w:pPr>
      <w:jc w:val="center"/>
    </w:pPr>
    <w:rPr>
      <w:b/>
      <w:sz w:val="32"/>
      <w:u w:val="single"/>
    </w:rPr>
  </w:style>
  <w:style w:type="table" w:customStyle="1" w:styleId="LightGrid-Accent11">
    <w:name w:val="Light Grid - Accent 11"/>
    <w:basedOn w:val="TableNormal"/>
    <w:uiPriority w:val="62"/>
    <w:rsid w:val="00C04E71"/>
    <w:rPr>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2-Accent3">
    <w:name w:val="Medium Grid 2 Accent 3"/>
    <w:basedOn w:val="TableNormal"/>
    <w:uiPriority w:val="68"/>
    <w:rsid w:val="00C04E7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paragraph" w:styleId="Header">
    <w:name w:val="header"/>
    <w:basedOn w:val="Normal"/>
    <w:link w:val="HeaderChar"/>
    <w:rsid w:val="00C04E71"/>
    <w:pPr>
      <w:tabs>
        <w:tab w:val="center" w:pos="4320"/>
        <w:tab w:val="right" w:pos="8640"/>
      </w:tabs>
    </w:pPr>
  </w:style>
  <w:style w:type="character" w:customStyle="1" w:styleId="HeaderChar">
    <w:name w:val="Header Char"/>
    <w:basedOn w:val="DefaultParagraphFont"/>
    <w:link w:val="Header"/>
    <w:rsid w:val="00C04E71"/>
  </w:style>
  <w:style w:type="paragraph" w:styleId="Footer">
    <w:name w:val="footer"/>
    <w:basedOn w:val="Normal"/>
    <w:link w:val="FooterChar"/>
    <w:rsid w:val="00C04E71"/>
    <w:pPr>
      <w:tabs>
        <w:tab w:val="center" w:pos="4320"/>
        <w:tab w:val="right" w:pos="8640"/>
      </w:tabs>
    </w:pPr>
  </w:style>
  <w:style w:type="character" w:customStyle="1" w:styleId="FooterChar">
    <w:name w:val="Footer Char"/>
    <w:basedOn w:val="DefaultParagraphFont"/>
    <w:link w:val="Footer"/>
    <w:rsid w:val="00C04E71"/>
  </w:style>
  <w:style w:type="table" w:customStyle="1" w:styleId="MediumGrid31">
    <w:name w:val="Medium Grid 31"/>
    <w:basedOn w:val="TableNormal"/>
    <w:uiPriority w:val="69"/>
    <w:rsid w:val="00C04E71"/>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Shading2">
    <w:name w:val="Medium Shading 2"/>
    <w:basedOn w:val="TableNormal"/>
    <w:uiPriority w:val="64"/>
    <w:rsid w:val="00C04E71"/>
    <w:rPr>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eNumber">
    <w:name w:val="page number"/>
    <w:basedOn w:val="DefaultParagraphFont"/>
    <w:rsid w:val="00C04E7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5480</Words>
  <Characters>31240</Characters>
  <Application>Microsoft Macintosh Word</Application>
  <DocSecurity>0</DocSecurity>
  <Lines>260</Lines>
  <Paragraphs>62</Paragraphs>
  <ScaleCrop>false</ScaleCrop>
  <Company>DRG</Company>
  <LinksUpToDate>false</LinksUpToDate>
  <CharactersWithSpaces>38364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Gross</dc:creator>
  <cp:keywords/>
  <cp:lastModifiedBy>Dana Gross</cp:lastModifiedBy>
  <cp:revision>2</cp:revision>
  <dcterms:created xsi:type="dcterms:W3CDTF">2011-11-14T03:35:00Z</dcterms:created>
  <dcterms:modified xsi:type="dcterms:W3CDTF">2011-11-14T03:35:00Z</dcterms:modified>
</cp:coreProperties>
</file>