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1A918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960" w:hanging="960"/>
        <w:jc w:val="center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b/>
          <w:bCs/>
          <w:sz w:val="22"/>
          <w:szCs w:val="22"/>
        </w:rPr>
        <w:t>RES IPSA LOQUITUR</w:t>
      </w:r>
    </w:p>
    <w:p w14:paraId="3E50C2E1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720" w:hanging="72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b/>
          <w:bCs/>
          <w:sz w:val="22"/>
          <w:szCs w:val="22"/>
        </w:rPr>
        <w:t xml:space="preserve"> 1.         The accident must be </w:t>
      </w:r>
      <w:proofErr w:type="gramStart"/>
      <w:r w:rsidRPr="00FC6D54">
        <w:rPr>
          <w:rFonts w:ascii="Times New Roman" w:hAnsi="Times New Roman" w:cs="Times New Roman"/>
          <w:b/>
          <w:bCs/>
          <w:sz w:val="22"/>
          <w:szCs w:val="22"/>
        </w:rPr>
        <w:t>one which</w:t>
      </w:r>
      <w:proofErr w:type="gramEnd"/>
      <w:r w:rsidRPr="00FC6D54">
        <w:rPr>
          <w:rFonts w:ascii="Times New Roman" w:hAnsi="Times New Roman" w:cs="Times New Roman"/>
          <w:b/>
          <w:bCs/>
          <w:sz w:val="22"/>
          <w:szCs w:val="22"/>
        </w:rPr>
        <w:t xml:space="preserve"> ordinarily does not happen unless there is negligence—</w:t>
      </w:r>
      <w:r w:rsidRPr="00FC6D54">
        <w:rPr>
          <w:rFonts w:ascii="Times New Roman" w:hAnsi="Times New Roman" w:cs="Times New Roman"/>
          <w:b/>
          <w:bCs/>
          <w:i/>
          <w:iCs/>
          <w:sz w:val="22"/>
          <w:szCs w:val="22"/>
        </w:rPr>
        <w:t>inferring negligence generally</w:t>
      </w:r>
      <w:r w:rsidRPr="00FC6D54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FC6D54">
        <w:rPr>
          <w:rFonts w:ascii="Times New Roman" w:hAnsi="Times New Roman" w:cs="Times New Roman"/>
          <w:sz w:val="22"/>
          <w:szCs w:val="22"/>
        </w:rPr>
        <w:t> </w:t>
      </w:r>
    </w:p>
    <w:p w14:paraId="3B50FE51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1620" w:hanging="6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a.         The facts as we know them, combined with common knowledge or expert testimony, give rise to an inference that it is more likely than not that someone was negligent. </w:t>
      </w:r>
    </w:p>
    <w:p w14:paraId="2D393554" w14:textId="58EB7EBC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720" w:hanging="72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b/>
          <w:bCs/>
          <w:sz w:val="22"/>
          <w:szCs w:val="22"/>
        </w:rPr>
        <w:t xml:space="preserve">2.         </w:t>
      </w:r>
      <w:r w:rsidR="00335E03"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FC6D54">
        <w:rPr>
          <w:rFonts w:ascii="Times New Roman" w:hAnsi="Times New Roman" w:cs="Times New Roman"/>
          <w:b/>
          <w:bCs/>
          <w:sz w:val="22"/>
          <w:szCs w:val="22"/>
        </w:rPr>
        <w:t>Other possible causes of the accident, including the conduct of the π and other persons, have been sufficiently [b</w:t>
      </w:r>
      <w:r w:rsidR="00B12F98">
        <w:rPr>
          <w:rFonts w:ascii="Times New Roman" w:hAnsi="Times New Roman" w:cs="Times New Roman"/>
          <w:b/>
          <w:bCs/>
          <w:sz w:val="22"/>
          <w:szCs w:val="22"/>
        </w:rPr>
        <w:t>ut need not be completely] elim</w:t>
      </w:r>
      <w:r w:rsidRPr="00FC6D54">
        <w:rPr>
          <w:rFonts w:ascii="Times New Roman" w:hAnsi="Times New Roman" w:cs="Times New Roman"/>
          <w:b/>
          <w:bCs/>
          <w:sz w:val="22"/>
          <w:szCs w:val="22"/>
        </w:rPr>
        <w:t>inated by the evidence—</w:t>
      </w:r>
      <w:r w:rsidRPr="00FC6D54">
        <w:rPr>
          <w:rFonts w:ascii="Times New Roman" w:hAnsi="Times New Roman" w:cs="Times New Roman"/>
          <w:b/>
          <w:bCs/>
          <w:i/>
          <w:iCs/>
          <w:sz w:val="22"/>
          <w:szCs w:val="22"/>
        </w:rPr>
        <w:t>inferring a ∂’s negligence</w:t>
      </w:r>
      <w:r w:rsidRPr="00FC6D54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FC6D54">
        <w:rPr>
          <w:rFonts w:ascii="Times New Roman" w:hAnsi="Times New Roman" w:cs="Times New Roman"/>
          <w:sz w:val="22"/>
          <w:szCs w:val="22"/>
        </w:rPr>
        <w:t> </w:t>
      </w:r>
    </w:p>
    <w:p w14:paraId="06BFB16F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1620" w:hanging="6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a.         The facts as we know them, combined with common knowledge or expert testimony, give rise to an inference that the ∂ was more likely than not a person who was negligently responsible for the accident. </w:t>
      </w:r>
    </w:p>
    <w:p w14:paraId="0306A19B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1620" w:hanging="6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b.         We have to be mindful that there can be more than one person who is negligent—e.g., a π or an additional ∂—and that multiple negligent parties will not necessarily preclude RIL. </w:t>
      </w:r>
    </w:p>
    <w:p w14:paraId="30726637" w14:textId="4AD499AF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2880" w:hanging="9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i.               If a π’s comparative negligence</w:t>
      </w:r>
      <w:r w:rsidR="00334D70">
        <w:rPr>
          <w:rFonts w:ascii="Times New Roman" w:hAnsi="Times New Roman" w:cs="Times New Roman"/>
          <w:sz w:val="22"/>
          <w:szCs w:val="22"/>
        </w:rPr>
        <w:t xml:space="preserve"> does not lessen the probabil</w:t>
      </w:r>
      <w:r w:rsidRPr="00FC6D54">
        <w:rPr>
          <w:rFonts w:ascii="Times New Roman" w:hAnsi="Times New Roman" w:cs="Times New Roman"/>
          <w:sz w:val="22"/>
          <w:szCs w:val="22"/>
        </w:rPr>
        <w:t>ity that the ∂ was also negligent, then requirement #2 is met as to that ∂. </w:t>
      </w:r>
    </w:p>
    <w:p w14:paraId="2FC81A95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2880" w:hanging="9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ii.              The same goes for a case where there are multiple ∂s, all of whom allegedly contributed to the π’s injury. If ∂ A’s negligence does not lessen the probability that ∂ B was also negligent, then requirement #2 is met as to ∂ B. Assuming the converse is true—that ∂ B’s negligence does not lessen the probability that ∂ A was negligent—then requirement #2 will be satisfied as to ∂ A. Ultimately, then, it might be satisfied as to both ∂ A and B.</w:t>
      </w:r>
    </w:p>
    <w:p w14:paraId="2AB0A55D" w14:textId="61FCBBA6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2880" w:hanging="9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 xml:space="preserve">iii.            </w:t>
      </w:r>
      <w:r w:rsidR="00332A52">
        <w:rPr>
          <w:rFonts w:ascii="Times New Roman" w:hAnsi="Times New Roman" w:cs="Times New Roman"/>
          <w:sz w:val="22"/>
          <w:szCs w:val="22"/>
        </w:rPr>
        <w:tab/>
      </w:r>
      <w:r w:rsidRPr="00FC6D54">
        <w:rPr>
          <w:rFonts w:ascii="Times New Roman" w:hAnsi="Times New Roman" w:cs="Times New Roman"/>
          <w:sz w:val="22"/>
          <w:szCs w:val="22"/>
        </w:rPr>
        <w:t xml:space="preserve">Cases involving serial control usually differ. If a π’s injury happened while in the custody of ∂ A </w:t>
      </w:r>
      <w:r w:rsidRPr="00FC6D54">
        <w:rPr>
          <w:rFonts w:ascii="Times New Roman" w:hAnsi="Times New Roman" w:cs="Times New Roman"/>
          <w:sz w:val="22"/>
          <w:szCs w:val="22"/>
          <w:u w:val="single"/>
        </w:rPr>
        <w:t>or</w:t>
      </w:r>
      <w:r w:rsidRPr="00FC6D54">
        <w:rPr>
          <w:rFonts w:ascii="Times New Roman" w:hAnsi="Times New Roman" w:cs="Times New Roman"/>
          <w:sz w:val="22"/>
          <w:szCs w:val="22"/>
        </w:rPr>
        <w:t xml:space="preserve"> ∂ B, but not both, and one of those ∂s is therefore </w:t>
      </w:r>
      <w:r w:rsidRPr="00FC6D54">
        <w:rPr>
          <w:rFonts w:ascii="Times New Roman" w:hAnsi="Times New Roman" w:cs="Times New Roman"/>
          <w:sz w:val="22"/>
          <w:szCs w:val="22"/>
          <w:u w:val="single"/>
        </w:rPr>
        <w:t>innocent</w:t>
      </w:r>
      <w:r w:rsidRPr="00FC6D54">
        <w:rPr>
          <w:rFonts w:ascii="Times New Roman" w:hAnsi="Times New Roman" w:cs="Times New Roman"/>
          <w:sz w:val="22"/>
          <w:szCs w:val="22"/>
        </w:rPr>
        <w:t>, then requirement #2 is not satisfied. We cannot say, when looking at ∂ A, that is it more likely than not that he was the negligent one. Nor can we say that of ∂ B. The probabilities are 50-50. We are tossing a coin. “Mor</w:t>
      </w:r>
      <w:r w:rsidR="00936B6D">
        <w:rPr>
          <w:rFonts w:ascii="Times New Roman" w:hAnsi="Times New Roman" w:cs="Times New Roman"/>
          <w:sz w:val="22"/>
          <w:szCs w:val="22"/>
        </w:rPr>
        <w:t>e likely than not” requires a &gt;50</w:t>
      </w:r>
      <w:r w:rsidRPr="00FC6D54">
        <w:rPr>
          <w:rFonts w:ascii="Times New Roman" w:hAnsi="Times New Roman" w:cs="Times New Roman"/>
          <w:sz w:val="22"/>
          <w:szCs w:val="22"/>
        </w:rPr>
        <w:t xml:space="preserve">% probability. Therefore, it is not fair to use RIL against both ∂s given that one of them is definitely innocent. The </w:t>
      </w:r>
      <w:r w:rsidRPr="00FC6D54">
        <w:rPr>
          <w:rFonts w:ascii="Times New Roman" w:hAnsi="Times New Roman" w:cs="Times New Roman"/>
          <w:i/>
          <w:iCs/>
          <w:sz w:val="22"/>
          <w:szCs w:val="22"/>
        </w:rPr>
        <w:t xml:space="preserve">Collins </w:t>
      </w:r>
      <w:r w:rsidRPr="00FC6D54">
        <w:rPr>
          <w:rFonts w:ascii="Times New Roman" w:hAnsi="Times New Roman" w:cs="Times New Roman"/>
          <w:sz w:val="22"/>
          <w:szCs w:val="22"/>
        </w:rPr>
        <w:t xml:space="preserve">court departs from this reasoning and allows RIL. The Restatement 3d believes that the </w:t>
      </w:r>
      <w:r w:rsidRPr="00FC6D54">
        <w:rPr>
          <w:rFonts w:ascii="Times New Roman" w:hAnsi="Times New Roman" w:cs="Times New Roman"/>
          <w:i/>
          <w:iCs/>
          <w:sz w:val="22"/>
          <w:szCs w:val="22"/>
        </w:rPr>
        <w:t>Collins</w:t>
      </w:r>
      <w:r w:rsidRPr="00FC6D54">
        <w:rPr>
          <w:rFonts w:ascii="Times New Roman" w:hAnsi="Times New Roman" w:cs="Times New Roman"/>
          <w:sz w:val="22"/>
          <w:szCs w:val="22"/>
        </w:rPr>
        <w:t xml:space="preserve"> rule should be </w:t>
      </w:r>
      <w:proofErr w:type="gramStart"/>
      <w:r w:rsidRPr="00FC6D54">
        <w:rPr>
          <w:rFonts w:ascii="Times New Roman" w:hAnsi="Times New Roman" w:cs="Times New Roman"/>
          <w:sz w:val="22"/>
          <w:szCs w:val="22"/>
        </w:rPr>
        <w:t>adopted</w:t>
      </w:r>
      <w:proofErr w:type="gramEnd"/>
      <w:r w:rsidRPr="00FC6D54">
        <w:rPr>
          <w:rFonts w:ascii="Times New Roman" w:hAnsi="Times New Roman" w:cs="Times New Roman"/>
          <w:sz w:val="22"/>
          <w:szCs w:val="22"/>
        </w:rPr>
        <w:t xml:space="preserve"> more broadly to factually similar cases; viz., where the two ∂s have a special relationship. It is difficult to know whether this push will succeed. One area in which a </w:t>
      </w:r>
      <w:r w:rsidRPr="00FC6D54">
        <w:rPr>
          <w:rFonts w:ascii="Times New Roman" w:hAnsi="Times New Roman" w:cs="Times New Roman"/>
          <w:i/>
          <w:iCs/>
          <w:sz w:val="22"/>
          <w:szCs w:val="22"/>
        </w:rPr>
        <w:t>Collins</w:t>
      </w:r>
      <w:r w:rsidRPr="00FC6D54">
        <w:rPr>
          <w:rFonts w:ascii="Times New Roman" w:hAnsi="Times New Roman" w:cs="Times New Roman"/>
          <w:sz w:val="22"/>
          <w:szCs w:val="22"/>
        </w:rPr>
        <w:t>-like rule does receive widespread acceptance is in the special medical-malpractice context. This is something we will return to later in the semester. </w:t>
      </w:r>
    </w:p>
    <w:p w14:paraId="55C4B574" w14:textId="77777777" w:rsidR="00FC6D54" w:rsidRPr="00FC6D54" w:rsidRDefault="00FC6D54" w:rsidP="00FC6D54">
      <w:pPr>
        <w:widowControl w:val="0"/>
        <w:autoSpaceDE w:val="0"/>
        <w:autoSpaceDN w:val="0"/>
        <w:adjustRightInd w:val="0"/>
        <w:spacing w:after="280"/>
        <w:ind w:left="1620" w:hanging="66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c.         Exclusive control is one way to strengthen the inference that a ∂ was negligent, but it is not required. </w:t>
      </w:r>
    </w:p>
    <w:p w14:paraId="767206B8" w14:textId="5D69E336" w:rsidR="00A66C57" w:rsidRPr="00FC6D54" w:rsidRDefault="00FC6D54" w:rsidP="00FC6D54">
      <w:pPr>
        <w:ind w:left="630" w:hanging="630"/>
        <w:rPr>
          <w:rFonts w:ascii="Times New Roman" w:hAnsi="Times New Roman" w:cs="Times New Roman"/>
          <w:sz w:val="22"/>
          <w:szCs w:val="22"/>
        </w:rPr>
      </w:pPr>
      <w:r w:rsidRPr="00FC6D54">
        <w:rPr>
          <w:rFonts w:ascii="Times New Roman" w:hAnsi="Times New Roman" w:cs="Times New Roman"/>
          <w:sz w:val="22"/>
          <w:szCs w:val="22"/>
        </w:rPr>
        <w:t>3.        </w:t>
      </w:r>
      <w:r w:rsidRPr="00FC6D54">
        <w:rPr>
          <w:rFonts w:ascii="Times New Roman" w:hAnsi="Times New Roman" w:cs="Times New Roman"/>
          <w:b/>
          <w:bCs/>
          <w:sz w:val="22"/>
          <w:szCs w:val="22"/>
        </w:rPr>
        <w:t>Investigation:</w:t>
      </w:r>
      <w:r w:rsidRPr="00FC6D54">
        <w:rPr>
          <w:rFonts w:ascii="Times New Roman" w:hAnsi="Times New Roman" w:cs="Times New Roman"/>
          <w:sz w:val="22"/>
          <w:szCs w:val="22"/>
        </w:rPr>
        <w:t xml:space="preserve"> Because many courts require this, you will want to show that obtaining specific evidence of </w:t>
      </w:r>
      <w:bookmarkStart w:id="0" w:name="_GoBack"/>
      <w:bookmarkEnd w:id="0"/>
      <w:r w:rsidRPr="00FC6D54">
        <w:rPr>
          <w:rFonts w:ascii="Times New Roman" w:hAnsi="Times New Roman" w:cs="Times New Roman"/>
          <w:sz w:val="22"/>
          <w:szCs w:val="22"/>
        </w:rPr>
        <w:t>negligent conduct was infeasible.</w:t>
      </w:r>
    </w:p>
    <w:sectPr w:rsidR="00A66C57" w:rsidRPr="00FC6D54" w:rsidSect="00FC6D5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dobe Garamond Pro">
    <w:panose1 w:val="02020502060506020403"/>
    <w:charset w:val="00"/>
    <w:family w:val="auto"/>
    <w:pitch w:val="variable"/>
    <w:sig w:usb0="00000007" w:usb1="00000001" w:usb2="00000000" w:usb3="00000000" w:csb0="00000093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D54"/>
    <w:rsid w:val="00332A52"/>
    <w:rsid w:val="00334D70"/>
    <w:rsid w:val="00335E03"/>
    <w:rsid w:val="00936B6D"/>
    <w:rsid w:val="00A66C57"/>
    <w:rsid w:val="00B12F98"/>
    <w:rsid w:val="00BC1F04"/>
    <w:rsid w:val="00FC6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2042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dobe Garamond Pro" w:eastAsiaTheme="minorEastAsia" w:hAnsi="Adobe Garamond Pro" w:cstheme="minorBidi"/>
        <w:sz w:val="24"/>
        <w:szCs w:val="24"/>
        <w:lang w:val="en-US" w:eastAsia="en-US" w:bidi="ar-SA"/>
        <w14:ligatures w14:val="standard"/>
        <w14:numForm w14:val="oldStyle"/>
        <w14:numSpacing w14:val="proportional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dobe Garamond Pro" w:eastAsiaTheme="minorEastAsia" w:hAnsi="Adobe Garamond Pro" w:cstheme="minorBidi"/>
        <w:sz w:val="24"/>
        <w:szCs w:val="24"/>
        <w:lang w:val="en-US" w:eastAsia="en-US" w:bidi="ar-SA"/>
        <w14:ligatures w14:val="standard"/>
        <w14:numForm w14:val="oldStyle"/>
        <w14:numSpacing w14:val="proportional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422</Words>
  <Characters>2407</Characters>
  <Application>Microsoft Macintosh Word</Application>
  <DocSecurity>0</DocSecurity>
  <Lines>20</Lines>
  <Paragraphs>5</Paragraphs>
  <ScaleCrop>false</ScaleCrop>
  <Company>Lewis &amp; Clark Law School</Company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Tomas Gomez-Arostegui</cp:lastModifiedBy>
  <cp:revision>6</cp:revision>
  <dcterms:created xsi:type="dcterms:W3CDTF">2013-10-02T15:31:00Z</dcterms:created>
  <dcterms:modified xsi:type="dcterms:W3CDTF">2015-09-29T21:23:00Z</dcterms:modified>
</cp:coreProperties>
</file>