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E77" w:rsidRDefault="00C244CF" w:rsidP="00EC2AE1">
      <w:pPr>
        <w:pStyle w:val="Heading1"/>
      </w:pPr>
      <w:r>
        <w:t>Marbury v. Madison</w:t>
      </w:r>
      <w:r w:rsidR="00123DF4">
        <w:t xml:space="preserve"> (1803)</w:t>
      </w:r>
      <w:r w:rsidR="006D3BB9">
        <w:t xml:space="preserve"> (CJ Marshall)</w:t>
      </w:r>
    </w:p>
    <w:p w:rsidR="00DE7299" w:rsidRDefault="00012F99" w:rsidP="00DE7299">
      <w:pPr>
        <w:pStyle w:val="Heading2"/>
      </w:pPr>
      <w:r w:rsidRPr="002F3F0A">
        <w:t>Facts</w:t>
      </w:r>
    </w:p>
    <w:p w:rsidR="00012F99" w:rsidRDefault="00424BF9" w:rsidP="00012F99">
      <w:r>
        <w:t xml:space="preserve">Marbury was appointed a position as a judge in DC; because the appointment was made at the end of John Adam's presidency, Madison was able to not send out the appointment commission and consequently, Marbury couldn't hold his judicial position. Marbury sued President Madison starting in the Supreme Court. </w:t>
      </w:r>
    </w:p>
    <w:p w:rsidR="002F3F0A" w:rsidRDefault="00012F99" w:rsidP="002F3F0A">
      <w:pPr>
        <w:pStyle w:val="Heading2"/>
      </w:pPr>
      <w:r w:rsidRPr="002F3F0A">
        <w:t>Issue</w:t>
      </w:r>
      <w:r w:rsidR="002F3F0A">
        <w:t>s</w:t>
      </w:r>
    </w:p>
    <w:p w:rsidR="002F3F0A" w:rsidRDefault="002F3F0A" w:rsidP="002F3F0A">
      <w:pPr>
        <w:pStyle w:val="ListParagraph"/>
        <w:numPr>
          <w:ilvl w:val="0"/>
          <w:numId w:val="3"/>
        </w:numPr>
      </w:pPr>
      <w:r>
        <w:t xml:space="preserve">Is Marbury entitled to his appointment? </w:t>
      </w:r>
    </w:p>
    <w:p w:rsidR="002F3F0A" w:rsidRDefault="00DE7299" w:rsidP="002F3F0A">
      <w:pPr>
        <w:pStyle w:val="ListParagraph"/>
        <w:numPr>
          <w:ilvl w:val="0"/>
          <w:numId w:val="3"/>
        </w:numPr>
      </w:pPr>
      <w:r>
        <w:t>Does the law afford a remedy?</w:t>
      </w:r>
    </w:p>
    <w:p w:rsidR="00012F99" w:rsidRDefault="00DE7299" w:rsidP="002F3F0A">
      <w:pPr>
        <w:pStyle w:val="ListParagraph"/>
        <w:numPr>
          <w:ilvl w:val="0"/>
          <w:numId w:val="3"/>
        </w:numPr>
      </w:pPr>
      <w:r>
        <w:t>Is the proper remedy a writ of mandamus and does the Supreme Court have jurisdiction over the case?</w:t>
      </w:r>
    </w:p>
    <w:p w:rsidR="002F3F0A" w:rsidRDefault="00012F99" w:rsidP="002F3F0A">
      <w:pPr>
        <w:pStyle w:val="Heading2"/>
      </w:pPr>
      <w:r w:rsidRPr="002F3F0A">
        <w:t>Holding</w:t>
      </w:r>
    </w:p>
    <w:p w:rsidR="002F3F0A" w:rsidRDefault="002F3F0A" w:rsidP="00012F99">
      <w:pPr>
        <w:pStyle w:val="ListParagraph"/>
        <w:numPr>
          <w:ilvl w:val="0"/>
          <w:numId w:val="4"/>
        </w:numPr>
      </w:pPr>
      <w:r>
        <w:t xml:space="preserve">Marbury did have the right to the commission; it was illegal for Secretary of State Madison to withhold the commission since it violated Marbury's legal right to receive it. </w:t>
      </w:r>
    </w:p>
    <w:p w:rsidR="002F3F0A" w:rsidRDefault="00DE7299" w:rsidP="00012F99">
      <w:pPr>
        <w:pStyle w:val="ListParagraph"/>
        <w:numPr>
          <w:ilvl w:val="0"/>
          <w:numId w:val="4"/>
        </w:numPr>
      </w:pPr>
      <w:r>
        <w:t xml:space="preserve">There is a legal remedy for every violation of a legal right; the government must protect the individual when rights are injured, that is the essence of civil liberty. </w:t>
      </w:r>
    </w:p>
    <w:p w:rsidR="00DE7299" w:rsidRDefault="00DE7299" w:rsidP="00012F99">
      <w:pPr>
        <w:pStyle w:val="ListParagraph"/>
        <w:numPr>
          <w:ilvl w:val="0"/>
          <w:numId w:val="4"/>
        </w:numPr>
      </w:pPr>
      <w:r>
        <w:t xml:space="preserve">The court can issue a writ of mandamus directed at Madison; no other legal remedy is available. However, the Court can only issue this writ if it has jurisdiction. </w:t>
      </w:r>
      <w:r w:rsidR="0099602E">
        <w:t xml:space="preserve">The Judiciary Act of 1789 gave only the Supreme Court authority to issue writs of mandamus and established original jurisdiction for the Court in these cases. </w:t>
      </w:r>
      <w:r w:rsidR="00960E27">
        <w:t>The Supreme Court held that</w:t>
      </w:r>
      <w:r w:rsidR="0002024F">
        <w:t xml:space="preserve"> </w:t>
      </w:r>
      <w:r w:rsidR="00F20FC2">
        <w:t>the Judiciary Act of 1789</w:t>
      </w:r>
      <w:r w:rsidR="00960E27">
        <w:t xml:space="preserve"> was unconstitutional since Article 3 Section 2 Clause 2 gave original jurisdiction to cases affecting ONLY Ambassadors, other public Ministers and Consuls, and those in which the State shall be a party. </w:t>
      </w:r>
      <w:r w:rsidR="00F20FC2">
        <w:t xml:space="preserve">Court held that they did not have jurisdiction over this case and dismissed it. </w:t>
      </w:r>
    </w:p>
    <w:p w:rsidR="00012F99" w:rsidRDefault="00012F99" w:rsidP="002F3F0A">
      <w:pPr>
        <w:pStyle w:val="Heading2"/>
      </w:pPr>
      <w:r w:rsidRPr="002F3F0A">
        <w:t>Takeaway</w:t>
      </w:r>
    </w:p>
    <w:p w:rsidR="00EC2AE1" w:rsidRDefault="00F1598A" w:rsidP="004530C7">
      <w:r>
        <w:t xml:space="preserve">This case established Judicial Review; this mandates that the Judicial branch must interpret the proper meaning of the Constitution and decide whether there is a conflict between the Constitution and legislative or executive actions. </w:t>
      </w:r>
    </w:p>
    <w:p w:rsidR="00EC2AE1" w:rsidRPr="00EC2AE1" w:rsidRDefault="00EC2AE1" w:rsidP="00EC2AE1">
      <w:r>
        <w:t xml:space="preserve">The major crux of this case is who gets to decide what the meaning of the constitution is.  Marshall declares that it is the special role of the courts that they get to declare the constitutional law.  One reason might be that if a case comes to a court, the court has to decide the legal issues of a case.  It has to decide said lawsuit, and therefore they need the power to.  Another is that we have three branches of the government and that the judiciary branch has the right to interpret the laws.  These two reasons are drastically different - one is a more active approach whereas the other is more passive and only there to solve disputes rather than actively determine laws.  Narrow view is to give relief to the parties, whereas the broader view is to determine the constitutionality of laws.  </w:t>
      </w:r>
    </w:p>
    <w:p w:rsidR="00DB4D31" w:rsidRDefault="00DB4D31">
      <w:pPr>
        <w:rPr>
          <w:smallCaps/>
          <w:spacing w:val="5"/>
          <w:sz w:val="32"/>
          <w:szCs w:val="32"/>
        </w:rPr>
      </w:pPr>
      <w:r>
        <w:br w:type="page"/>
      </w:r>
    </w:p>
    <w:p w:rsidR="00C244CF" w:rsidRDefault="00C244CF" w:rsidP="00EC2AE1">
      <w:pPr>
        <w:pStyle w:val="Heading1"/>
      </w:pPr>
      <w:r>
        <w:lastRenderedPageBreak/>
        <w:t>McCulloch v. Maryland</w:t>
      </w:r>
      <w:r w:rsidR="00B47572">
        <w:t xml:space="preserve"> (1819) (CJ Marshall)</w:t>
      </w:r>
    </w:p>
    <w:p w:rsidR="007836EF" w:rsidRDefault="007836EF" w:rsidP="007836EF">
      <w:pPr>
        <w:pStyle w:val="Heading2"/>
      </w:pPr>
      <w:r>
        <w:t>Background</w:t>
      </w:r>
    </w:p>
    <w:p w:rsidR="00B330B3" w:rsidRDefault="007836EF" w:rsidP="00B330B3">
      <w:r>
        <w:t xml:space="preserve">In 1816, Congress created the Second Bank of the US and opened a branch in Maryland. </w:t>
      </w:r>
      <w:r w:rsidR="00345273">
        <w:t xml:space="preserve">In 1818, since Maryland wasn't getting the incorporation money from the bank and because the bank was competing with Maryland banks, Maryland passed an act to collect taxes on all banks in Maryland that were not also incorporated by Maryland. </w:t>
      </w:r>
      <w:r w:rsidR="00920F8D">
        <w:t xml:space="preserve">McCulloch, head of the Baltimore Branch, refuses to pay the tax; consequently, Maryland sues McCulloch for the taxes owed under the act. Maryland trial court ordered payment of taxes and McCulloch appealed to Supreme Court. </w:t>
      </w:r>
    </w:p>
    <w:p w:rsidR="00B330B3" w:rsidRDefault="00B330B3" w:rsidP="00B330B3">
      <w:pPr>
        <w:pStyle w:val="Heading2"/>
      </w:pPr>
      <w:r>
        <w:t>Arguments</w:t>
      </w:r>
    </w:p>
    <w:p w:rsidR="00B330B3" w:rsidRDefault="00F755B8" w:rsidP="00B330B3">
      <w:r>
        <w:t xml:space="preserve">The bank says that the legislature is unconstitutional and </w:t>
      </w:r>
      <w:r w:rsidR="00B330B3">
        <w:t>Maryland</w:t>
      </w:r>
      <w:r>
        <w:t xml:space="preserve"> says</w:t>
      </w:r>
      <w:r w:rsidR="00B330B3">
        <w:t xml:space="preserve"> that</w:t>
      </w:r>
      <w:r>
        <w:t xml:space="preserve"> the bank is unconstitutional.  The bank argues that it is Necessary and Proper to have the bank in order to collect revenues.  </w:t>
      </w:r>
    </w:p>
    <w:p w:rsidR="00B330B3" w:rsidRDefault="00B330B3" w:rsidP="00B330B3">
      <w:pPr>
        <w:pStyle w:val="Heading2"/>
      </w:pPr>
      <w:r>
        <w:t>Issues and Holding</w:t>
      </w:r>
    </w:p>
    <w:p w:rsidR="00B330B3" w:rsidRDefault="00B330B3" w:rsidP="00B330B3">
      <w:r w:rsidRPr="00B330B3">
        <w:rPr>
          <w:b/>
        </w:rPr>
        <w:t>ISSUE</w:t>
      </w:r>
      <w:r>
        <w:t>: Does Congress have the power to create the bank</w:t>
      </w:r>
      <w:r w:rsidR="0003460D">
        <w:t xml:space="preserve"> under the Necessary and Proper Clause</w:t>
      </w:r>
      <w:r>
        <w:t xml:space="preserve">? </w:t>
      </w:r>
    </w:p>
    <w:p w:rsidR="00B330B3" w:rsidRDefault="00B330B3" w:rsidP="00B330B3">
      <w:r w:rsidRPr="00B330B3">
        <w:rPr>
          <w:b/>
        </w:rPr>
        <w:t>HOLDING</w:t>
      </w:r>
      <w:r>
        <w:t>: Yes, Congress has the power to create the bank maintaining four arguments:</w:t>
      </w:r>
    </w:p>
    <w:p w:rsidR="00B330B3" w:rsidRDefault="00B330B3" w:rsidP="00B330B3">
      <w:pPr>
        <w:pStyle w:val="ListParagraph"/>
        <w:numPr>
          <w:ilvl w:val="0"/>
          <w:numId w:val="9"/>
        </w:numPr>
      </w:pPr>
      <w:r>
        <w:t>The historical practice established Congress' power to create the Bank - the first Bank was previously approved and created.</w:t>
      </w:r>
    </w:p>
    <w:p w:rsidR="00B330B3" w:rsidRDefault="00B330B3" w:rsidP="00B330B3">
      <w:pPr>
        <w:pStyle w:val="ListParagraph"/>
        <w:numPr>
          <w:ilvl w:val="0"/>
          <w:numId w:val="9"/>
        </w:numPr>
      </w:pPr>
      <w:r>
        <w:t xml:space="preserve">States do </w:t>
      </w:r>
      <w:r w:rsidR="00AA09C7">
        <w:t xml:space="preserve">not retain ultimate sovereignty. </w:t>
      </w:r>
    </w:p>
    <w:p w:rsidR="00AA09C7" w:rsidRDefault="00AA09C7" w:rsidP="00B330B3">
      <w:pPr>
        <w:pStyle w:val="ListParagraph"/>
        <w:numPr>
          <w:ilvl w:val="0"/>
          <w:numId w:val="9"/>
        </w:numPr>
      </w:pPr>
      <w:r>
        <w:t xml:space="preserve">The Constitution does not enumerate the power to create a Bank, but this does not mean that they cannot. </w:t>
      </w:r>
    </w:p>
    <w:p w:rsidR="000477D1" w:rsidRDefault="000477D1" w:rsidP="00B330B3">
      <w:pPr>
        <w:pStyle w:val="ListParagraph"/>
        <w:numPr>
          <w:ilvl w:val="0"/>
          <w:numId w:val="9"/>
        </w:numPr>
        <w:rPr>
          <w:i/>
        </w:rPr>
      </w:pPr>
      <w:r>
        <w:t xml:space="preserve">Necessary and Proper Clause - permits Congress to seek an objective within its enumerated powers as long as it is rationally related to the objective and not forbidden by the constitution. </w:t>
      </w:r>
      <w:r w:rsidR="00480E86">
        <w:t xml:space="preserve">Maryland argued that Congress could only pass those laws which were absolutely essential in the execution of its enumerated powers. The Court held this was too narrow and that many of the enumerated powers of Congress would be useless of only laws deemed essential to execution could be passed. </w:t>
      </w:r>
      <w:r w:rsidR="00CF1DF8">
        <w:t xml:space="preserve">"Necessary" does not refer to the only way of doing something, but to various procedures for implementing all powers. </w:t>
      </w:r>
      <w:r w:rsidR="00180596">
        <w:t xml:space="preserve">He states that this was a legitimate mean since the bank was regulated by the federal government and more secure. </w:t>
      </w:r>
      <w:r w:rsidR="00FC6941">
        <w:t xml:space="preserve">Marshall said, </w:t>
      </w:r>
      <w:r w:rsidR="00FD29C7" w:rsidRPr="00FD29C7">
        <w:rPr>
          <w:i/>
        </w:rPr>
        <w:t>"</w:t>
      </w:r>
      <w:r w:rsidR="00FC6941">
        <w:rPr>
          <w:i/>
        </w:rPr>
        <w:t>L</w:t>
      </w:r>
      <w:r w:rsidR="00FD29C7" w:rsidRPr="00FD29C7">
        <w:rPr>
          <w:i/>
        </w:rPr>
        <w:t xml:space="preserve">et the end be legitimate, let it be within the scope of the Constitution, and all means which are appropriate, which are plainly adapted to that end, which are not prohibited, but consist with the letter and spirit of the constitution, are constitutional." </w:t>
      </w:r>
    </w:p>
    <w:p w:rsidR="00D50B0E" w:rsidRDefault="00180596">
      <w:r>
        <w:t xml:space="preserve">Maryland may not tax the bank and the court voided the tax as unconstitutional. </w:t>
      </w:r>
    </w:p>
    <w:p w:rsidR="00D50B0E" w:rsidRDefault="00D50B0E" w:rsidP="00D50B0E">
      <w:pPr>
        <w:pStyle w:val="Heading2"/>
      </w:pPr>
      <w:r>
        <w:t>Takeaway</w:t>
      </w:r>
    </w:p>
    <w:p w:rsidR="00D50B0E" w:rsidRDefault="00D50B0E">
      <w:r>
        <w:t>Established two important principles:</w:t>
      </w:r>
    </w:p>
    <w:p w:rsidR="00D50B0E" w:rsidRDefault="00D50B0E" w:rsidP="00D50B0E">
      <w:pPr>
        <w:pStyle w:val="ListParagraph"/>
        <w:numPr>
          <w:ilvl w:val="0"/>
          <w:numId w:val="10"/>
        </w:numPr>
      </w:pPr>
      <w:r>
        <w:t>The Constitution grants implied powers to Congress for implementing the Constitution's express powers, in order to create a functional national government.</w:t>
      </w:r>
    </w:p>
    <w:p w:rsidR="00DB4D31" w:rsidRPr="00FC6941" w:rsidRDefault="00D50B0E" w:rsidP="00D50B0E">
      <w:pPr>
        <w:pStyle w:val="ListParagraph"/>
        <w:numPr>
          <w:ilvl w:val="0"/>
          <w:numId w:val="10"/>
        </w:numPr>
      </w:pPr>
      <w:r>
        <w:t>State action may not impede valid constitutional exercises of power by the Federal government.</w:t>
      </w:r>
      <w:r w:rsidR="00DB4D31">
        <w:br w:type="page"/>
      </w:r>
    </w:p>
    <w:p w:rsidR="00C244CF" w:rsidRDefault="00C244CF" w:rsidP="00EC2AE1">
      <w:pPr>
        <w:pStyle w:val="Heading1"/>
      </w:pPr>
      <w:r>
        <w:lastRenderedPageBreak/>
        <w:t>Gibbons v. Ogden</w:t>
      </w:r>
      <w:r w:rsidR="008B7D5D">
        <w:t xml:space="preserve"> (1824) (CJ Marshall)</w:t>
      </w:r>
    </w:p>
    <w:p w:rsidR="005E74D4" w:rsidRDefault="005E74D4" w:rsidP="005E74D4">
      <w:pPr>
        <w:pStyle w:val="Heading2"/>
      </w:pPr>
      <w:r>
        <w:t>Background</w:t>
      </w:r>
    </w:p>
    <w:p w:rsidR="008B23B1" w:rsidRDefault="008B23B1" w:rsidP="00A73C39">
      <w:r>
        <w:t>Ogden owned the monopoly to operate steamboats with the state of New York; no one could operate a steamboat in New York without a license from Ogden. Connecticut prohibited anyone possessing a license from Ogden from operating a steamboat in its waters and New Jersey had a law providing damages against any person who restrained a New Jersey citizen from operating a steamboat in New York.</w:t>
      </w:r>
      <w:r w:rsidR="005E74D4">
        <w:t xml:space="preserve"> </w:t>
      </w:r>
      <w:r w:rsidR="00512631">
        <w:t xml:space="preserve">Gibbons had a federal license to engage in coasting trade and began operating a steamboat between New York and New Jersey. Ogden sought an injunction to prohibit Gibbons from operating within New York and the New York trial court granted the injunction. Gibbons appealed to Supreme Court. </w:t>
      </w:r>
    </w:p>
    <w:p w:rsidR="001C50EE" w:rsidRDefault="001C50EE" w:rsidP="001C50EE">
      <w:pPr>
        <w:pStyle w:val="Heading2"/>
      </w:pPr>
      <w:r>
        <w:t>Arguments</w:t>
      </w:r>
    </w:p>
    <w:p w:rsidR="001C50EE" w:rsidRPr="001C50EE" w:rsidRDefault="001C50EE" w:rsidP="001C50EE">
      <w:r>
        <w:t xml:space="preserve">Gibbons argues that the monopoly conflicted with federal law (his federal license). </w:t>
      </w:r>
    </w:p>
    <w:p w:rsidR="001C50EE" w:rsidRDefault="001C50EE" w:rsidP="001C50EE">
      <w:pPr>
        <w:pStyle w:val="Heading2"/>
      </w:pPr>
      <w:r>
        <w:t>Issue and Holding</w:t>
      </w:r>
    </w:p>
    <w:p w:rsidR="00A33871" w:rsidRDefault="00FD1FC9" w:rsidP="00A73C39">
      <w:r w:rsidRPr="00FD1FC9">
        <w:rPr>
          <w:b/>
        </w:rPr>
        <w:t>ISSUE</w:t>
      </w:r>
      <w:r>
        <w:t xml:space="preserve">: </w:t>
      </w:r>
      <w:r w:rsidR="00A33871">
        <w:t>Can the State of New York regulate interstate commerce with a monopoly</w:t>
      </w:r>
      <w:r>
        <w:t xml:space="preserve"> licensing requirement? </w:t>
      </w:r>
    </w:p>
    <w:p w:rsidR="00FD1FC9" w:rsidRDefault="00FD1FC9" w:rsidP="00A73C39">
      <w:r w:rsidRPr="00FD1FC9">
        <w:rPr>
          <w:b/>
        </w:rPr>
        <w:t>HOLDING</w:t>
      </w:r>
      <w:r>
        <w:t xml:space="preserve">: No, </w:t>
      </w:r>
      <w:r w:rsidR="003C1465">
        <w:t>Federal law</w:t>
      </w:r>
      <w:r>
        <w:t xml:space="preserve"> preempts any state legislation and, as such, the federal license takes precedence over any similar license granted by a state. </w:t>
      </w:r>
      <w:r w:rsidR="003C1465">
        <w:t>Congress's power here comes from the Commerce Clause. The</w:t>
      </w:r>
      <w:r>
        <w:t xml:space="preserve"> Court agrees that this is regulating New York commerce, but any interstate commerce regulation will affect state commerce. The limiting factor must be commerce that concerns more than one state. The Court held that commerce is more than mere traffic, it includes 'navigation'. </w:t>
      </w:r>
      <w:r w:rsidR="00B53160">
        <w:t xml:space="preserve">The court interpreted 'among' as 'intermingled with'. </w:t>
      </w:r>
    </w:p>
    <w:p w:rsidR="00DD1CF7" w:rsidRDefault="00DD1CF7" w:rsidP="00DD1CF7">
      <w:pPr>
        <w:pStyle w:val="Heading2"/>
      </w:pPr>
      <w:r>
        <w:t>Takeaway</w:t>
      </w:r>
    </w:p>
    <w:p w:rsidR="00DD1CF7" w:rsidRPr="00DD1CF7" w:rsidRDefault="00DD1CF7" w:rsidP="00DD1CF7">
      <w:r>
        <w:t xml:space="preserve">The power to regulate interstate commerce was granted to Congress by the Commerce Clause. </w:t>
      </w:r>
    </w:p>
    <w:p w:rsidR="00DB4D31" w:rsidRDefault="00DB4D31">
      <w:pPr>
        <w:rPr>
          <w:smallCaps/>
          <w:spacing w:val="5"/>
          <w:sz w:val="32"/>
          <w:szCs w:val="32"/>
        </w:rPr>
      </w:pPr>
      <w:r>
        <w:br w:type="page"/>
      </w:r>
    </w:p>
    <w:p w:rsidR="00C244CF" w:rsidRDefault="00B803CF" w:rsidP="00EC2AE1">
      <w:pPr>
        <w:pStyle w:val="Heading1"/>
      </w:pPr>
      <w:r>
        <w:lastRenderedPageBreak/>
        <w:t>Wickard v. Filburn (1942) (Jackson)</w:t>
      </w:r>
    </w:p>
    <w:p w:rsidR="00582043" w:rsidRDefault="00582043" w:rsidP="00582043">
      <w:pPr>
        <w:pStyle w:val="Heading2"/>
      </w:pPr>
      <w:r>
        <w:t>Background</w:t>
      </w:r>
    </w:p>
    <w:p w:rsidR="002F02D8" w:rsidRDefault="00B403E9" w:rsidP="00A73C39">
      <w:r>
        <w:t xml:space="preserve">Filburn was growing wheat for on-farm consumption in Ohio; the Federal government had established the Agricultural Adjustment Act of 1938 which imposed a penalty on growing wheat in excess of the marketing quota. </w:t>
      </w:r>
      <w:r w:rsidR="00715F3F">
        <w:t>The Act was established to control the volume moving in interstate and foreign commerce to avoid surpluses and shortages</w:t>
      </w:r>
      <w:r w:rsidR="00CB3E96">
        <w:t xml:space="preserve"> and the consequent fluctuation of wheat prices</w:t>
      </w:r>
      <w:r w:rsidR="00715F3F">
        <w:t xml:space="preserve">. </w:t>
      </w:r>
      <w:r w:rsidR="002D48F6">
        <w:t xml:space="preserve">Filburn sought to enjoin the enforcement via a declaratory judgment that the Act was unconstitutional and unsustainable under the Commerce Clause. </w:t>
      </w:r>
    </w:p>
    <w:p w:rsidR="00582043" w:rsidRDefault="00582043" w:rsidP="00582043">
      <w:pPr>
        <w:pStyle w:val="Heading2"/>
      </w:pPr>
      <w:r>
        <w:t>Issues and Holding</w:t>
      </w:r>
    </w:p>
    <w:p w:rsidR="00582043" w:rsidRDefault="00582043" w:rsidP="00A73C39">
      <w:r w:rsidRPr="00582043">
        <w:rPr>
          <w:b/>
        </w:rPr>
        <w:t>ISSUE</w:t>
      </w:r>
      <w:r>
        <w:t xml:space="preserve">: Can Congress regulate production and consumption which are local in character? </w:t>
      </w:r>
    </w:p>
    <w:p w:rsidR="00211D31" w:rsidRDefault="00582043" w:rsidP="0031381F">
      <w:r w:rsidRPr="00582043">
        <w:rPr>
          <w:b/>
        </w:rPr>
        <w:t>HOLDING</w:t>
      </w:r>
      <w:r>
        <w:t>:  Yes - as long as an activity 'exerts a substantial economic</w:t>
      </w:r>
      <w:r w:rsidR="00471A73">
        <w:t xml:space="preserve"> effect on interstate commerce'; this is irrespective of whether</w:t>
      </w:r>
      <w:r>
        <w:t xml:space="preserve"> such effect is direct or indirect.  </w:t>
      </w:r>
      <w:r w:rsidR="008F5E6E">
        <w:t xml:space="preserve">The Court held that because Filburn would normally purchase his wheat from the interstate market if he couldn't grow his own, the activity of growing his own wheat affected interstate commerce. Even though taken on its own, the amount would be negligible, if enough people grow their own crop, the effect would be substantial. </w:t>
      </w:r>
      <w:r w:rsidR="0031381F">
        <w:t>This is considered the broadest interpretation of the Commerce Clause.</w:t>
      </w:r>
      <w:r w:rsidR="00480979">
        <w:t xml:space="preserve"> </w:t>
      </w:r>
    </w:p>
    <w:p w:rsidR="00211D31" w:rsidRDefault="00211D31" w:rsidP="00211D31">
      <w:pPr>
        <w:pStyle w:val="Heading2"/>
      </w:pPr>
      <w:r>
        <w:t>Takeaway</w:t>
      </w:r>
    </w:p>
    <w:p w:rsidR="00DB4D31" w:rsidRPr="00582043" w:rsidRDefault="00211D31" w:rsidP="00211D31">
      <w:r>
        <w:t>Congress can regulate wholly intrastate, non-commercial</w:t>
      </w:r>
      <w:r w:rsidR="00A73C39">
        <w:t xml:space="preserve"> </w:t>
      </w:r>
      <w:r>
        <w:t xml:space="preserve">activity if such activity, viewed in the aggregate, would have a substantial effect on interstate commerce, even if the individual effects are trivial. </w:t>
      </w:r>
      <w:r w:rsidR="00DB4D31">
        <w:br w:type="page"/>
      </w:r>
    </w:p>
    <w:p w:rsidR="00C244CF" w:rsidRDefault="00C244CF" w:rsidP="00EC2AE1">
      <w:pPr>
        <w:pStyle w:val="Heading1"/>
      </w:pPr>
      <w:r>
        <w:lastRenderedPageBreak/>
        <w:t>United States v. Lopez</w:t>
      </w:r>
      <w:r w:rsidR="00C92CD1">
        <w:t xml:space="preserve"> (1995) (Rehnquist)</w:t>
      </w:r>
    </w:p>
    <w:p w:rsidR="001B59D3" w:rsidRDefault="001B59D3" w:rsidP="001B59D3">
      <w:pPr>
        <w:pStyle w:val="Heading2"/>
      </w:pPr>
      <w:r>
        <w:t>Background</w:t>
      </w:r>
    </w:p>
    <w:p w:rsidR="001B59D3" w:rsidRDefault="00A73C39" w:rsidP="00A73C39">
      <w:r>
        <w:t>Lopez, a student, comes to school with a loaded gun.  He is charged with violating the</w:t>
      </w:r>
      <w:r w:rsidR="001B59D3">
        <w:t xml:space="preserve"> federal</w:t>
      </w:r>
      <w:r>
        <w:t xml:space="preserve"> Gun-Free School Zones Act of 1990.  </w:t>
      </w:r>
      <w:r w:rsidR="001B59D3">
        <w:t xml:space="preserve">Trial court denied the motion to dismiss based on the Act being unconstitutional. The appeals court reverses claiming that the Act exceeded the Commerce Clause. The case is granted Certiori. </w:t>
      </w:r>
    </w:p>
    <w:p w:rsidR="000013CE" w:rsidRDefault="000013CE" w:rsidP="000013CE">
      <w:pPr>
        <w:pStyle w:val="Heading2"/>
      </w:pPr>
      <w:r>
        <w:t>Arguments</w:t>
      </w:r>
    </w:p>
    <w:p w:rsidR="000013CE" w:rsidRDefault="000013CE" w:rsidP="000013CE">
      <w:r>
        <w:t xml:space="preserve">The US argues that the possession of a firearm in an educational environment would lead to a violent crime; this in turn would affect the general economic condition by creating expenses, raising insurance costs, and by limiting the willingness to travel in the area perceived to be unsafe. </w:t>
      </w:r>
    </w:p>
    <w:p w:rsidR="000013CE" w:rsidRPr="000013CE" w:rsidRDefault="000013CE" w:rsidP="000013CE">
      <w:r>
        <w:t xml:space="preserve">The US also argues that the presence of firearms within a school would inhibit learning leading to a weaker national economy (education is a crucial element of a nation's financial health). </w:t>
      </w:r>
    </w:p>
    <w:p w:rsidR="001B59D3" w:rsidRDefault="001B59D3" w:rsidP="001B59D3">
      <w:pPr>
        <w:pStyle w:val="Heading2"/>
      </w:pPr>
      <w:r>
        <w:t>Issues and Holding</w:t>
      </w:r>
    </w:p>
    <w:p w:rsidR="00AE195D" w:rsidRDefault="00AE195D" w:rsidP="00A73C39">
      <w:r w:rsidRPr="00AE195D">
        <w:rPr>
          <w:b/>
        </w:rPr>
        <w:t>ISSUE</w:t>
      </w:r>
      <w:r>
        <w:t>: Can the Federal Government regulate the possession of firearms on school grounds?</w:t>
      </w:r>
    </w:p>
    <w:p w:rsidR="00A73C39" w:rsidRDefault="00AE195D" w:rsidP="00AE195D">
      <w:r w:rsidRPr="00AE195D">
        <w:rPr>
          <w:b/>
        </w:rPr>
        <w:t>HOLDING</w:t>
      </w:r>
      <w:r>
        <w:t>: No - the Supreme Court</w:t>
      </w:r>
      <w:r w:rsidR="00A73C39">
        <w:t xml:space="preserve"> affirms tha</w:t>
      </w:r>
      <w:r>
        <w:t xml:space="preserve">t the Act is unconstitutional. The </w:t>
      </w:r>
      <w:r w:rsidR="00A73C39">
        <w:t xml:space="preserve">Court says </w:t>
      </w:r>
      <w:r>
        <w:t>Federal legislature</w:t>
      </w:r>
      <w:r w:rsidR="00A73C39">
        <w:t xml:space="preserve"> can regulate three different things with the Commerce Clause:</w:t>
      </w:r>
    </w:p>
    <w:p w:rsidR="00A73C39" w:rsidRDefault="00AE195D" w:rsidP="00A73C39">
      <w:pPr>
        <w:pStyle w:val="ListParagraph"/>
        <w:numPr>
          <w:ilvl w:val="0"/>
          <w:numId w:val="2"/>
        </w:numPr>
      </w:pPr>
      <w:r>
        <w:rPr>
          <w:b/>
        </w:rPr>
        <w:t xml:space="preserve">Channels </w:t>
      </w:r>
      <w:r>
        <w:t xml:space="preserve">- </w:t>
      </w:r>
      <w:r w:rsidR="00A73C39">
        <w:t>Regulate channels of interstate commerce</w:t>
      </w:r>
    </w:p>
    <w:p w:rsidR="00A73C39" w:rsidRDefault="00AE195D" w:rsidP="00A73C39">
      <w:pPr>
        <w:pStyle w:val="ListParagraph"/>
        <w:numPr>
          <w:ilvl w:val="0"/>
          <w:numId w:val="2"/>
        </w:numPr>
      </w:pPr>
      <w:r>
        <w:rPr>
          <w:b/>
        </w:rPr>
        <w:t xml:space="preserve">Instrumentalities </w:t>
      </w:r>
      <w:r>
        <w:t xml:space="preserve">- </w:t>
      </w:r>
      <w:r w:rsidR="00A73C39">
        <w:t>Regulate and protect the instrumentalities of interstate commerce, or persons, or things in interstate commerce</w:t>
      </w:r>
    </w:p>
    <w:p w:rsidR="00A73C39" w:rsidRDefault="00987DB3" w:rsidP="00A73C39">
      <w:pPr>
        <w:pStyle w:val="ListParagraph"/>
        <w:numPr>
          <w:ilvl w:val="0"/>
          <w:numId w:val="2"/>
        </w:numPr>
      </w:pPr>
      <w:r>
        <w:rPr>
          <w:b/>
        </w:rPr>
        <w:t>Substantial A</w:t>
      </w:r>
      <w:r w:rsidR="00AE195D" w:rsidRPr="00AE195D">
        <w:rPr>
          <w:b/>
        </w:rPr>
        <w:t>ffect</w:t>
      </w:r>
      <w:r w:rsidR="00AE195D">
        <w:t xml:space="preserve"> - </w:t>
      </w:r>
      <w:r w:rsidR="00A73C39">
        <w:t>Regulate those activities</w:t>
      </w:r>
      <w:r>
        <w:t xml:space="preserve"> that</w:t>
      </w:r>
      <w:r w:rsidR="00A73C39">
        <w:t xml:space="preserve"> have a substantial relation to interstate commerce (substantially affect interstate commerce)</w:t>
      </w:r>
    </w:p>
    <w:p w:rsidR="00C00DC5" w:rsidRDefault="00152E6A" w:rsidP="00152E6A">
      <w:r>
        <w:t>The Court held that only the third category argument could be made here; further, the Court held that even under the most extravagant definitions, the arguments do not hold. The Court found the government's arguments to create a dangerous slippery slope - what couldn't Congress regulate then?</w:t>
      </w:r>
      <w:r w:rsidR="00C00DC5">
        <w:t xml:space="preserve"> This case is a step too far removed from commerce and consequently cannot be regulated via the Commerce Clause.</w:t>
      </w:r>
    </w:p>
    <w:p w:rsidR="00D52E19" w:rsidRDefault="00D52E19" w:rsidP="00D52E19">
      <w:pPr>
        <w:pStyle w:val="Heading2"/>
      </w:pPr>
      <w:r>
        <w:t>Dissent (Breyer)</w:t>
      </w:r>
    </w:p>
    <w:p w:rsidR="00D52E19" w:rsidRDefault="00D52E19">
      <w:r>
        <w:t>Breyer argues three main points:</w:t>
      </w:r>
    </w:p>
    <w:p w:rsidR="00D52E19" w:rsidRDefault="00D52E19" w:rsidP="00D52E19">
      <w:pPr>
        <w:pStyle w:val="ListParagraph"/>
        <w:numPr>
          <w:ilvl w:val="0"/>
          <w:numId w:val="11"/>
        </w:numPr>
      </w:pPr>
      <w:r>
        <w:t xml:space="preserve">The Commerce clause includes the power to regulate local activities as long as they 'significantly affect' interstate commerce. </w:t>
      </w:r>
    </w:p>
    <w:p w:rsidR="00D52E19" w:rsidRDefault="00D52E19" w:rsidP="00D52E19">
      <w:pPr>
        <w:pStyle w:val="ListParagraph"/>
        <w:numPr>
          <w:ilvl w:val="0"/>
          <w:numId w:val="11"/>
        </w:numPr>
      </w:pPr>
      <w:r>
        <w:t>The Court should consider the cumulative effect of regulation rather than a single instance of action.</w:t>
      </w:r>
    </w:p>
    <w:p w:rsidR="00D52E19" w:rsidRDefault="00D52E19" w:rsidP="00D52E19">
      <w:pPr>
        <w:pStyle w:val="ListParagraph"/>
        <w:numPr>
          <w:ilvl w:val="0"/>
          <w:numId w:val="11"/>
        </w:numPr>
      </w:pPr>
      <w:r>
        <w:t xml:space="preserve">The Court should be looking at whether Congress had a 'rational basis' for concluding whether the activity significantly affected interstate commerce rather than deciding on their own. </w:t>
      </w:r>
    </w:p>
    <w:p w:rsidR="00B12E5F" w:rsidRDefault="00B12E5F" w:rsidP="00B12E5F">
      <w:r>
        <w:t xml:space="preserve">With these ideas in mind, Breyer argues that given empirical studies that Congress could have found that this regulation does have an effect on interstate commerce. </w:t>
      </w:r>
    </w:p>
    <w:p w:rsidR="000C0FEC" w:rsidRDefault="000C0FEC" w:rsidP="000C0FEC">
      <w:pPr>
        <w:pStyle w:val="Heading2"/>
      </w:pPr>
      <w:r>
        <w:t>Dissent (Souter)</w:t>
      </w:r>
    </w:p>
    <w:p w:rsidR="000C0FEC" w:rsidRDefault="000C0FEC" w:rsidP="000C0FEC">
      <w:r>
        <w:t>"Commercial" and "non-commercial" activity cannot be distinguished and agrees with Breyer.</w:t>
      </w:r>
    </w:p>
    <w:p w:rsidR="00ED7649" w:rsidRDefault="00F3048A" w:rsidP="00ED7649">
      <w:pPr>
        <w:pStyle w:val="Heading2"/>
      </w:pPr>
      <w:r>
        <w:lastRenderedPageBreak/>
        <w:t>Dissent (Stevens)</w:t>
      </w:r>
    </w:p>
    <w:p w:rsidR="00DB4D31" w:rsidRPr="00C00DC5" w:rsidRDefault="005F4505" w:rsidP="00ED7649">
      <w:r>
        <w:t xml:space="preserve">Stevens thinks that guns are both articles of commerce and articles that can be used to restrain commerce - as such, they can easily be regulated via the Commerce Clause. </w:t>
      </w:r>
      <w:r w:rsidR="00DB4D31">
        <w:br w:type="page"/>
      </w:r>
    </w:p>
    <w:p w:rsidR="00C244CF" w:rsidRDefault="00C244CF" w:rsidP="00EC2AE1">
      <w:pPr>
        <w:pStyle w:val="Heading1"/>
      </w:pPr>
      <w:r>
        <w:lastRenderedPageBreak/>
        <w:t>Garcia v. San Antonio Metropolitan Transit Authority</w:t>
      </w:r>
      <w:r w:rsidR="00CB580B">
        <w:t xml:space="preserve"> (1985) (Blackmun)</w:t>
      </w:r>
    </w:p>
    <w:p w:rsidR="00081D32" w:rsidRDefault="00081D32" w:rsidP="00081D32">
      <w:pPr>
        <w:pStyle w:val="Heading2"/>
      </w:pPr>
      <w:r>
        <w:t>Background</w:t>
      </w:r>
    </w:p>
    <w:p w:rsidR="00057A81" w:rsidRDefault="00DE6178" w:rsidP="00ED6B79">
      <w:r>
        <w:t xml:space="preserve">In 1968, Maryland v. Wirtz upheld a challenge to federal minimum wages; in 1976, National League of Cities v. Usery reversed Wirtz and said that this power was reserved to the states. Now, nine years later, SAMTA is suing the Secretary of Labor, seeking a declaratory judgment that the Fair Labor Standards Act (FLSA) was unconstitutional in light of National League of Cities. Garcia, a SAMTA worker, is seeking overtime under the FLSA - the cases were joined. </w:t>
      </w:r>
    </w:p>
    <w:p w:rsidR="00EE7EB0" w:rsidRDefault="00EE7EB0" w:rsidP="00EE7EB0">
      <w:pPr>
        <w:pStyle w:val="Heading2"/>
      </w:pPr>
      <w:r>
        <w:t>Issues and Holding</w:t>
      </w:r>
    </w:p>
    <w:p w:rsidR="00EE7EB0" w:rsidRDefault="00EE7EB0" w:rsidP="00EE7EB0">
      <w:r w:rsidRPr="00EE7EB0">
        <w:rPr>
          <w:b/>
        </w:rPr>
        <w:t>ISSUE</w:t>
      </w:r>
      <w:r>
        <w:t xml:space="preserve">: Does Congress have the power under the Commerce Clause to extend the Fair Labor Standards Act (to provide minimum wage to their employees) to state and local government? </w:t>
      </w:r>
    </w:p>
    <w:p w:rsidR="00EE7EB0" w:rsidRDefault="00EE7EB0" w:rsidP="00EE7EB0">
      <w:r w:rsidRPr="00EE7EB0">
        <w:rPr>
          <w:b/>
        </w:rPr>
        <w:t>HOLDING</w:t>
      </w:r>
      <w:r w:rsidR="00ED6B79">
        <w:t xml:space="preserve">: Yes, the concept of 'traditional governmental functions' was analytically unsound and Congress had the power under the Commerce Clause to apply the FLSA to state employees. </w:t>
      </w:r>
      <w:r w:rsidR="00B443E6">
        <w:t xml:space="preserve">The framers believed state sovereignty could be maintained through the Senate. </w:t>
      </w:r>
    </w:p>
    <w:p w:rsidR="00BF3453" w:rsidRDefault="00BF3453" w:rsidP="00BF3453">
      <w:pPr>
        <w:pStyle w:val="Heading2"/>
      </w:pPr>
      <w:r>
        <w:t>Dissent (Powell)</w:t>
      </w:r>
    </w:p>
    <w:p w:rsidR="00BF3453" w:rsidRDefault="00B42A94" w:rsidP="00BF3453">
      <w:r>
        <w:t xml:space="preserve">Powell felt stare decisis gave effect to National League of Cities. Powell also said that the majority did not give any power at all to the Tenth Amendment over the Constitution. </w:t>
      </w:r>
    </w:p>
    <w:p w:rsidR="00B42A94" w:rsidRDefault="00D841DE" w:rsidP="00D841DE">
      <w:pPr>
        <w:pStyle w:val="Heading2"/>
      </w:pPr>
      <w:r>
        <w:t>Dissent (O'Connor)</w:t>
      </w:r>
    </w:p>
    <w:p w:rsidR="00D841DE" w:rsidRPr="00D841DE" w:rsidRDefault="00D841DE" w:rsidP="00D841DE">
      <w:r>
        <w:t xml:space="preserve">O'Connor believes the court should weigh state autonomy as a factor in the balance when determining when Congress can exercise its authority on the States as States. </w:t>
      </w:r>
    </w:p>
    <w:p w:rsidR="00DB4D31" w:rsidRDefault="00DB4D31">
      <w:pPr>
        <w:rPr>
          <w:smallCaps/>
          <w:spacing w:val="5"/>
          <w:sz w:val="32"/>
          <w:szCs w:val="32"/>
        </w:rPr>
      </w:pPr>
      <w:r>
        <w:br w:type="page"/>
      </w:r>
    </w:p>
    <w:p w:rsidR="00C244CF" w:rsidRDefault="00C244CF" w:rsidP="00EC2AE1">
      <w:pPr>
        <w:pStyle w:val="Heading1"/>
      </w:pPr>
      <w:r>
        <w:lastRenderedPageBreak/>
        <w:t>New York v. United States</w:t>
      </w:r>
      <w:r w:rsidR="00612F5E">
        <w:t xml:space="preserve"> (1992) (O'Connor)</w:t>
      </w:r>
    </w:p>
    <w:p w:rsidR="00227607" w:rsidRDefault="00227607" w:rsidP="00227607">
      <w:pPr>
        <w:pStyle w:val="Heading2"/>
      </w:pPr>
      <w:r>
        <w:t>Background</w:t>
      </w:r>
    </w:p>
    <w:p w:rsidR="002B4E80" w:rsidRDefault="002B4E80" w:rsidP="00057A81">
      <w:r>
        <w:t xml:space="preserve">Congress enacts the Low-Level Radioactive Waste Policy Amendments Act of 1985 which provides 3 incentives to help reduce radioactive waste: (1) monetary incentives to comply with act, (2) access incentives for states that comply, and (3) a take-title provision that requires he states to assume ownership of the waste if they do not comply. </w:t>
      </w:r>
      <w:r w:rsidR="00EB4B2D">
        <w:t xml:space="preserve">New York filed suit agains the Unitd States seeking a declaratory judgment that the Act is inconsistent with the Tenth Amendment and the Guarantee Clause. </w:t>
      </w:r>
    </w:p>
    <w:p w:rsidR="00227607" w:rsidRDefault="00227607" w:rsidP="00227607">
      <w:pPr>
        <w:pStyle w:val="Heading2"/>
      </w:pPr>
      <w:r>
        <w:t>Issues and Holding</w:t>
      </w:r>
    </w:p>
    <w:p w:rsidR="00507729" w:rsidRDefault="00507729">
      <w:r w:rsidRPr="00507729">
        <w:rPr>
          <w:b/>
        </w:rPr>
        <w:t>ISSUE</w:t>
      </w:r>
      <w:r>
        <w:t>: Does the take-title provision in the Act fall within Congress's power under the Commerce Clause?</w:t>
      </w:r>
    </w:p>
    <w:p w:rsidR="00507729" w:rsidRDefault="00507729">
      <w:r w:rsidRPr="00507729">
        <w:rPr>
          <w:b/>
        </w:rPr>
        <w:t>HOLDING</w:t>
      </w:r>
      <w:r>
        <w:t xml:space="preserve">: No - the take-title incentive attempts to 'commandeer' the state governments by compelling them to participate rather than incentivizing. The government 'crossed the line distinguishing encouragement from coercion.' </w:t>
      </w:r>
      <w:r w:rsidR="003B282D" w:rsidRPr="003B282D">
        <w:t>Since Congress cannot directly force States to legislate according to their scheme, and since Congress likewise cannot force States to take title to radioactive waste, O'Connor reasoned that Congress cannot force States to choose between the two.</w:t>
      </w:r>
    </w:p>
    <w:p w:rsidR="00971C38" w:rsidRDefault="00967F8E">
      <w:r>
        <w:t xml:space="preserve">A large problem here is accountability - when the Federal government tells a state government that they have to regulate something, the local state representatives will take the blame from their constituents. Under the Constitution, the Federal government can only make laws applicable to people, not states. The federal government cannot tell States how to regulate or what to regulate (anti-commandeering principle).  The government can regulate states' actions, just not the method of state regulation.  </w:t>
      </w:r>
    </w:p>
    <w:p w:rsidR="00971C38" w:rsidRDefault="00971C38">
      <w:r>
        <w:t>Here, the court severed the third incentive provision from the rest of the Act.</w:t>
      </w:r>
    </w:p>
    <w:p w:rsidR="00971C38" w:rsidRDefault="00971C38" w:rsidP="00971C38">
      <w:pPr>
        <w:pStyle w:val="Heading2"/>
      </w:pPr>
      <w:r>
        <w:t>Dissent (White)</w:t>
      </w:r>
    </w:p>
    <w:p w:rsidR="00DB4D31" w:rsidRPr="00971C38" w:rsidRDefault="00971C38" w:rsidP="00971C38">
      <w:pPr>
        <w:rPr>
          <w:spacing w:val="15"/>
        </w:rPr>
      </w:pPr>
      <w:r>
        <w:t>White feels as though the Act was</w:t>
      </w:r>
      <w:r w:rsidR="00F230F1">
        <w:t xml:space="preserve">, 'bargained among themselves to achieve compromises for Congress to sanction.' </w:t>
      </w:r>
      <w:r w:rsidR="000969B3">
        <w:t xml:space="preserve">White says that Congress has the right to directly regulate the waste, but instead chose an option that gave States more flexibility. </w:t>
      </w:r>
      <w:r w:rsidR="00DB4D31">
        <w:br w:type="page"/>
      </w:r>
    </w:p>
    <w:p w:rsidR="00C244CF" w:rsidRDefault="00C244CF" w:rsidP="00EC2AE1">
      <w:pPr>
        <w:pStyle w:val="Heading1"/>
      </w:pPr>
      <w:r>
        <w:lastRenderedPageBreak/>
        <w:t>Youngstown Sheet &amp; Tube v. Sawyer</w:t>
      </w:r>
    </w:p>
    <w:p w:rsidR="007F7410" w:rsidRPr="007F7410" w:rsidRDefault="007F7410" w:rsidP="007F7410">
      <w:pPr>
        <w:pStyle w:val="Heading2"/>
      </w:pPr>
      <w:r>
        <w:t>Background</w:t>
      </w:r>
    </w:p>
    <w:p w:rsidR="00F46D58" w:rsidRDefault="00F46D58" w:rsidP="00F46D58">
      <w:r>
        <w:t xml:space="preserve">During the Korean War, demand for steel rose; at the same time, steel industry workers were striking against management. President Truman authorized Secretary of Commerce Sawyer to take possession of the steel industry and keep the mills operating. </w:t>
      </w:r>
      <w:r w:rsidR="007F7410">
        <w:t>Only recently, the Taft-Hartley Act was passed that gave the President the power to seek an injunction against strikes that might affect the national economy; Truman didn't want to use this since he unsuccessfully vetoed it.</w:t>
      </w:r>
    </w:p>
    <w:p w:rsidR="007F7410" w:rsidRDefault="007F7410" w:rsidP="007F7410">
      <w:pPr>
        <w:pStyle w:val="Heading2"/>
      </w:pPr>
      <w:r>
        <w:t>Issues and Holding</w:t>
      </w:r>
    </w:p>
    <w:p w:rsidR="00431687" w:rsidRDefault="00431687" w:rsidP="007F7410">
      <w:r>
        <w:t xml:space="preserve">ISSUE: </w:t>
      </w:r>
      <w:r w:rsidR="007F7410">
        <w:t>Does the President have executive power under the war powers clause, or any implied powers, to authorize the seizure of the nation's steel mills?</w:t>
      </w:r>
    </w:p>
    <w:p w:rsidR="00431687" w:rsidRDefault="00431687" w:rsidP="007F7410">
      <w:r>
        <w:t xml:space="preserve">HOLDING: No, the President does not have implicit or explicit power to seize the nation's steel mills. The plaintiffs argue that the President's order amounts to lawmaking and the president argues that he was acting under the aggregate of his Constitutional power as the nation's Chief Executive. </w:t>
      </w:r>
      <w:r w:rsidR="00590D0E">
        <w:t>The court holds that</w:t>
      </w:r>
      <w:r w:rsidR="00EB6708">
        <w:t xml:space="preserve"> there was no statute or act of Congress that permitted these acts AND Congress specifically refused to grant such authorization. </w:t>
      </w:r>
      <w:r w:rsidR="000F0D6A">
        <w:t xml:space="preserve">The president cannot order policy (only suggest it). </w:t>
      </w:r>
    </w:p>
    <w:p w:rsidR="00EF7A2D" w:rsidRDefault="00EF7A2D" w:rsidP="00EF7A2D">
      <w:pPr>
        <w:pStyle w:val="Heading2"/>
      </w:pPr>
      <w:r>
        <w:t>Concurrence (</w:t>
      </w:r>
      <w:r w:rsidR="00BE7655">
        <w:t>Jackson</w:t>
      </w:r>
      <w:r>
        <w:t>)</w:t>
      </w:r>
      <w:r w:rsidR="00991FD1">
        <w:t xml:space="preserve"> (Canonical)</w:t>
      </w:r>
    </w:p>
    <w:p w:rsidR="00EF7A2D" w:rsidRDefault="008E2561" w:rsidP="00865F8E">
      <w:r>
        <w:t>In determining whether the executive has authority, there are three circumsta</w:t>
      </w:r>
      <w:r w:rsidR="00F31038">
        <w:t>n</w:t>
      </w:r>
      <w:r>
        <w:t>ces:</w:t>
      </w:r>
    </w:p>
    <w:p w:rsidR="008E2561" w:rsidRPr="00865F8E" w:rsidRDefault="008E2561" w:rsidP="00865F8E">
      <w:pPr>
        <w:pStyle w:val="ListParagraph"/>
        <w:numPr>
          <w:ilvl w:val="0"/>
          <w:numId w:val="8"/>
        </w:numPr>
        <w:rPr>
          <w:rFonts w:eastAsiaTheme="minorHAnsi"/>
          <w:b/>
          <w:bCs/>
        </w:rPr>
      </w:pPr>
      <w:r w:rsidRPr="00865F8E">
        <w:rPr>
          <w:rFonts w:eastAsiaTheme="minorHAnsi"/>
          <w:b/>
          <w:bCs/>
        </w:rPr>
        <w:t xml:space="preserve">President and </w:t>
      </w:r>
      <w:r w:rsidRPr="00865F8E">
        <w:rPr>
          <w:rFonts w:eastAsiaTheme="minorHAnsi"/>
          <w:b/>
        </w:rPr>
        <w:t>Congress</w:t>
      </w:r>
      <w:r w:rsidRPr="008E2561">
        <w:rPr>
          <w:rFonts w:eastAsiaTheme="minorHAnsi"/>
        </w:rPr>
        <w:t>: When the President acts pursuant to an express or implied authorization of Congress, the President’s authority is at its greatest. (not necessarily Constitutional). ex. Curtiss-Wright.</w:t>
      </w:r>
    </w:p>
    <w:p w:rsidR="008E2561" w:rsidRPr="00865F8E" w:rsidRDefault="008E2561" w:rsidP="00865F8E">
      <w:pPr>
        <w:pStyle w:val="ListParagraph"/>
        <w:numPr>
          <w:ilvl w:val="0"/>
          <w:numId w:val="8"/>
        </w:numPr>
        <w:rPr>
          <w:rFonts w:eastAsiaTheme="minorHAnsi"/>
          <w:b/>
          <w:bCs/>
        </w:rPr>
      </w:pPr>
      <w:r w:rsidRPr="00865F8E">
        <w:rPr>
          <w:rFonts w:eastAsiaTheme="minorHAnsi"/>
          <w:b/>
        </w:rPr>
        <w:t>President</w:t>
      </w:r>
      <w:r w:rsidRPr="008E2561">
        <w:rPr>
          <w:rFonts w:eastAsiaTheme="minorHAnsi"/>
        </w:rPr>
        <w:t>: When the President acts in the absence of either a congressional grant or denial of authority, he can only rely upon his own independent powers, but there is a zone in which he and Congress may have concurrent authority. When this is the case, the test depends on the imperatives of events and contemporary imponderables rather than on abstract theories of law.</w:t>
      </w:r>
    </w:p>
    <w:p w:rsidR="00865F8E" w:rsidRPr="00865F8E" w:rsidRDefault="008E2561" w:rsidP="00865F8E">
      <w:pPr>
        <w:pStyle w:val="ListParagraph"/>
        <w:numPr>
          <w:ilvl w:val="0"/>
          <w:numId w:val="8"/>
        </w:numPr>
        <w:rPr>
          <w:rFonts w:eastAsiaTheme="minorHAnsi"/>
          <w:b/>
          <w:bCs/>
        </w:rPr>
      </w:pPr>
      <w:r w:rsidRPr="00865F8E">
        <w:rPr>
          <w:rFonts w:eastAsiaTheme="minorHAnsi"/>
          <w:b/>
        </w:rPr>
        <w:t>President</w:t>
      </w:r>
      <w:r w:rsidRPr="00865F8E">
        <w:rPr>
          <w:rFonts w:eastAsiaTheme="minorHAnsi"/>
          <w:b/>
          <w:bCs/>
        </w:rPr>
        <w:t xml:space="preserve"> against </w:t>
      </w:r>
      <w:r w:rsidRPr="00865F8E">
        <w:rPr>
          <w:rFonts w:eastAsiaTheme="minorHAnsi"/>
          <w:b/>
        </w:rPr>
        <w:t>Congress</w:t>
      </w:r>
      <w:r w:rsidRPr="008E2561">
        <w:rPr>
          <w:rFonts w:eastAsiaTheme="minorHAnsi"/>
        </w:rPr>
        <w:t>: When the President takes measures incompatible with the expressed or implied will of Congress, the authority of the President is at its lowest.</w:t>
      </w:r>
    </w:p>
    <w:p w:rsidR="00865F8E" w:rsidRPr="00865F8E" w:rsidRDefault="00865F8E" w:rsidP="00865F8E">
      <w:r>
        <w:t xml:space="preserve">Jackson feels this case falls within the last category. </w:t>
      </w:r>
    </w:p>
    <w:p w:rsidR="00DF568F" w:rsidRDefault="00DF568F" w:rsidP="008E2561">
      <w:pPr>
        <w:pStyle w:val="Heading2"/>
      </w:pPr>
      <w:r>
        <w:t>Concurrence (Clark)</w:t>
      </w:r>
    </w:p>
    <w:p w:rsidR="00DF568F" w:rsidRDefault="00DF568F" w:rsidP="00DF568F">
      <w:r>
        <w:t xml:space="preserve">Where Congress has provided legislature to deal with the crisis, the President must follow those procedures in dealing with the congress; in absence of such Congressional action, the President must act upon the gravity of the situation confronting the nation. </w:t>
      </w:r>
    </w:p>
    <w:p w:rsidR="00516CFF" w:rsidRDefault="00516CFF" w:rsidP="00516CFF">
      <w:pPr>
        <w:pStyle w:val="Heading2"/>
      </w:pPr>
      <w:r>
        <w:t>Concurrence (Douglas)</w:t>
      </w:r>
    </w:p>
    <w:p w:rsidR="00516CFF" w:rsidRPr="00516CFF" w:rsidRDefault="00516CFF" w:rsidP="00516CFF">
      <w:r>
        <w:t xml:space="preserve">Until and unless Congress acts, no condemnation can be lawful. </w:t>
      </w:r>
    </w:p>
    <w:p w:rsidR="00181951" w:rsidRDefault="00181951" w:rsidP="00181951">
      <w:pPr>
        <w:pStyle w:val="Heading2"/>
      </w:pPr>
      <w:r>
        <w:t>Dissent (Vinson, Reed, and Minton)</w:t>
      </w:r>
    </w:p>
    <w:p w:rsidR="00DF568F" w:rsidRPr="005F4896" w:rsidRDefault="005F4896" w:rsidP="005F4896">
      <w:r>
        <w:t>Many Presidents have taken such action before: most notably, Lincoln during the Civil War - he erected the naval blockade and signed the Emancipation Proclamation. Hayes and Cleveland authorized the use of the military to settle strikes without state or legislative authority.</w:t>
      </w:r>
    </w:p>
    <w:p w:rsidR="00DB4D31" w:rsidRDefault="00DB4D31">
      <w:pPr>
        <w:rPr>
          <w:smallCaps/>
          <w:spacing w:val="5"/>
          <w:sz w:val="32"/>
          <w:szCs w:val="32"/>
        </w:rPr>
      </w:pPr>
      <w:r>
        <w:br w:type="page"/>
      </w:r>
    </w:p>
    <w:p w:rsidR="00C244CF" w:rsidRDefault="00C244CF" w:rsidP="00EC2AE1">
      <w:pPr>
        <w:pStyle w:val="Heading1"/>
      </w:pPr>
      <w:r>
        <w:lastRenderedPageBreak/>
        <w:t>INS v. Chadha</w:t>
      </w:r>
      <w:r w:rsidR="001B50CB">
        <w:t xml:space="preserve"> (1983) (Burger)</w:t>
      </w:r>
    </w:p>
    <w:p w:rsidR="001B50CB" w:rsidRDefault="001B50CB" w:rsidP="001B50CB">
      <w:pPr>
        <w:pStyle w:val="Heading2"/>
        <w:rPr>
          <w:b w:val="0"/>
        </w:rPr>
      </w:pPr>
      <w:r>
        <w:rPr>
          <w:b w:val="0"/>
        </w:rPr>
        <w:t>Background</w:t>
      </w:r>
    </w:p>
    <w:p w:rsidR="002F09ED" w:rsidRDefault="002F09ED" w:rsidP="002F09ED">
      <w:r w:rsidRPr="00CF6B9D">
        <w:rPr>
          <w:b/>
        </w:rPr>
        <w:t>Defendant</w:t>
      </w:r>
      <w:r>
        <w:t xml:space="preserve"> (Appealing): The immigration and Naturalization Service and US Attorney General.  The House and Senate are the ones that petitioned the Supreme Court. </w:t>
      </w:r>
    </w:p>
    <w:p w:rsidR="002F09ED" w:rsidRDefault="002F09ED" w:rsidP="002F09ED">
      <w:r w:rsidRPr="00CF6B9D">
        <w:rPr>
          <w:b/>
        </w:rPr>
        <w:t>Plaintiff</w:t>
      </w:r>
      <w:r>
        <w:t xml:space="preserve">: Jagdish Chadha, a foreign exchange student not considered a citizen by Kenya or India - brought this suit challenging the House Resolution ordering his deportation first to the Board of Immigration Appeals (held it had no authority to rule on constituti9onality of this).  Chadha then appealed to the Ninth Circuit.  Ninth Circuit held that the one-house veto provision was unconstitutional.  </w:t>
      </w:r>
    </w:p>
    <w:p w:rsidR="002F09ED" w:rsidRDefault="002F09ED" w:rsidP="002F09ED">
      <w:r w:rsidRPr="00CF6B9D">
        <w:rPr>
          <w:b/>
        </w:rPr>
        <w:t>Statute in question</w:t>
      </w:r>
      <w:r>
        <w:t>: § 244(a)(1) of the Immigration and Nationality Act - this authorized the INS to suspend deportation of an alien continually residing in the United States for at least seven years where the Attorney General, in his discretion, found that "deportation would ... result in extreme hardship." After such a finding by the Attorney General, he transmits a report to Congress pursuant to § 244(c)(1) and either house of Congress has the power to veto the Attorney General's determination pursuant to § 244(c)(2).</w:t>
      </w:r>
    </w:p>
    <w:p w:rsidR="001B50CB" w:rsidRDefault="001B50CB" w:rsidP="001B50CB">
      <w:pPr>
        <w:pStyle w:val="Heading2"/>
      </w:pPr>
      <w:r>
        <w:t>Issues and Holding</w:t>
      </w:r>
    </w:p>
    <w:p w:rsidR="002F09ED" w:rsidRDefault="002F09ED" w:rsidP="002F09ED">
      <w:r w:rsidRPr="00852C73">
        <w:rPr>
          <w:b/>
        </w:rPr>
        <w:t>H</w:t>
      </w:r>
      <w:r w:rsidR="001B50CB">
        <w:rPr>
          <w:b/>
        </w:rPr>
        <w:t>OLDING</w:t>
      </w:r>
      <w:r>
        <w:t>: Court held that "Congress must abide by its delegation of authority until that delegation is legislatively altered or revoked" and that the power to veto given to congress was not within any of the 'express constitutional exceptions authorizing on House to act alone."</w:t>
      </w:r>
    </w:p>
    <w:p w:rsidR="002F09ED" w:rsidRDefault="002F09ED" w:rsidP="002F09ED">
      <w:r w:rsidRPr="006B7C6E">
        <w:rPr>
          <w:b/>
        </w:rPr>
        <w:t>Lecture Notes</w:t>
      </w:r>
      <w:r>
        <w:t xml:space="preserve">: Before this statute, congress could pass a private law to prevent deportation. The problem with this system was that it took a long time. This also invited bribing of congressmen. This statute moved this job to the Attorney General which would then in turn require a vote by the Senate and House. The President made a signing statement that said the one house overruling was unconstitutional. Chadha bringing the case reminds him on Windsor (the government taking the case over). Here, the issue is the constitutionality of a one-house veto. This directly affects the power of the Senate and the House. Supreme court finds this unconstitutional because the one house veto is legislative action and this must go through both houses and be signed by the president. The default position is that the law is severable and there was a severability provision. </w:t>
      </w:r>
    </w:p>
    <w:p w:rsidR="002F09ED" w:rsidRDefault="002F09ED" w:rsidP="002F09ED">
      <w:r>
        <w:t xml:space="preserve">The majority say that after the bit is severed, the law is constitutional since the Attorney General is simply executing the law. Congress can't place executive functions in the legislative branch. Either way, one house can't make the law and one house can't execute the law. </w:t>
      </w:r>
    </w:p>
    <w:p w:rsidR="002F09ED" w:rsidRPr="002F09ED" w:rsidRDefault="002F09ED" w:rsidP="002F09ED">
      <w:r>
        <w:t xml:space="preserve">What if, instead, it goes from the Attorney General to the Secretary of State? This would be constitutional because they are both simply executing the law. It is delegating to the executive branch instead of delegating legislative authority.  It allows the President discretion, but the President is still simply executing the law. </w:t>
      </w:r>
    </w:p>
    <w:p w:rsidR="00DB4D31" w:rsidRDefault="00DB4D31">
      <w:pPr>
        <w:rPr>
          <w:smallCaps/>
          <w:spacing w:val="5"/>
          <w:sz w:val="32"/>
          <w:szCs w:val="32"/>
        </w:rPr>
      </w:pPr>
      <w:r>
        <w:br w:type="page"/>
      </w:r>
    </w:p>
    <w:p w:rsidR="00C244CF" w:rsidRDefault="00C244CF" w:rsidP="00EC2AE1">
      <w:pPr>
        <w:pStyle w:val="Heading1"/>
      </w:pPr>
      <w:r>
        <w:lastRenderedPageBreak/>
        <w:t>Morrison v. Olson</w:t>
      </w:r>
      <w:r w:rsidR="00981A50">
        <w:t xml:space="preserve"> (1988) (Rehn</w:t>
      </w:r>
      <w:r w:rsidR="00274C6B">
        <w:t>q</w:t>
      </w:r>
      <w:r w:rsidR="00981A50">
        <w:t>uist)</w:t>
      </w:r>
    </w:p>
    <w:p w:rsidR="003A2F3F" w:rsidRDefault="003A2F3F" w:rsidP="003A2F3F">
      <w:pPr>
        <w:pStyle w:val="Heading2"/>
      </w:pPr>
      <w:r>
        <w:t>Background</w:t>
      </w:r>
    </w:p>
    <w:p w:rsidR="000D240C" w:rsidRDefault="000D240C" w:rsidP="00287D67">
      <w:r>
        <w:t xml:space="preserve">Two Subcommittees of the House of Representatives issued subpoenas directing the Environmental Protection Agency (EPA) to produce documents relating to actions under the "Superfund Law," an environmental law requiring waste that was a threat to the environment to be cleaned up. </w:t>
      </w:r>
      <w:r w:rsidR="000212A5">
        <w:t xml:space="preserve">The President ordered the Administrator of EPA to invoke executive privilege to withhold the documents because they contained 'enforcement sensitive information.' </w:t>
      </w:r>
      <w:r w:rsidR="00037B33">
        <w:t xml:space="preserve">The House voted to hold the Administrator in contempt when he didn't turn the documents over. </w:t>
      </w:r>
      <w:r w:rsidR="00907D0E">
        <w:t xml:space="preserve">Eventually the Administrator gave limited access to the House Subcommittees. </w:t>
      </w:r>
    </w:p>
    <w:p w:rsidR="00C40915" w:rsidRDefault="00907D0E" w:rsidP="00287D67">
      <w:r>
        <w:t xml:space="preserve">The following year, the House Judiciary Committee investigated the Justice Department's role; during this investigation, Assistant Attorney General Theodore </w:t>
      </w:r>
      <w:r w:rsidR="009D3B51">
        <w:t>Olson testified before a House Subc</w:t>
      </w:r>
      <w:r>
        <w:t xml:space="preserve">ommittee. </w:t>
      </w:r>
      <w:r w:rsidR="009D3B51">
        <w:t xml:space="preserve">The Judiciary Committee suggested that Olson gave false testimony to the Subcommittee and requested the Attorney General appoint an independent counsel to investigate. </w:t>
      </w:r>
      <w:r w:rsidR="00C40915">
        <w:t xml:space="preserve">The Special Division of the US Court of Appeals for the DC Circuit appointed Morrison as independent counsel. </w:t>
      </w:r>
    </w:p>
    <w:p w:rsidR="00907D0E" w:rsidRDefault="00C40915" w:rsidP="00287D67">
      <w:r>
        <w:t>Morrison subpoena</w:t>
      </w:r>
      <w:r w:rsidR="00A82659">
        <w:t>ed various documents from Olson; Olson</w:t>
      </w:r>
      <w:r>
        <w:t xml:space="preserve"> moved to quash the subpoenas on the ground that the independent counsel provisions of the Ethics in Government Act were unconstitutional. </w:t>
      </w:r>
    </w:p>
    <w:p w:rsidR="00A82659" w:rsidRDefault="00A82659" w:rsidP="00A82659">
      <w:pPr>
        <w:pStyle w:val="Heading2"/>
      </w:pPr>
      <w:r>
        <w:t>Arguments</w:t>
      </w:r>
    </w:p>
    <w:p w:rsidR="00A82659" w:rsidRDefault="00A82659" w:rsidP="00A82659">
      <w:r>
        <w:t>Olson argues that the Independent Counsel took executive powers from the Executive Branch and that this could lead to partisanship abuse.</w:t>
      </w:r>
    </w:p>
    <w:p w:rsidR="00A82659" w:rsidRDefault="00A82659" w:rsidP="00A82659">
      <w:r>
        <w:t>Morrison argues that her position was necessary in order to prevent abuses by the Executive branch.</w:t>
      </w:r>
    </w:p>
    <w:p w:rsidR="00590955" w:rsidRDefault="00590955" w:rsidP="00590955">
      <w:pPr>
        <w:pStyle w:val="Heading2"/>
      </w:pPr>
      <w:r>
        <w:t>Issues and Holding</w:t>
      </w:r>
    </w:p>
    <w:p w:rsidR="00590955" w:rsidRDefault="00590955" w:rsidP="00590955">
      <w:r w:rsidRPr="00590955">
        <w:rPr>
          <w:b/>
        </w:rPr>
        <w:t>ISSUE</w:t>
      </w:r>
      <w:r>
        <w:t xml:space="preserve">: Did </w:t>
      </w:r>
      <w:r w:rsidRPr="00590955">
        <w:t>Congress violate the Constitution by placing authority to appoint independent counsel in the judiciary and limits on how the executive officer could be removed?</w:t>
      </w:r>
      <w:r w:rsidR="00F113F4">
        <w:t xml:space="preserve"> </w:t>
      </w:r>
    </w:p>
    <w:p w:rsidR="00F113F4" w:rsidRDefault="00F113F4" w:rsidP="00F113F4">
      <w:pPr>
        <w:pStyle w:val="ListParagraph"/>
        <w:numPr>
          <w:ilvl w:val="0"/>
          <w:numId w:val="13"/>
        </w:numPr>
      </w:pPr>
      <w:r>
        <w:t>Does the 'good cause' requirement for presidential removal deprive the President of control over the independent counsel so much as to interfere with his constitutional obligation to ensure the faithful execution of the laws?</w:t>
      </w:r>
    </w:p>
    <w:p w:rsidR="00F113F4" w:rsidRDefault="00F113F4" w:rsidP="00F113F4">
      <w:pPr>
        <w:pStyle w:val="ListParagraph"/>
        <w:numPr>
          <w:ilvl w:val="0"/>
          <w:numId w:val="13"/>
        </w:numPr>
      </w:pPr>
      <w:r>
        <w:t>Does the Act, as a whole, violate the principle of separation of powers?</w:t>
      </w:r>
    </w:p>
    <w:p w:rsidR="00590955" w:rsidRDefault="00590955" w:rsidP="00590955">
      <w:r w:rsidRPr="00590955">
        <w:rPr>
          <w:b/>
        </w:rPr>
        <w:t>HOLDING</w:t>
      </w:r>
      <w:r>
        <w:t xml:space="preserve">: </w:t>
      </w:r>
      <w:r w:rsidR="00162018">
        <w:t xml:space="preserve">No, the act does not violate the Appointments Clause, separation of powers, nor does it interfere with the President's </w:t>
      </w:r>
      <w:r w:rsidR="00966268">
        <w:t xml:space="preserve">constitutional authority. </w:t>
      </w:r>
    </w:p>
    <w:p w:rsidR="00F113F4" w:rsidRDefault="00F113F4" w:rsidP="00F113F4">
      <w:pPr>
        <w:pStyle w:val="ListParagraph"/>
        <w:numPr>
          <w:ilvl w:val="0"/>
          <w:numId w:val="15"/>
        </w:numPr>
      </w:pPr>
      <w:r>
        <w:t xml:space="preserve">The Court held that the 'good cause' requirement does not sufficiently interfere with Presidential obligations because the power has not been completely stripped from the President. </w:t>
      </w:r>
    </w:p>
    <w:p w:rsidR="00F113F4" w:rsidRPr="00590955" w:rsidRDefault="00F113F4" w:rsidP="00F113F4">
      <w:pPr>
        <w:pStyle w:val="ListParagraph"/>
        <w:numPr>
          <w:ilvl w:val="0"/>
          <w:numId w:val="15"/>
        </w:numPr>
      </w:pPr>
      <w:r>
        <w:t>The Court held that the independent counsel provision in the Act did not violate the separat</w:t>
      </w:r>
      <w:r w:rsidR="006D3A14">
        <w:t>ion of powers principle because it did not increase</w:t>
      </w:r>
      <w:r>
        <w:t xml:space="preserve"> the power of one branch at the expense of another.</w:t>
      </w:r>
      <w:r w:rsidR="006D3A14">
        <w:t xml:space="preserve"> </w:t>
      </w:r>
    </w:p>
    <w:p w:rsidR="00287D67" w:rsidRDefault="004A5764" w:rsidP="00287D67">
      <w:r>
        <w:t>T</w:t>
      </w:r>
      <w:r w:rsidR="00287D67" w:rsidRPr="00287D67">
        <w:t>he Court held that the analysis concerning what functions the officials serve is irrelevant</w:t>
      </w:r>
      <w:r w:rsidR="00092805">
        <w:t>; t</w:t>
      </w:r>
      <w:r w:rsidR="00287D67" w:rsidRPr="00287D67">
        <w:t>he real question is whether the removal restrictions are such a nature that they impede the President’s ability to perform his constitutional duty.</w:t>
      </w:r>
      <w:r w:rsidR="00F462CF">
        <w:t xml:space="preserve"> </w:t>
      </w:r>
    </w:p>
    <w:p w:rsidR="00F113F4" w:rsidRDefault="00F113F4" w:rsidP="00F113F4">
      <w:pPr>
        <w:pStyle w:val="Heading2"/>
      </w:pPr>
      <w:r>
        <w:t>Dissent (Scalia)</w:t>
      </w:r>
    </w:p>
    <w:p w:rsidR="00D775F1" w:rsidRDefault="00F113F4" w:rsidP="00092805">
      <w:r>
        <w:t>The law should be struck down</w:t>
      </w:r>
      <w:r w:rsidR="00D775F1">
        <w:t xml:space="preserve"> because</w:t>
      </w:r>
      <w:r w:rsidR="00092805">
        <w:t xml:space="preserve"> (1) c</w:t>
      </w:r>
      <w:r w:rsidR="00D775F1">
        <w:t>riminal prosecution is an exercise of 'purely executive power</w:t>
      </w:r>
      <w:r w:rsidR="00C33D6B">
        <w:t>,</w:t>
      </w:r>
      <w:r w:rsidR="00D775F1">
        <w:t>' and</w:t>
      </w:r>
      <w:r w:rsidR="00092805">
        <w:t xml:space="preserve"> (2) t</w:t>
      </w:r>
      <w:r w:rsidR="00D775F1">
        <w:t xml:space="preserve">he law deprived the President of 'exclusive control' of that power. </w:t>
      </w:r>
    </w:p>
    <w:p w:rsidR="00C33D6B" w:rsidRDefault="00C33D6B" w:rsidP="00C33D6B">
      <w:pPr>
        <w:pStyle w:val="Heading2"/>
      </w:pPr>
      <w:r>
        <w:lastRenderedPageBreak/>
        <w:t>Takeaway</w:t>
      </w:r>
    </w:p>
    <w:p w:rsidR="00CC21DB" w:rsidRDefault="00CC21DB" w:rsidP="00C33D6B">
      <w:r>
        <w:t xml:space="preserve">An officer is someone who exercises significant authority on behalf of the US; this does not include investigating and reporting. </w:t>
      </w:r>
      <w:r w:rsidR="00B91791" w:rsidRPr="00CC21DB">
        <w:rPr>
          <w:b/>
        </w:rPr>
        <w:t>Principal Officers</w:t>
      </w:r>
      <w:r w:rsidR="00B91791">
        <w:t xml:space="preserve"> are appointed by the President with the consent of the Senate.</w:t>
      </w:r>
      <w:r>
        <w:t xml:space="preserve"> </w:t>
      </w:r>
      <w:r w:rsidR="00B91791" w:rsidRPr="00CC21DB">
        <w:rPr>
          <w:b/>
        </w:rPr>
        <w:t>Inferior Officers</w:t>
      </w:r>
      <w:r w:rsidR="00B91791">
        <w:t xml:space="preserve"> are appointed by the President </w:t>
      </w:r>
      <w:r>
        <w:t>with the consent of the Senate, OR if congress provides:</w:t>
      </w:r>
    </w:p>
    <w:p w:rsidR="00CC21DB" w:rsidRDefault="00CC21DB" w:rsidP="00CC21DB">
      <w:pPr>
        <w:pStyle w:val="ListParagraph"/>
        <w:numPr>
          <w:ilvl w:val="0"/>
          <w:numId w:val="18"/>
        </w:numPr>
      </w:pPr>
      <w:r>
        <w:t>the President alone</w:t>
      </w:r>
    </w:p>
    <w:p w:rsidR="00CC21DB" w:rsidRDefault="00CC21DB" w:rsidP="00CC21DB">
      <w:pPr>
        <w:pStyle w:val="ListParagraph"/>
        <w:numPr>
          <w:ilvl w:val="0"/>
          <w:numId w:val="18"/>
        </w:numPr>
      </w:pPr>
      <w:r>
        <w:t>Courts at Law</w:t>
      </w:r>
    </w:p>
    <w:p w:rsidR="00B91791" w:rsidRDefault="00CC21DB" w:rsidP="00CC21DB">
      <w:pPr>
        <w:pStyle w:val="ListParagraph"/>
        <w:numPr>
          <w:ilvl w:val="0"/>
          <w:numId w:val="18"/>
        </w:numPr>
      </w:pPr>
      <w:r>
        <w:t>Heads of Departments</w:t>
      </w:r>
    </w:p>
    <w:p w:rsidR="00B91791" w:rsidRDefault="00B91791" w:rsidP="00C33D6B">
      <w:r>
        <w:t>An officer is considered inferior if:</w:t>
      </w:r>
    </w:p>
    <w:p w:rsidR="00B91791" w:rsidRDefault="00B91791" w:rsidP="00B91791">
      <w:pPr>
        <w:pStyle w:val="ListParagraph"/>
        <w:numPr>
          <w:ilvl w:val="0"/>
          <w:numId w:val="17"/>
        </w:numPr>
      </w:pPr>
      <w:r>
        <w:t xml:space="preserve">Subject </w:t>
      </w:r>
      <w:r w:rsidR="00CC21DB">
        <w:t>to removal</w:t>
      </w:r>
    </w:p>
    <w:p w:rsidR="00B91791" w:rsidRDefault="00B91791" w:rsidP="00B91791">
      <w:pPr>
        <w:pStyle w:val="ListParagraph"/>
        <w:numPr>
          <w:ilvl w:val="0"/>
          <w:numId w:val="17"/>
        </w:numPr>
      </w:pPr>
      <w:r>
        <w:t>Authorized to perform certain limited duties</w:t>
      </w:r>
    </w:p>
    <w:p w:rsidR="00B91791" w:rsidRDefault="00B91791" w:rsidP="00B91791">
      <w:pPr>
        <w:pStyle w:val="ListParagraph"/>
        <w:numPr>
          <w:ilvl w:val="0"/>
          <w:numId w:val="17"/>
        </w:numPr>
      </w:pPr>
      <w:r>
        <w:t>Jurisdiction is limited</w:t>
      </w:r>
    </w:p>
    <w:p w:rsidR="00B91791" w:rsidRPr="00F113F4" w:rsidRDefault="00B91791" w:rsidP="00B91791">
      <w:pPr>
        <w:pStyle w:val="ListParagraph"/>
        <w:numPr>
          <w:ilvl w:val="0"/>
          <w:numId w:val="17"/>
        </w:numPr>
      </w:pPr>
      <w:r>
        <w:t>Tenure is limited</w:t>
      </w:r>
    </w:p>
    <w:p w:rsidR="00DB4D31" w:rsidRDefault="00DB4D31">
      <w:pPr>
        <w:rPr>
          <w:smallCaps/>
          <w:spacing w:val="5"/>
          <w:sz w:val="32"/>
          <w:szCs w:val="32"/>
        </w:rPr>
      </w:pPr>
      <w:r>
        <w:br w:type="page"/>
      </w:r>
    </w:p>
    <w:p w:rsidR="00C244CF" w:rsidRDefault="00C244CF" w:rsidP="00EC2AE1">
      <w:pPr>
        <w:pStyle w:val="Heading1"/>
      </w:pPr>
      <w:r>
        <w:lastRenderedPageBreak/>
        <w:t>United States v. Nixon</w:t>
      </w:r>
    </w:p>
    <w:p w:rsidR="00113489" w:rsidRDefault="00113489" w:rsidP="00113489">
      <w:pPr>
        <w:pStyle w:val="Heading2"/>
      </w:pPr>
      <w:r>
        <w:t>Background</w:t>
      </w:r>
    </w:p>
    <w:p w:rsidR="00113489" w:rsidRDefault="00113489" w:rsidP="00113489">
      <w:r>
        <w:t xml:space="preserve">Special Prosecutor Cox subpoenaed Nixon for copies of audio tapes of conversations in the Oval Office to further evidence against indicted individuals in the Watergate scandal. Nixon declined and had Attorney General fire Cox - instead Attorney General Richardson and Deputy Attorney General Ruckelshaus both resigned; Solicitor General Bork fired Cox and hired Jaworski as the new Special Prosecutor. Jaworski maintained the subpoena and Nixon motioned to quash the subpoena on the grounds that the information sought was constitutionally privileged and that the President was bound to maintain confidential. Nixon is an unindicted co-conspirator. </w:t>
      </w:r>
    </w:p>
    <w:p w:rsidR="00113489" w:rsidRDefault="00113489" w:rsidP="00113489">
      <w:r>
        <w:t xml:space="preserve">Secretary of Defense said to take no orders from the White House. </w:t>
      </w:r>
    </w:p>
    <w:p w:rsidR="00113489" w:rsidRDefault="00113489" w:rsidP="00113489">
      <w:pPr>
        <w:pStyle w:val="Heading2"/>
      </w:pPr>
      <w:r>
        <w:t>Nixon's Arguments</w:t>
      </w:r>
    </w:p>
    <w:p w:rsidR="00113489" w:rsidRDefault="00113489" w:rsidP="00113489">
      <w:r>
        <w:t xml:space="preserve">The President states that the Constitution provides an absolute privilege of confidentiality for all Presidential communications. President presents two arguments for this statement: first, the president needs protection of communications between Government officials and those who advise and assist them. Second, the doctrine of separation of powers is used stating that the independence of the Executive Branch within its own sphere insulates a president from judicial subpoena in an ongoing criminal prosecution, and thereby protects confidential Presidential communications. </w:t>
      </w:r>
    </w:p>
    <w:p w:rsidR="00113489" w:rsidRDefault="00113489" w:rsidP="00113489">
      <w:r>
        <w:t xml:space="preserve">The executive rights come in two types: secret (military strategies, international strategies) and then confidential (in order to get a free candid exchange, the person needs a sense of security that the conversation goes no further). The court has previously given a broad protection for secret information. </w:t>
      </w:r>
    </w:p>
    <w:p w:rsidR="00113489" w:rsidRDefault="00113489" w:rsidP="00113489">
      <w:pPr>
        <w:pStyle w:val="Heading2"/>
      </w:pPr>
      <w:r>
        <w:t>Holding and Reasoning</w:t>
      </w:r>
    </w:p>
    <w:p w:rsidR="00113489" w:rsidRDefault="00113489" w:rsidP="00113489">
      <w:r>
        <w:t xml:space="preserve">Court holds that neither reason, "can sustain an absolute, unqualified Presidential privilege of immunity from judicial process under all circumstances." When the claim of privilege is based solely on public interest, it cannot outweigh, "the primary constitutional duty of the Judicial Branch to do justice in criminal prosecutions." The President does not utilize privilege claiming military or diplomatic secrets, which would afford 'utmost deference to Presidential responsibilities.' "The allowance of the privilege to withhold evidence that is demonstrably relevant in a criminal trial would cut deeply into the guarantee of due process of law and gravely impair the basic function of the courts." Court concludes that when asserting privilege for public interest, it cannot win over demands of due process in criminal justice. (Funk thinks it's bullshit that they used Due Process to get additional evidence for the prosecutor. Due Process should be used by the defense to get information necessary to defend themselves.) Court ordered the subpoenaed materials be transmitted to the court. </w:t>
      </w:r>
    </w:p>
    <w:p w:rsidR="00113489" w:rsidRPr="00113489" w:rsidRDefault="00113489" w:rsidP="00113489">
      <w:r>
        <w:t xml:space="preserve">There is a privilege but it isn't worth much - not even as much as doctor-patient (etc). There are often demands for information from the executive branch from Congress. What about the Secretary of Energy? What about the assistant to the Secretary of Energy? This is a common law privilege. They need to get the President to give the immunity. Congress can only impeach someone. </w:t>
      </w:r>
    </w:p>
    <w:p w:rsidR="00DB4D31" w:rsidRDefault="00DB4D31">
      <w:pPr>
        <w:rPr>
          <w:smallCaps/>
          <w:spacing w:val="5"/>
          <w:sz w:val="32"/>
          <w:szCs w:val="32"/>
        </w:rPr>
      </w:pPr>
      <w:r>
        <w:br w:type="page"/>
      </w:r>
    </w:p>
    <w:p w:rsidR="00C244CF" w:rsidRDefault="00C244CF" w:rsidP="00EC2AE1">
      <w:pPr>
        <w:pStyle w:val="Heading1"/>
      </w:pPr>
      <w:r>
        <w:lastRenderedPageBreak/>
        <w:t>United States v. Curtiss-Wright</w:t>
      </w:r>
    </w:p>
    <w:p w:rsidR="00921FC5" w:rsidRDefault="00921FC5" w:rsidP="00921FC5">
      <w:pPr>
        <w:pStyle w:val="Heading2"/>
      </w:pPr>
      <w:r>
        <w:t>Background</w:t>
      </w:r>
    </w:p>
    <w:p w:rsidR="00921FC5" w:rsidRDefault="0060002A" w:rsidP="0060002A">
      <w:r>
        <w:t xml:space="preserve">Congress placed a restriction on the shipment of weapons to Paraguay and Bolivia who were fighting in the Chaco War. </w:t>
      </w:r>
      <w:r w:rsidR="00BC6B42">
        <w:t xml:space="preserve">They did this by authorizing the President to forbid the sale of weapons to persons in that dispute and provided criminal penalties. </w:t>
      </w:r>
      <w:r w:rsidR="004C0362">
        <w:t xml:space="preserve">The President enacted such an embargo and Curtiss-Wright imported fifteen machine guns to Bolivia. They had reason to think the court would strike down the embargo since they had been previously been shutting down 'legislation created by the President'. </w:t>
      </w:r>
    </w:p>
    <w:p w:rsidR="0060002A" w:rsidRDefault="00921FC5" w:rsidP="0060002A">
      <w:r>
        <w:t>At trial Curtiss-Wright argues that Congress had unconstitutionally given their legislative authority to the executive branch.</w:t>
      </w:r>
      <w:r w:rsidR="00986A31">
        <w:t xml:space="preserve"> Here, the President was essentially making law. </w:t>
      </w:r>
    </w:p>
    <w:p w:rsidR="007771A2" w:rsidRDefault="007771A2" w:rsidP="007771A2">
      <w:pPr>
        <w:pStyle w:val="Heading2"/>
      </w:pPr>
      <w:r>
        <w:t>Issue and Holding</w:t>
      </w:r>
    </w:p>
    <w:p w:rsidR="007771A2" w:rsidRDefault="00903B28" w:rsidP="00A5125E">
      <w:r w:rsidRPr="00A5125E">
        <w:rPr>
          <w:b/>
        </w:rPr>
        <w:t>ISSUE</w:t>
      </w:r>
      <w:r>
        <w:t xml:space="preserve">: </w:t>
      </w:r>
      <w:r w:rsidR="00986A31">
        <w:t xml:space="preserve">Can Congress delegate legislative authority to the executive branch in foreign policy issues? </w:t>
      </w:r>
    </w:p>
    <w:p w:rsidR="00986A31" w:rsidRDefault="00986A31" w:rsidP="00A5125E">
      <w:r w:rsidRPr="00A5125E">
        <w:rPr>
          <w:b/>
        </w:rPr>
        <w:t>HOLDING</w:t>
      </w:r>
      <w:r>
        <w:t xml:space="preserve">: Yes - the president has more discretion when congress grants him authority in a foreign matter because the President has more knowledge regarding the situation which puts him in a better position to make a decision. </w:t>
      </w:r>
    </w:p>
    <w:p w:rsidR="00986A31" w:rsidRDefault="00986A31" w:rsidP="00A5125E">
      <w:r>
        <w:t>The President is the sole organ of the nation in foreign affairs (sole actor through whom the nation's foreign affairs are conducted).</w:t>
      </w:r>
    </w:p>
    <w:p w:rsidR="00986A31" w:rsidRDefault="00986A31" w:rsidP="00A5125E">
      <w:r>
        <w:t>The President's domestic powers are much more limited</w:t>
      </w:r>
      <w:r w:rsidR="0042563C">
        <w:t xml:space="preserve"> and the President's authority relating to foreign affairs are 'not dependent solely upon the affirmative grants of the Constitution.'</w:t>
      </w:r>
    </w:p>
    <w:p w:rsidR="0003460D" w:rsidRDefault="0003460D" w:rsidP="0003460D">
      <w:pPr>
        <w:pStyle w:val="Heading2"/>
      </w:pPr>
      <w:r>
        <w:t>Takeaway</w:t>
      </w:r>
    </w:p>
    <w:p w:rsidR="0003460D" w:rsidRDefault="0003460D" w:rsidP="0003460D">
      <w:r>
        <w:t>The president is the sole organ of the nation  in foreign affairs.</w:t>
      </w:r>
    </w:p>
    <w:p w:rsidR="0003460D" w:rsidRDefault="0003460D" w:rsidP="0003460D">
      <w:r>
        <w:t>The President is the primary actor in foreign relations.</w:t>
      </w:r>
    </w:p>
    <w:p w:rsidR="0003460D" w:rsidRPr="0003460D" w:rsidRDefault="0003460D" w:rsidP="0003460D">
      <w:r>
        <w:t xml:space="preserve">Courts should defer to the President with respect to foreign relations. </w:t>
      </w:r>
    </w:p>
    <w:p w:rsidR="00DB4D31" w:rsidRDefault="00DB4D31">
      <w:pPr>
        <w:rPr>
          <w:smallCaps/>
          <w:spacing w:val="5"/>
          <w:sz w:val="32"/>
          <w:szCs w:val="32"/>
        </w:rPr>
      </w:pPr>
      <w:r>
        <w:br w:type="page"/>
      </w:r>
    </w:p>
    <w:p w:rsidR="00C244CF" w:rsidRDefault="00C244CF" w:rsidP="00EC2AE1">
      <w:pPr>
        <w:pStyle w:val="Heading1"/>
      </w:pPr>
      <w:r>
        <w:lastRenderedPageBreak/>
        <w:t>The Civil Rights Cases</w:t>
      </w:r>
      <w:r w:rsidR="00C4707B">
        <w:t xml:space="preserve"> (1883) (Bradley)</w:t>
      </w:r>
    </w:p>
    <w:p w:rsidR="001A458D" w:rsidRDefault="001A458D" w:rsidP="001A458D">
      <w:pPr>
        <w:pStyle w:val="Heading2"/>
      </w:pPr>
      <w:r>
        <w:t>Background</w:t>
      </w:r>
    </w:p>
    <w:p w:rsidR="00502FDC" w:rsidRDefault="00502FDC" w:rsidP="002F09ED">
      <w:r>
        <w:t xml:space="preserve">Congress enacted the Civil Rights Act in 1875 which provided that citizens of the US shall be entitled to the full and eqal enjoyment of accommodations of inns, public conveyances, theaters, etc. regardless of race, color, or previous condition of servitude. </w:t>
      </w:r>
      <w:r w:rsidR="00E04325">
        <w:t>It also provided for a fine for those who violated this act.</w:t>
      </w:r>
      <w:r w:rsidR="00671E1F">
        <w:t xml:space="preserve"> </w:t>
      </w:r>
      <w:r w:rsidR="009C7C81">
        <w:t>The instant case is a combination of five separate cases</w:t>
      </w:r>
      <w:r w:rsidR="00C4707B">
        <w:t xml:space="preserve"> of violations of the Act</w:t>
      </w:r>
      <w:r w:rsidR="009C7C81">
        <w:t xml:space="preserve"> combined into one and brought before the Supreme Court. </w:t>
      </w:r>
    </w:p>
    <w:p w:rsidR="00DE25DD" w:rsidRDefault="00DE25DD" w:rsidP="00DE25DD">
      <w:pPr>
        <w:pStyle w:val="Heading2"/>
      </w:pPr>
      <w:r>
        <w:t>Arguments</w:t>
      </w:r>
    </w:p>
    <w:p w:rsidR="0053393C" w:rsidRPr="00DE25DD" w:rsidRDefault="00DE25DD" w:rsidP="00DE25DD">
      <w:r>
        <w:t xml:space="preserve">The Government argues that the Federal government has the power under the Thirteenth and Fourteenth Amendment which abolish slavery and </w:t>
      </w:r>
      <w:r w:rsidR="005B5479">
        <w:t xml:space="preserve">prohibit racial discrimination respectively. </w:t>
      </w:r>
    </w:p>
    <w:p w:rsidR="00DE2F23" w:rsidRDefault="00DE2F23" w:rsidP="00DE2F23">
      <w:pPr>
        <w:pStyle w:val="Heading2"/>
      </w:pPr>
      <w:r>
        <w:t>Issue and Holding</w:t>
      </w:r>
    </w:p>
    <w:p w:rsidR="00DE2F23" w:rsidRDefault="00DE2F23" w:rsidP="00DE2F23">
      <w:r w:rsidRPr="00DE2F23">
        <w:rPr>
          <w:b/>
        </w:rPr>
        <w:t>ISSUE</w:t>
      </w:r>
      <w:r>
        <w:t>: Is the Civil Rights Act constitutional?</w:t>
      </w:r>
    </w:p>
    <w:p w:rsidR="00DE2F23" w:rsidRDefault="00DE2F23" w:rsidP="00DE2F23">
      <w:r w:rsidRPr="00DE2F23">
        <w:rPr>
          <w:b/>
        </w:rPr>
        <w:t>HOLDING</w:t>
      </w:r>
      <w:r>
        <w:t xml:space="preserve">: No, Congress does not have the constitutional authority under the enforcement provisions of the Fourteenth Amendment to outlaw racial discrimination by private individuals and organizations (rather than state governments). </w:t>
      </w:r>
      <w:r w:rsidR="00231C31">
        <w:t xml:space="preserve">The Court held that the Act was unconstitutional. </w:t>
      </w:r>
    </w:p>
    <w:p w:rsidR="004F0602" w:rsidRPr="00DE2F23" w:rsidRDefault="004F0602" w:rsidP="00DE2F23">
      <w:r>
        <w:t xml:space="preserve">The Court </w:t>
      </w:r>
      <w:r w:rsidR="007F3C11">
        <w:t>held</w:t>
      </w:r>
      <w:r>
        <w:t xml:space="preserve"> that the Federal government cannot directly fine a person under the Fourteenth Amendment because they can only govern state actions. </w:t>
      </w:r>
      <w:r w:rsidR="007F3C11">
        <w:t xml:space="preserve">The Court stated that the Fourteenth Amendment prevents state legislation that impairs the privileges and immunities of US citizens. </w:t>
      </w:r>
      <w:r w:rsidR="00A91EEF">
        <w:t xml:space="preserve">The Court also stated that the Thirteenth Amendment does apply to private citizens, but only to the extent that it prohibits people from owning slaves. </w:t>
      </w:r>
    </w:p>
    <w:p w:rsidR="002F09ED" w:rsidRDefault="002F09ED" w:rsidP="002F09ED">
      <w:r>
        <w:t xml:space="preserve">The courts differentiated racial discrimination from a badge of slavery.  The majority treats the </w:t>
      </w:r>
      <w:r w:rsidR="00521CD9">
        <w:t>Thirteenth A</w:t>
      </w:r>
      <w:r>
        <w:t xml:space="preserve">mendment as something there to remove badges of slavery, not racial discrimination.  </w:t>
      </w:r>
    </w:p>
    <w:p w:rsidR="00640626" w:rsidRDefault="00640626" w:rsidP="00640626">
      <w:pPr>
        <w:pStyle w:val="Heading2"/>
      </w:pPr>
      <w:r>
        <w:t>Dissent (Harlan)</w:t>
      </w:r>
    </w:p>
    <w:p w:rsidR="00DB4D31" w:rsidRPr="007A68B3" w:rsidRDefault="00484766">
      <w:pPr>
        <w:rPr>
          <w:sz w:val="20"/>
          <w:szCs w:val="20"/>
        </w:rPr>
      </w:pPr>
      <w:r>
        <w:t xml:space="preserve">Harlan says that the majority had interpreted the Amendments too narrowly. Congress was attempting to protect the rights denied to blacks since the States were refusing to do so. </w:t>
      </w:r>
      <w:r w:rsidR="00DB4D31">
        <w:br w:type="page"/>
      </w:r>
    </w:p>
    <w:p w:rsidR="00C244CF" w:rsidRDefault="00C244CF" w:rsidP="00EC2AE1">
      <w:pPr>
        <w:pStyle w:val="Heading1"/>
      </w:pPr>
      <w:r>
        <w:lastRenderedPageBreak/>
        <w:t>Lujan v. Defenders of Wildlife</w:t>
      </w:r>
      <w:r w:rsidR="00F53A3C">
        <w:t xml:space="preserve"> (1992) (Scalia)</w:t>
      </w:r>
    </w:p>
    <w:p w:rsidR="008C55C3" w:rsidRDefault="008C55C3" w:rsidP="008C55C3">
      <w:pPr>
        <w:pStyle w:val="Heading2"/>
      </w:pPr>
      <w:r>
        <w:t>Background</w:t>
      </w:r>
    </w:p>
    <w:p w:rsidR="00BE5435" w:rsidRDefault="00F55CD4" w:rsidP="00EC2AE1">
      <w:r>
        <w:t xml:space="preserve">The Secretary of Interior, Lujan, promulgated the Endangered Species Act of 1973 to protect species of animals against threats caused by man. In 1978, the Secretary of Interior extended the protection to actions taken in foreign nations. </w:t>
      </w:r>
      <w:r w:rsidR="00043B11">
        <w:t>Only a year after, Lujan back peddles and in 1986, the regulation once again only protects against actions within the United States.</w:t>
      </w:r>
    </w:p>
    <w:p w:rsidR="00043B11" w:rsidRDefault="00043B11" w:rsidP="00EC2AE1">
      <w:r>
        <w:t>Defenders of Wildlife files suit against Lujan seeking a declaratory judgment that the newest iteration of the regulation is in error as to the geographic scope and an injunction requiring Lujan to promulgate a new regulation restoring th</w:t>
      </w:r>
      <w:r w:rsidR="008C55C3">
        <w:t>e</w:t>
      </w:r>
      <w:r>
        <w:t xml:space="preserve"> </w:t>
      </w:r>
      <w:r w:rsidR="008C55C3">
        <w:t>international</w:t>
      </w:r>
      <w:r>
        <w:t xml:space="preserve"> interpretation. </w:t>
      </w:r>
    </w:p>
    <w:p w:rsidR="00EC6883" w:rsidRDefault="00EC6883" w:rsidP="00EC2AE1">
      <w:r>
        <w:t xml:space="preserve">The injury Defenders of Wildlife members were to sustain was the loss of species in areas outside of the US where dams were being built. The United States was funding the development of these dams and the members were 'planning on returning to these sites to see the endangered species.' </w:t>
      </w:r>
    </w:p>
    <w:p w:rsidR="008C55C3" w:rsidRDefault="008C55C3" w:rsidP="00EC2AE1">
      <w:r>
        <w:t xml:space="preserve">The District Court granted a motion to dismiss for lack of standing, but the Court of Appeals reversed; shortly after, the Supreme Court granted certiorari. </w:t>
      </w:r>
    </w:p>
    <w:p w:rsidR="008C55C3" w:rsidRDefault="008C55C3" w:rsidP="00BC38F4">
      <w:pPr>
        <w:pStyle w:val="Heading2"/>
      </w:pPr>
      <w:r>
        <w:t>Arguments</w:t>
      </w:r>
    </w:p>
    <w:p w:rsidR="00EC2AE1" w:rsidRDefault="00BC38F4" w:rsidP="00EC2AE1">
      <w:r>
        <w:t>Defenders of Wildlife members</w:t>
      </w:r>
      <w:r w:rsidR="00EC2AE1">
        <w:t xml:space="preserve"> want to be able to see the animals in the wild in the areas that were going to be affected outside of the US.  This, they claim is the injury caused by the agency giving money to the foreign governments to build the dams and they want the government to change the law to redress this.  </w:t>
      </w:r>
    </w:p>
    <w:p w:rsidR="00BC38F4" w:rsidRDefault="00BC38F4" w:rsidP="00BC38F4">
      <w:pPr>
        <w:pStyle w:val="Heading2"/>
      </w:pPr>
      <w:r>
        <w:t>Issues and Holding</w:t>
      </w:r>
    </w:p>
    <w:p w:rsidR="00BC38F4" w:rsidRDefault="00BC38F4" w:rsidP="00BC38F4">
      <w:r w:rsidRPr="00BC38F4">
        <w:rPr>
          <w:b/>
        </w:rPr>
        <w:t>ISSUE</w:t>
      </w:r>
      <w:r>
        <w:t xml:space="preserve">: Do the members of Defenders of Wildlife have standing to maintain a suit against Lujan to readdress the legislation in question? </w:t>
      </w:r>
    </w:p>
    <w:p w:rsidR="00165763" w:rsidRDefault="00BC38F4" w:rsidP="00EC2AE1">
      <w:r w:rsidRPr="00BC38F4">
        <w:rPr>
          <w:b/>
        </w:rPr>
        <w:t>HOLDING</w:t>
      </w:r>
      <w:r>
        <w:t xml:space="preserve">: </w:t>
      </w:r>
      <w:r w:rsidR="00165763">
        <w:t>No, t</w:t>
      </w:r>
      <w:r w:rsidR="00EC2AE1">
        <w:t xml:space="preserve">he court states that there is no actual imminent injury.  The injury is considered to be too speculative.  Supreme court has stated that an aesthetic injury could be very much considered an injury as long as the proof of injury isn't speculative.  </w:t>
      </w:r>
    </w:p>
    <w:p w:rsidR="00EC2AE1" w:rsidRDefault="00165763" w:rsidP="00EC2AE1">
      <w:r>
        <w:t>E</w:t>
      </w:r>
      <w:r w:rsidR="00EC2AE1">
        <w:t xml:space="preserve">ven if there was injury, the agencies wouldn't follow that regulation.  Even if they followed that regulation, there is no real proof that the projects wouldn't be completed anyway.  They need to show that it would be likely that they would not build the dam if they ruled for the plaintiff.  </w:t>
      </w:r>
    </w:p>
    <w:p w:rsidR="00165763" w:rsidRDefault="00165763" w:rsidP="00165763">
      <w:r>
        <w:t xml:space="preserve">Endangered Species Act has a citizens suit provision that says that any person may sue to defend this act; person is defined to include organizations.  This isn't enough because this is unconstitutional to say that any person can sue; the constitution requires standing to sue.  </w:t>
      </w:r>
    </w:p>
    <w:p w:rsidR="00165763" w:rsidRDefault="00165763" w:rsidP="00165763">
      <w:pPr>
        <w:pStyle w:val="Heading2"/>
      </w:pPr>
      <w:r>
        <w:t>Takeaway</w:t>
      </w:r>
    </w:p>
    <w:p w:rsidR="00A627E2" w:rsidRDefault="00A627E2" w:rsidP="00EC2AE1">
      <w:r w:rsidRPr="00A627E2">
        <w:rPr>
          <w:b/>
        </w:rPr>
        <w:t>Elements of Standing</w:t>
      </w:r>
      <w:r>
        <w:t>:</w:t>
      </w:r>
    </w:p>
    <w:p w:rsidR="00A627E2" w:rsidRDefault="00A627E2" w:rsidP="00A627E2">
      <w:pPr>
        <w:pStyle w:val="ListParagraph"/>
        <w:numPr>
          <w:ilvl w:val="0"/>
          <w:numId w:val="12"/>
        </w:numPr>
      </w:pPr>
      <w:r>
        <w:t>Plaintiff must have suffered an 'injury in fact' - an invasion of a legally protected interest which is:</w:t>
      </w:r>
    </w:p>
    <w:p w:rsidR="00A627E2" w:rsidRDefault="00A627E2" w:rsidP="00A627E2">
      <w:pPr>
        <w:pStyle w:val="ListParagraph"/>
        <w:numPr>
          <w:ilvl w:val="1"/>
          <w:numId w:val="12"/>
        </w:numPr>
      </w:pPr>
      <w:r>
        <w:t>Concrete and particularized (must affect the plaintiff in a personal and individual way), and</w:t>
      </w:r>
    </w:p>
    <w:p w:rsidR="00A627E2" w:rsidRDefault="00A627E2" w:rsidP="00A627E2">
      <w:pPr>
        <w:pStyle w:val="ListParagraph"/>
        <w:numPr>
          <w:ilvl w:val="1"/>
          <w:numId w:val="12"/>
        </w:numPr>
      </w:pPr>
      <w:r>
        <w:t>'actual or imminent, not conjectural or hypothetical</w:t>
      </w:r>
    </w:p>
    <w:p w:rsidR="00A627E2" w:rsidRDefault="00A627E2" w:rsidP="00A627E2">
      <w:pPr>
        <w:pStyle w:val="ListParagraph"/>
        <w:numPr>
          <w:ilvl w:val="0"/>
          <w:numId w:val="12"/>
        </w:numPr>
      </w:pPr>
      <w:r>
        <w:lastRenderedPageBreak/>
        <w:t>There must be a causal connection between the injury and the conduct complained up - the injury must be 'fairly traceable to the challenged action of the defendant, and not the result of the independent action of some third party not before the court.</w:t>
      </w:r>
    </w:p>
    <w:p w:rsidR="00A627E2" w:rsidRDefault="00A627E2" w:rsidP="00A627E2">
      <w:pPr>
        <w:pStyle w:val="ListParagraph"/>
        <w:numPr>
          <w:ilvl w:val="0"/>
          <w:numId w:val="12"/>
        </w:numPr>
      </w:pPr>
      <w:r>
        <w:t>It must be likely, as opposed to merely speculative</w:t>
      </w:r>
      <w:r w:rsidR="0066316E">
        <w:t>,</w:t>
      </w:r>
      <w:r>
        <w:t xml:space="preserve"> that the injury will be 'redressed by a favorable decision.'</w:t>
      </w:r>
      <w:r w:rsidR="00FB72E3">
        <w:t xml:space="preserve"> </w:t>
      </w:r>
    </w:p>
    <w:p w:rsidR="00EC2AE1" w:rsidRDefault="00EC2AE1" w:rsidP="00EC2AE1">
      <w:r>
        <w:t>Associational or representational standing - the plaintiff in this case was the organization; the two members were the actual 'injured' parties; there is a test for this standing</w:t>
      </w:r>
    </w:p>
    <w:p w:rsidR="00EC2AE1" w:rsidRDefault="00EC2AE1" w:rsidP="00EC2AE1">
      <w:pPr>
        <w:pStyle w:val="ListParagraph"/>
        <w:numPr>
          <w:ilvl w:val="0"/>
          <w:numId w:val="1"/>
        </w:numPr>
      </w:pPr>
      <w:r>
        <w:t>Some member must have standing</w:t>
      </w:r>
    </w:p>
    <w:p w:rsidR="00EC2AE1" w:rsidRDefault="00EC2AE1" w:rsidP="00EC2AE1">
      <w:pPr>
        <w:pStyle w:val="ListParagraph"/>
        <w:numPr>
          <w:ilvl w:val="0"/>
          <w:numId w:val="1"/>
        </w:numPr>
      </w:pPr>
      <w:r>
        <w:t>Purpose of organization is relevant to the case</w:t>
      </w:r>
    </w:p>
    <w:p w:rsidR="00EC2AE1" w:rsidRDefault="00EC2AE1" w:rsidP="00EC2AE1">
      <w:pPr>
        <w:pStyle w:val="ListParagraph"/>
        <w:numPr>
          <w:ilvl w:val="0"/>
          <w:numId w:val="1"/>
        </w:numPr>
      </w:pPr>
      <w:r>
        <w:t>It's not necessary for the individual member to be an actual party of the case; the action must be an injunction or a declaratory judgment (statement of the court as to what the law is) instead of damages</w:t>
      </w:r>
    </w:p>
    <w:p w:rsidR="00EC2AE1" w:rsidRDefault="00EC2AE1" w:rsidP="00EC2AE1">
      <w:r>
        <w:t xml:space="preserve">A procedural injury is not a sufficient injury in order to satisfy standing.  A procedural violation may be a cause for an injury, but there is no injury in the procedural violation alone.  </w:t>
      </w:r>
    </w:p>
    <w:p w:rsidR="00EC2AE1" w:rsidRPr="00EC2AE1" w:rsidRDefault="00EC2AE1" w:rsidP="00EC2AE1">
      <w:r>
        <w:t xml:space="preserve">At some level congress can create injuries relating to specific statutes.  </w:t>
      </w:r>
    </w:p>
    <w:sectPr w:rsidR="00EC2AE1" w:rsidRPr="00EC2AE1" w:rsidSect="00E71BBD">
      <w:foot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3A4" w:rsidRDefault="009E63A4" w:rsidP="00092805">
      <w:pPr>
        <w:spacing w:after="0" w:line="240" w:lineRule="auto"/>
      </w:pPr>
      <w:r>
        <w:separator/>
      </w:r>
    </w:p>
  </w:endnote>
  <w:endnote w:type="continuationSeparator" w:id="1">
    <w:p w:rsidR="009E63A4" w:rsidRDefault="009E63A4" w:rsidP="000928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4064784"/>
      <w:docPartObj>
        <w:docPartGallery w:val="Page Numbers (Bottom of Page)"/>
        <w:docPartUnique/>
      </w:docPartObj>
    </w:sdtPr>
    <w:sdtEndPr>
      <w:rPr>
        <w:color w:val="7F7F7F" w:themeColor="background1" w:themeShade="7F"/>
        <w:spacing w:val="60"/>
      </w:rPr>
    </w:sdtEndPr>
    <w:sdtContent>
      <w:p w:rsidR="00092805" w:rsidRDefault="00092805">
        <w:pPr>
          <w:pStyle w:val="Footer"/>
          <w:pBdr>
            <w:top w:val="single" w:sz="4" w:space="1" w:color="D9D9D9" w:themeColor="background1" w:themeShade="D9"/>
          </w:pBdr>
          <w:jc w:val="right"/>
        </w:pPr>
        <w:fldSimple w:instr=" PAGE   \* MERGEFORMAT ">
          <w:r w:rsidR="00E71BBD">
            <w:rPr>
              <w:noProof/>
            </w:rPr>
            <w:t>2</w:t>
          </w:r>
        </w:fldSimple>
        <w:r>
          <w:t xml:space="preserve"> | </w:t>
        </w:r>
        <w:r>
          <w:rPr>
            <w:color w:val="7F7F7F" w:themeColor="background1" w:themeShade="7F"/>
            <w:spacing w:val="60"/>
          </w:rPr>
          <w:t>Page</w:t>
        </w:r>
      </w:p>
    </w:sdtContent>
  </w:sdt>
  <w:p w:rsidR="00092805" w:rsidRDefault="000928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3A4" w:rsidRDefault="009E63A4" w:rsidP="00092805">
      <w:pPr>
        <w:spacing w:after="0" w:line="240" w:lineRule="auto"/>
      </w:pPr>
      <w:r>
        <w:separator/>
      </w:r>
    </w:p>
  </w:footnote>
  <w:footnote w:type="continuationSeparator" w:id="1">
    <w:p w:rsidR="009E63A4" w:rsidRDefault="009E63A4" w:rsidP="000928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80886"/>
    <w:multiLevelType w:val="hybridMultilevel"/>
    <w:tmpl w:val="72D01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D369A"/>
    <w:multiLevelType w:val="hybridMultilevel"/>
    <w:tmpl w:val="CC5A1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0D0ADE"/>
    <w:multiLevelType w:val="hybridMultilevel"/>
    <w:tmpl w:val="1864F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40663"/>
    <w:multiLevelType w:val="hybridMultilevel"/>
    <w:tmpl w:val="8D322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72C06"/>
    <w:multiLevelType w:val="hybridMultilevel"/>
    <w:tmpl w:val="5596A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5E729D"/>
    <w:multiLevelType w:val="hybridMultilevel"/>
    <w:tmpl w:val="7696D8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40151A"/>
    <w:multiLevelType w:val="hybridMultilevel"/>
    <w:tmpl w:val="6324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400306"/>
    <w:multiLevelType w:val="hybridMultilevel"/>
    <w:tmpl w:val="4900E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791977"/>
    <w:multiLevelType w:val="hybridMultilevel"/>
    <w:tmpl w:val="4CFE0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B76CAA"/>
    <w:multiLevelType w:val="hybridMultilevel"/>
    <w:tmpl w:val="01EC04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B936CB"/>
    <w:multiLevelType w:val="hybridMultilevel"/>
    <w:tmpl w:val="8EC242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007AE2"/>
    <w:multiLevelType w:val="hybridMultilevel"/>
    <w:tmpl w:val="18282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674ADE"/>
    <w:multiLevelType w:val="hybridMultilevel"/>
    <w:tmpl w:val="D29AD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272092"/>
    <w:multiLevelType w:val="hybridMultilevel"/>
    <w:tmpl w:val="8AB6E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E93C46"/>
    <w:multiLevelType w:val="hybridMultilevel"/>
    <w:tmpl w:val="0F06C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2E40D4"/>
    <w:multiLevelType w:val="hybridMultilevel"/>
    <w:tmpl w:val="7536F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C6371D"/>
    <w:multiLevelType w:val="hybridMultilevel"/>
    <w:tmpl w:val="30FA2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0F0284"/>
    <w:multiLevelType w:val="hybridMultilevel"/>
    <w:tmpl w:val="72C8D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5"/>
  </w:num>
  <w:num w:numId="3">
    <w:abstractNumId w:val="7"/>
  </w:num>
  <w:num w:numId="4">
    <w:abstractNumId w:val="0"/>
  </w:num>
  <w:num w:numId="5">
    <w:abstractNumId w:val="5"/>
  </w:num>
  <w:num w:numId="6">
    <w:abstractNumId w:val="6"/>
  </w:num>
  <w:num w:numId="7">
    <w:abstractNumId w:val="14"/>
  </w:num>
  <w:num w:numId="8">
    <w:abstractNumId w:val="3"/>
  </w:num>
  <w:num w:numId="9">
    <w:abstractNumId w:val="10"/>
  </w:num>
  <w:num w:numId="10">
    <w:abstractNumId w:val="11"/>
  </w:num>
  <w:num w:numId="11">
    <w:abstractNumId w:val="8"/>
  </w:num>
  <w:num w:numId="12">
    <w:abstractNumId w:val="9"/>
  </w:num>
  <w:num w:numId="13">
    <w:abstractNumId w:val="4"/>
  </w:num>
  <w:num w:numId="14">
    <w:abstractNumId w:val="12"/>
  </w:num>
  <w:num w:numId="15">
    <w:abstractNumId w:val="2"/>
  </w:num>
  <w:num w:numId="16">
    <w:abstractNumId w:val="16"/>
  </w:num>
  <w:num w:numId="17">
    <w:abstractNumId w:val="13"/>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00"/>
  <w:displayHorizontalDrawingGridEvery w:val="2"/>
  <w:characterSpacingControl w:val="doNotCompress"/>
  <w:hdrShapeDefaults>
    <o:shapedefaults v:ext="edit" spidmax="4098"/>
  </w:hdrShapeDefaults>
  <w:footnotePr>
    <w:footnote w:id="0"/>
    <w:footnote w:id="1"/>
  </w:footnotePr>
  <w:endnotePr>
    <w:endnote w:id="0"/>
    <w:endnote w:id="1"/>
  </w:endnotePr>
  <w:compat>
    <w:useFELayout/>
  </w:compat>
  <w:rsids>
    <w:rsidRoot w:val="00C244CF"/>
    <w:rsid w:val="000013CE"/>
    <w:rsid w:val="00012F99"/>
    <w:rsid w:val="0002024F"/>
    <w:rsid w:val="000212A5"/>
    <w:rsid w:val="0003460D"/>
    <w:rsid w:val="00037B33"/>
    <w:rsid w:val="00043B11"/>
    <w:rsid w:val="000477D1"/>
    <w:rsid w:val="00057A81"/>
    <w:rsid w:val="000664F5"/>
    <w:rsid w:val="00081D32"/>
    <w:rsid w:val="00092805"/>
    <w:rsid w:val="000969B3"/>
    <w:rsid w:val="000A66B8"/>
    <w:rsid w:val="000C0FEC"/>
    <w:rsid w:val="000D240C"/>
    <w:rsid w:val="000D5AFD"/>
    <w:rsid w:val="000F0D6A"/>
    <w:rsid w:val="00113489"/>
    <w:rsid w:val="00123DF4"/>
    <w:rsid w:val="00152E6A"/>
    <w:rsid w:val="0015520E"/>
    <w:rsid w:val="00162018"/>
    <w:rsid w:val="00165763"/>
    <w:rsid w:val="00180596"/>
    <w:rsid w:val="00181951"/>
    <w:rsid w:val="001A458D"/>
    <w:rsid w:val="001B50CB"/>
    <w:rsid w:val="001B59D3"/>
    <w:rsid w:val="001C50EE"/>
    <w:rsid w:val="00211D31"/>
    <w:rsid w:val="00227607"/>
    <w:rsid w:val="00231C31"/>
    <w:rsid w:val="00274C6B"/>
    <w:rsid w:val="00287D67"/>
    <w:rsid w:val="002B4B15"/>
    <w:rsid w:val="002B4E80"/>
    <w:rsid w:val="002D48F6"/>
    <w:rsid w:val="002F02D8"/>
    <w:rsid w:val="002F09ED"/>
    <w:rsid w:val="002F3F0A"/>
    <w:rsid w:val="0031381F"/>
    <w:rsid w:val="0031525C"/>
    <w:rsid w:val="00345273"/>
    <w:rsid w:val="00391541"/>
    <w:rsid w:val="003A2F3F"/>
    <w:rsid w:val="003B282D"/>
    <w:rsid w:val="003C1465"/>
    <w:rsid w:val="00424BF9"/>
    <w:rsid w:val="0042563C"/>
    <w:rsid w:val="00431687"/>
    <w:rsid w:val="004530C7"/>
    <w:rsid w:val="00471A73"/>
    <w:rsid w:val="00480979"/>
    <w:rsid w:val="00480E86"/>
    <w:rsid w:val="00484766"/>
    <w:rsid w:val="004A5764"/>
    <w:rsid w:val="004C0362"/>
    <w:rsid w:val="004F0602"/>
    <w:rsid w:val="00502FDC"/>
    <w:rsid w:val="00507729"/>
    <w:rsid w:val="00512631"/>
    <w:rsid w:val="00516CFF"/>
    <w:rsid w:val="00521CD9"/>
    <w:rsid w:val="0053393C"/>
    <w:rsid w:val="0054581A"/>
    <w:rsid w:val="00546440"/>
    <w:rsid w:val="00582043"/>
    <w:rsid w:val="00590955"/>
    <w:rsid w:val="00590D0E"/>
    <w:rsid w:val="005B5479"/>
    <w:rsid w:val="005E74D4"/>
    <w:rsid w:val="005F4505"/>
    <w:rsid w:val="005F4896"/>
    <w:rsid w:val="0060002A"/>
    <w:rsid w:val="00612F5E"/>
    <w:rsid w:val="00640626"/>
    <w:rsid w:val="0066316E"/>
    <w:rsid w:val="00664816"/>
    <w:rsid w:val="00671E1F"/>
    <w:rsid w:val="006D3A14"/>
    <w:rsid w:val="006D3BB9"/>
    <w:rsid w:val="00715F3F"/>
    <w:rsid w:val="007771A2"/>
    <w:rsid w:val="007836EF"/>
    <w:rsid w:val="007A68B3"/>
    <w:rsid w:val="007B48C0"/>
    <w:rsid w:val="007D4E77"/>
    <w:rsid w:val="007F3C11"/>
    <w:rsid w:val="007F7410"/>
    <w:rsid w:val="00804BA8"/>
    <w:rsid w:val="00844A7A"/>
    <w:rsid w:val="00862799"/>
    <w:rsid w:val="00865F8E"/>
    <w:rsid w:val="008B23B1"/>
    <w:rsid w:val="008B7D5D"/>
    <w:rsid w:val="008C55C3"/>
    <w:rsid w:val="008E2561"/>
    <w:rsid w:val="008F5E6E"/>
    <w:rsid w:val="00903B28"/>
    <w:rsid w:val="00904B6C"/>
    <w:rsid w:val="00907D0E"/>
    <w:rsid w:val="00920F8D"/>
    <w:rsid w:val="00921FC5"/>
    <w:rsid w:val="00960E27"/>
    <w:rsid w:val="00966268"/>
    <w:rsid w:val="00967F8E"/>
    <w:rsid w:val="00971C38"/>
    <w:rsid w:val="00981A50"/>
    <w:rsid w:val="00986A31"/>
    <w:rsid w:val="00987DB3"/>
    <w:rsid w:val="00991FD1"/>
    <w:rsid w:val="0099602E"/>
    <w:rsid w:val="009C7C81"/>
    <w:rsid w:val="009D3B51"/>
    <w:rsid w:val="009E63A4"/>
    <w:rsid w:val="00A33871"/>
    <w:rsid w:val="00A5125E"/>
    <w:rsid w:val="00A627E2"/>
    <w:rsid w:val="00A73C39"/>
    <w:rsid w:val="00A82659"/>
    <w:rsid w:val="00A91EEF"/>
    <w:rsid w:val="00AA09C7"/>
    <w:rsid w:val="00AB0A91"/>
    <w:rsid w:val="00AE195D"/>
    <w:rsid w:val="00B12E5F"/>
    <w:rsid w:val="00B330B3"/>
    <w:rsid w:val="00B403E9"/>
    <w:rsid w:val="00B42A94"/>
    <w:rsid w:val="00B443E6"/>
    <w:rsid w:val="00B47572"/>
    <w:rsid w:val="00B53160"/>
    <w:rsid w:val="00B803CF"/>
    <w:rsid w:val="00B83ECA"/>
    <w:rsid w:val="00B91791"/>
    <w:rsid w:val="00BC38F4"/>
    <w:rsid w:val="00BC6B42"/>
    <w:rsid w:val="00BE5435"/>
    <w:rsid w:val="00BE7655"/>
    <w:rsid w:val="00BF3453"/>
    <w:rsid w:val="00C00DC5"/>
    <w:rsid w:val="00C244CF"/>
    <w:rsid w:val="00C33D6B"/>
    <w:rsid w:val="00C40915"/>
    <w:rsid w:val="00C4707B"/>
    <w:rsid w:val="00C92CD1"/>
    <w:rsid w:val="00CB1EE9"/>
    <w:rsid w:val="00CB3E96"/>
    <w:rsid w:val="00CB580B"/>
    <w:rsid w:val="00CB7D9B"/>
    <w:rsid w:val="00CC21DB"/>
    <w:rsid w:val="00CC7D38"/>
    <w:rsid w:val="00CF1DF8"/>
    <w:rsid w:val="00D20B06"/>
    <w:rsid w:val="00D42E9C"/>
    <w:rsid w:val="00D50B0E"/>
    <w:rsid w:val="00D52E19"/>
    <w:rsid w:val="00D67355"/>
    <w:rsid w:val="00D713B8"/>
    <w:rsid w:val="00D775F1"/>
    <w:rsid w:val="00D841DE"/>
    <w:rsid w:val="00D97306"/>
    <w:rsid w:val="00DB4D31"/>
    <w:rsid w:val="00DD1CF7"/>
    <w:rsid w:val="00DD566C"/>
    <w:rsid w:val="00DE25DD"/>
    <w:rsid w:val="00DE2F23"/>
    <w:rsid w:val="00DE6178"/>
    <w:rsid w:val="00DE7299"/>
    <w:rsid w:val="00DF568F"/>
    <w:rsid w:val="00E04325"/>
    <w:rsid w:val="00E71BBD"/>
    <w:rsid w:val="00EA0EF3"/>
    <w:rsid w:val="00EB4B2D"/>
    <w:rsid w:val="00EB6708"/>
    <w:rsid w:val="00EC2AE1"/>
    <w:rsid w:val="00EC6883"/>
    <w:rsid w:val="00ED6470"/>
    <w:rsid w:val="00ED6B79"/>
    <w:rsid w:val="00ED7649"/>
    <w:rsid w:val="00EE7EB0"/>
    <w:rsid w:val="00EF7A2D"/>
    <w:rsid w:val="00F113F4"/>
    <w:rsid w:val="00F1598A"/>
    <w:rsid w:val="00F20FC2"/>
    <w:rsid w:val="00F230F1"/>
    <w:rsid w:val="00F3048A"/>
    <w:rsid w:val="00F31038"/>
    <w:rsid w:val="00F462CF"/>
    <w:rsid w:val="00F46D58"/>
    <w:rsid w:val="00F53A3C"/>
    <w:rsid w:val="00F55CD4"/>
    <w:rsid w:val="00F65316"/>
    <w:rsid w:val="00F674F6"/>
    <w:rsid w:val="00F755B8"/>
    <w:rsid w:val="00FB72E3"/>
    <w:rsid w:val="00FC6941"/>
    <w:rsid w:val="00FD1FC9"/>
    <w:rsid w:val="00FD29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BBD"/>
  </w:style>
  <w:style w:type="paragraph" w:styleId="Heading1">
    <w:name w:val="heading 1"/>
    <w:basedOn w:val="Normal"/>
    <w:next w:val="Normal"/>
    <w:link w:val="Heading1Char"/>
    <w:uiPriority w:val="9"/>
    <w:qFormat/>
    <w:rsid w:val="00E71BBD"/>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unhideWhenUsed/>
    <w:qFormat/>
    <w:rsid w:val="00E71BBD"/>
    <w:pPr>
      <w:keepNext/>
      <w:keepLines/>
      <w:spacing w:before="200" w:after="0"/>
      <w:outlineLvl w:val="1"/>
    </w:pPr>
    <w:rPr>
      <w:rFonts w:asciiTheme="majorHAnsi" w:eastAsiaTheme="majorEastAsia" w:hAnsiTheme="majorHAnsi" w:cstheme="majorBidi"/>
      <w:b/>
      <w:bCs/>
      <w:color w:val="2DA2BF" w:themeColor="accent1"/>
      <w:sz w:val="26"/>
      <w:szCs w:val="26"/>
    </w:rPr>
  </w:style>
  <w:style w:type="paragraph" w:styleId="Heading3">
    <w:name w:val="heading 3"/>
    <w:basedOn w:val="Normal"/>
    <w:next w:val="Normal"/>
    <w:link w:val="Heading3Char"/>
    <w:uiPriority w:val="9"/>
    <w:semiHidden/>
    <w:unhideWhenUsed/>
    <w:qFormat/>
    <w:rsid w:val="00E71BBD"/>
    <w:pPr>
      <w:keepNext/>
      <w:keepLines/>
      <w:spacing w:before="200" w:after="0"/>
      <w:outlineLvl w:val="2"/>
    </w:pPr>
    <w:rPr>
      <w:rFonts w:asciiTheme="majorHAnsi" w:eastAsiaTheme="majorEastAsia" w:hAnsiTheme="majorHAnsi" w:cstheme="majorBidi"/>
      <w:b/>
      <w:bCs/>
      <w:color w:val="2DA2BF" w:themeColor="accent1"/>
    </w:rPr>
  </w:style>
  <w:style w:type="paragraph" w:styleId="Heading4">
    <w:name w:val="heading 4"/>
    <w:basedOn w:val="Normal"/>
    <w:next w:val="Normal"/>
    <w:link w:val="Heading4Char"/>
    <w:uiPriority w:val="9"/>
    <w:semiHidden/>
    <w:unhideWhenUsed/>
    <w:qFormat/>
    <w:rsid w:val="00E71BBD"/>
    <w:pPr>
      <w:keepNext/>
      <w:keepLines/>
      <w:spacing w:before="200" w:after="0"/>
      <w:outlineLvl w:val="3"/>
    </w:pPr>
    <w:rPr>
      <w:rFonts w:asciiTheme="majorHAnsi" w:eastAsiaTheme="majorEastAsia" w:hAnsiTheme="majorHAnsi" w:cstheme="majorBidi"/>
      <w:b/>
      <w:bCs/>
      <w:i/>
      <w:iCs/>
      <w:color w:val="2DA2BF" w:themeColor="accent1"/>
    </w:rPr>
  </w:style>
  <w:style w:type="paragraph" w:styleId="Heading5">
    <w:name w:val="heading 5"/>
    <w:basedOn w:val="Normal"/>
    <w:next w:val="Normal"/>
    <w:link w:val="Heading5Char"/>
    <w:uiPriority w:val="9"/>
    <w:semiHidden/>
    <w:unhideWhenUsed/>
    <w:qFormat/>
    <w:rsid w:val="00E71BBD"/>
    <w:pPr>
      <w:keepNext/>
      <w:keepLines/>
      <w:spacing w:before="200" w:after="0"/>
      <w:outlineLvl w:val="4"/>
    </w:pPr>
    <w:rPr>
      <w:rFonts w:asciiTheme="majorHAnsi" w:eastAsiaTheme="majorEastAsia" w:hAnsiTheme="majorHAnsi" w:cstheme="majorBidi"/>
      <w:color w:val="16505E" w:themeColor="accent1" w:themeShade="7F"/>
    </w:rPr>
  </w:style>
  <w:style w:type="paragraph" w:styleId="Heading6">
    <w:name w:val="heading 6"/>
    <w:basedOn w:val="Normal"/>
    <w:next w:val="Normal"/>
    <w:link w:val="Heading6Char"/>
    <w:uiPriority w:val="9"/>
    <w:semiHidden/>
    <w:unhideWhenUsed/>
    <w:qFormat/>
    <w:rsid w:val="00E71BBD"/>
    <w:pPr>
      <w:keepNext/>
      <w:keepLines/>
      <w:spacing w:before="200" w:after="0"/>
      <w:outlineLvl w:val="5"/>
    </w:pPr>
    <w:rPr>
      <w:rFonts w:asciiTheme="majorHAnsi" w:eastAsiaTheme="majorEastAsia" w:hAnsiTheme="majorHAnsi" w:cstheme="majorBidi"/>
      <w:i/>
      <w:iCs/>
      <w:color w:val="16505E" w:themeColor="accent1" w:themeShade="7F"/>
    </w:rPr>
  </w:style>
  <w:style w:type="paragraph" w:styleId="Heading7">
    <w:name w:val="heading 7"/>
    <w:basedOn w:val="Normal"/>
    <w:next w:val="Normal"/>
    <w:link w:val="Heading7Char"/>
    <w:uiPriority w:val="9"/>
    <w:semiHidden/>
    <w:unhideWhenUsed/>
    <w:qFormat/>
    <w:rsid w:val="00E71BB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71BBD"/>
    <w:pPr>
      <w:keepNext/>
      <w:keepLines/>
      <w:spacing w:before="200" w:after="0"/>
      <w:outlineLvl w:val="7"/>
    </w:pPr>
    <w:rPr>
      <w:rFonts w:asciiTheme="majorHAnsi" w:eastAsiaTheme="majorEastAsia" w:hAnsiTheme="majorHAnsi" w:cstheme="majorBidi"/>
      <w:color w:val="2DA2BF" w:themeColor="accent1"/>
      <w:sz w:val="20"/>
      <w:szCs w:val="20"/>
    </w:rPr>
  </w:style>
  <w:style w:type="paragraph" w:styleId="Heading9">
    <w:name w:val="heading 9"/>
    <w:basedOn w:val="Normal"/>
    <w:next w:val="Normal"/>
    <w:link w:val="Heading9Char"/>
    <w:uiPriority w:val="9"/>
    <w:semiHidden/>
    <w:unhideWhenUsed/>
    <w:qFormat/>
    <w:rsid w:val="00E71BB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BBD"/>
    <w:rPr>
      <w:rFonts w:asciiTheme="majorHAnsi" w:eastAsiaTheme="majorEastAsia" w:hAnsiTheme="majorHAnsi" w:cstheme="majorBidi"/>
      <w:b/>
      <w:bCs/>
      <w:color w:val="21798E" w:themeColor="accent1" w:themeShade="BF"/>
      <w:sz w:val="28"/>
      <w:szCs w:val="28"/>
    </w:rPr>
  </w:style>
  <w:style w:type="paragraph" w:styleId="ListParagraph">
    <w:name w:val="List Paragraph"/>
    <w:basedOn w:val="Normal"/>
    <w:uiPriority w:val="34"/>
    <w:qFormat/>
    <w:rsid w:val="00E71BBD"/>
    <w:pPr>
      <w:ind w:left="720"/>
      <w:contextualSpacing/>
    </w:pPr>
  </w:style>
  <w:style w:type="character" w:styleId="IntenseEmphasis">
    <w:name w:val="Intense Emphasis"/>
    <w:basedOn w:val="DefaultParagraphFont"/>
    <w:uiPriority w:val="21"/>
    <w:qFormat/>
    <w:rsid w:val="00E71BBD"/>
    <w:rPr>
      <w:b/>
      <w:bCs/>
      <w:i/>
      <w:iCs/>
      <w:color w:val="2DA2BF" w:themeColor="accent1"/>
    </w:rPr>
  </w:style>
  <w:style w:type="character" w:customStyle="1" w:styleId="Heading2Char">
    <w:name w:val="Heading 2 Char"/>
    <w:basedOn w:val="DefaultParagraphFont"/>
    <w:link w:val="Heading2"/>
    <w:uiPriority w:val="9"/>
    <w:rsid w:val="00E71BBD"/>
    <w:rPr>
      <w:rFonts w:asciiTheme="majorHAnsi" w:eastAsiaTheme="majorEastAsia" w:hAnsiTheme="majorHAnsi" w:cstheme="majorBidi"/>
      <w:b/>
      <w:bCs/>
      <w:color w:val="2DA2BF" w:themeColor="accent1"/>
      <w:sz w:val="26"/>
      <w:szCs w:val="26"/>
    </w:rPr>
  </w:style>
  <w:style w:type="character" w:customStyle="1" w:styleId="Heading3Char">
    <w:name w:val="Heading 3 Char"/>
    <w:basedOn w:val="DefaultParagraphFont"/>
    <w:link w:val="Heading3"/>
    <w:uiPriority w:val="9"/>
    <w:rsid w:val="00E71BBD"/>
    <w:rPr>
      <w:rFonts w:asciiTheme="majorHAnsi" w:eastAsiaTheme="majorEastAsia" w:hAnsiTheme="majorHAnsi" w:cstheme="majorBidi"/>
      <w:b/>
      <w:bCs/>
      <w:color w:val="2DA2BF" w:themeColor="accent1"/>
    </w:rPr>
  </w:style>
  <w:style w:type="character" w:customStyle="1" w:styleId="Heading4Char">
    <w:name w:val="Heading 4 Char"/>
    <w:basedOn w:val="DefaultParagraphFont"/>
    <w:link w:val="Heading4"/>
    <w:uiPriority w:val="9"/>
    <w:rsid w:val="00E71BBD"/>
    <w:rPr>
      <w:rFonts w:asciiTheme="majorHAnsi" w:eastAsiaTheme="majorEastAsia" w:hAnsiTheme="majorHAnsi" w:cstheme="majorBidi"/>
      <w:b/>
      <w:bCs/>
      <w:i/>
      <w:iCs/>
      <w:color w:val="2DA2BF" w:themeColor="accent1"/>
    </w:rPr>
  </w:style>
  <w:style w:type="character" w:customStyle="1" w:styleId="Heading5Char">
    <w:name w:val="Heading 5 Char"/>
    <w:basedOn w:val="DefaultParagraphFont"/>
    <w:link w:val="Heading5"/>
    <w:uiPriority w:val="9"/>
    <w:rsid w:val="00E71BBD"/>
    <w:rPr>
      <w:rFonts w:asciiTheme="majorHAnsi" w:eastAsiaTheme="majorEastAsia" w:hAnsiTheme="majorHAnsi" w:cstheme="majorBidi"/>
      <w:color w:val="16505E" w:themeColor="accent1" w:themeShade="7F"/>
    </w:rPr>
  </w:style>
  <w:style w:type="character" w:customStyle="1" w:styleId="Heading6Char">
    <w:name w:val="Heading 6 Char"/>
    <w:basedOn w:val="DefaultParagraphFont"/>
    <w:link w:val="Heading6"/>
    <w:uiPriority w:val="9"/>
    <w:rsid w:val="00E71BBD"/>
    <w:rPr>
      <w:rFonts w:asciiTheme="majorHAnsi" w:eastAsiaTheme="majorEastAsia" w:hAnsiTheme="majorHAnsi" w:cstheme="majorBidi"/>
      <w:i/>
      <w:iCs/>
      <w:color w:val="16505E" w:themeColor="accent1" w:themeShade="7F"/>
    </w:rPr>
  </w:style>
  <w:style w:type="character" w:customStyle="1" w:styleId="Heading7Char">
    <w:name w:val="Heading 7 Char"/>
    <w:basedOn w:val="DefaultParagraphFont"/>
    <w:link w:val="Heading7"/>
    <w:uiPriority w:val="9"/>
    <w:rsid w:val="00E71BB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71BBD"/>
    <w:rPr>
      <w:rFonts w:asciiTheme="majorHAnsi" w:eastAsiaTheme="majorEastAsia" w:hAnsiTheme="majorHAnsi" w:cstheme="majorBidi"/>
      <w:color w:val="2DA2BF" w:themeColor="accent1"/>
      <w:sz w:val="20"/>
      <w:szCs w:val="20"/>
    </w:rPr>
  </w:style>
  <w:style w:type="character" w:customStyle="1" w:styleId="Heading9Char">
    <w:name w:val="Heading 9 Char"/>
    <w:basedOn w:val="DefaultParagraphFont"/>
    <w:link w:val="Heading9"/>
    <w:uiPriority w:val="9"/>
    <w:rsid w:val="00E71BB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71BBD"/>
    <w:pPr>
      <w:spacing w:line="240" w:lineRule="auto"/>
    </w:pPr>
    <w:rPr>
      <w:b/>
      <w:bCs/>
      <w:color w:val="2DA2BF" w:themeColor="accent1"/>
      <w:sz w:val="18"/>
      <w:szCs w:val="18"/>
    </w:rPr>
  </w:style>
  <w:style w:type="paragraph" w:styleId="Title">
    <w:name w:val="Title"/>
    <w:basedOn w:val="Normal"/>
    <w:next w:val="Normal"/>
    <w:link w:val="TitleChar"/>
    <w:uiPriority w:val="10"/>
    <w:qFormat/>
    <w:rsid w:val="00E71BBD"/>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E71BBD"/>
    <w:rPr>
      <w:rFonts w:asciiTheme="majorHAnsi" w:eastAsiaTheme="majorEastAsia" w:hAnsiTheme="majorHAnsi" w:cstheme="majorBidi"/>
      <w:color w:val="343434" w:themeColor="text2" w:themeShade="BF"/>
      <w:spacing w:val="5"/>
      <w:kern w:val="28"/>
      <w:sz w:val="52"/>
      <w:szCs w:val="52"/>
    </w:rPr>
  </w:style>
  <w:style w:type="paragraph" w:styleId="Subtitle">
    <w:name w:val="Subtitle"/>
    <w:basedOn w:val="Normal"/>
    <w:next w:val="Normal"/>
    <w:link w:val="SubtitleChar"/>
    <w:uiPriority w:val="11"/>
    <w:qFormat/>
    <w:rsid w:val="00E71BBD"/>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E71BBD"/>
    <w:rPr>
      <w:rFonts w:asciiTheme="majorHAnsi" w:eastAsiaTheme="majorEastAsia" w:hAnsiTheme="majorHAnsi" w:cstheme="majorBidi"/>
      <w:i/>
      <w:iCs/>
      <w:color w:val="2DA2BF" w:themeColor="accent1"/>
      <w:spacing w:val="15"/>
      <w:sz w:val="24"/>
      <w:szCs w:val="24"/>
    </w:rPr>
  </w:style>
  <w:style w:type="character" w:styleId="Strong">
    <w:name w:val="Strong"/>
    <w:basedOn w:val="DefaultParagraphFont"/>
    <w:uiPriority w:val="22"/>
    <w:qFormat/>
    <w:rsid w:val="00E71BBD"/>
    <w:rPr>
      <w:b/>
      <w:bCs/>
    </w:rPr>
  </w:style>
  <w:style w:type="character" w:styleId="Emphasis">
    <w:name w:val="Emphasis"/>
    <w:basedOn w:val="DefaultParagraphFont"/>
    <w:uiPriority w:val="20"/>
    <w:qFormat/>
    <w:rsid w:val="00E71BBD"/>
    <w:rPr>
      <w:i/>
      <w:iCs/>
    </w:rPr>
  </w:style>
  <w:style w:type="paragraph" w:styleId="NoSpacing">
    <w:name w:val="No Spacing"/>
    <w:link w:val="NoSpacingChar"/>
    <w:uiPriority w:val="1"/>
    <w:qFormat/>
    <w:rsid w:val="00E71BBD"/>
    <w:pPr>
      <w:spacing w:after="0" w:line="240" w:lineRule="auto"/>
    </w:pPr>
  </w:style>
  <w:style w:type="character" w:customStyle="1" w:styleId="NoSpacingChar">
    <w:name w:val="No Spacing Char"/>
    <w:basedOn w:val="DefaultParagraphFont"/>
    <w:link w:val="NoSpacing"/>
    <w:uiPriority w:val="1"/>
    <w:rsid w:val="001B50CB"/>
  </w:style>
  <w:style w:type="paragraph" w:styleId="Quote">
    <w:name w:val="Quote"/>
    <w:basedOn w:val="Normal"/>
    <w:next w:val="Normal"/>
    <w:link w:val="QuoteChar"/>
    <w:uiPriority w:val="29"/>
    <w:qFormat/>
    <w:rsid w:val="00E71BBD"/>
    <w:rPr>
      <w:i/>
      <w:iCs/>
      <w:color w:val="000000" w:themeColor="text1"/>
    </w:rPr>
  </w:style>
  <w:style w:type="character" w:customStyle="1" w:styleId="QuoteChar">
    <w:name w:val="Quote Char"/>
    <w:basedOn w:val="DefaultParagraphFont"/>
    <w:link w:val="Quote"/>
    <w:uiPriority w:val="29"/>
    <w:rsid w:val="00E71BBD"/>
    <w:rPr>
      <w:i/>
      <w:iCs/>
      <w:color w:val="000000" w:themeColor="text1"/>
    </w:rPr>
  </w:style>
  <w:style w:type="paragraph" w:styleId="IntenseQuote">
    <w:name w:val="Intense Quote"/>
    <w:basedOn w:val="Normal"/>
    <w:next w:val="Normal"/>
    <w:link w:val="IntenseQuoteChar"/>
    <w:uiPriority w:val="30"/>
    <w:qFormat/>
    <w:rsid w:val="00E71BBD"/>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E71BBD"/>
    <w:rPr>
      <w:b/>
      <w:bCs/>
      <w:i/>
      <w:iCs/>
      <w:color w:val="2DA2BF" w:themeColor="accent1"/>
    </w:rPr>
  </w:style>
  <w:style w:type="character" w:styleId="SubtleEmphasis">
    <w:name w:val="Subtle Emphasis"/>
    <w:basedOn w:val="DefaultParagraphFont"/>
    <w:uiPriority w:val="19"/>
    <w:qFormat/>
    <w:rsid w:val="00E71BBD"/>
    <w:rPr>
      <w:i/>
      <w:iCs/>
      <w:color w:val="808080" w:themeColor="text1" w:themeTint="7F"/>
    </w:rPr>
  </w:style>
  <w:style w:type="character" w:styleId="SubtleReference">
    <w:name w:val="Subtle Reference"/>
    <w:basedOn w:val="DefaultParagraphFont"/>
    <w:uiPriority w:val="31"/>
    <w:qFormat/>
    <w:rsid w:val="00E71BBD"/>
    <w:rPr>
      <w:smallCaps/>
      <w:color w:val="DA1F28" w:themeColor="accent2"/>
      <w:u w:val="single"/>
    </w:rPr>
  </w:style>
  <w:style w:type="character" w:styleId="IntenseReference">
    <w:name w:val="Intense Reference"/>
    <w:basedOn w:val="DefaultParagraphFont"/>
    <w:uiPriority w:val="32"/>
    <w:qFormat/>
    <w:rsid w:val="00E71BBD"/>
    <w:rPr>
      <w:b/>
      <w:bCs/>
      <w:smallCaps/>
      <w:color w:val="DA1F28" w:themeColor="accent2"/>
      <w:spacing w:val="5"/>
      <w:u w:val="single"/>
    </w:rPr>
  </w:style>
  <w:style w:type="character" w:styleId="BookTitle">
    <w:name w:val="Book Title"/>
    <w:basedOn w:val="DefaultParagraphFont"/>
    <w:uiPriority w:val="33"/>
    <w:qFormat/>
    <w:rsid w:val="00E71BBD"/>
    <w:rPr>
      <w:b/>
      <w:bCs/>
      <w:smallCaps/>
      <w:spacing w:val="5"/>
    </w:rPr>
  </w:style>
  <w:style w:type="paragraph" w:styleId="TOCHeading">
    <w:name w:val="TOC Heading"/>
    <w:basedOn w:val="Heading1"/>
    <w:next w:val="Normal"/>
    <w:uiPriority w:val="39"/>
    <w:semiHidden/>
    <w:unhideWhenUsed/>
    <w:qFormat/>
    <w:rsid w:val="00E71BBD"/>
    <w:pPr>
      <w:outlineLvl w:val="9"/>
    </w:pPr>
  </w:style>
  <w:style w:type="paragraph" w:styleId="Header">
    <w:name w:val="header"/>
    <w:basedOn w:val="Normal"/>
    <w:link w:val="HeaderChar"/>
    <w:uiPriority w:val="99"/>
    <w:semiHidden/>
    <w:unhideWhenUsed/>
    <w:rsid w:val="000928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92805"/>
    <w:rPr>
      <w:sz w:val="20"/>
      <w:szCs w:val="20"/>
    </w:rPr>
  </w:style>
  <w:style w:type="paragraph" w:styleId="Footer">
    <w:name w:val="footer"/>
    <w:basedOn w:val="Normal"/>
    <w:link w:val="FooterChar"/>
    <w:uiPriority w:val="99"/>
    <w:unhideWhenUsed/>
    <w:rsid w:val="000928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805"/>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5121</Words>
  <Characters>29193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Gombart</dc:creator>
  <cp:lastModifiedBy>Riley Gombart</cp:lastModifiedBy>
  <cp:revision>2</cp:revision>
  <dcterms:created xsi:type="dcterms:W3CDTF">2013-12-05T22:41:00Z</dcterms:created>
  <dcterms:modified xsi:type="dcterms:W3CDTF">2013-12-05T22:41:00Z</dcterms:modified>
</cp:coreProperties>
</file>