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188E" w:rsidRDefault="0004364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Climate Change Outline</w:t>
      </w:r>
    </w:p>
    <w:p w:rsidR="0089263A" w:rsidRDefault="0089263A">
      <w:pPr>
        <w:jc w:val="center"/>
        <w:rPr>
          <w:rFonts w:ascii="Times New Roman" w:eastAsia="Times New Roman" w:hAnsi="Times New Roman" w:cs="Times New Roman"/>
          <w:sz w:val="16"/>
          <w:szCs w:val="16"/>
        </w:rPr>
      </w:pPr>
    </w:p>
    <w:p w:rsidR="00FE188E" w:rsidRDefault="0004364F">
      <w:pPr>
        <w:jc w:val="center"/>
        <w:rPr>
          <w:rFonts w:ascii="Times New Roman" w:eastAsia="Times New Roman" w:hAnsi="Times New Roman" w:cs="Times New Roman"/>
          <w:sz w:val="16"/>
          <w:szCs w:val="16"/>
        </w:rPr>
      </w:pPr>
      <w:bookmarkStart w:id="0" w:name="_GoBack"/>
      <w:bookmarkEnd w:id="0"/>
      <w:r>
        <w:rPr>
          <w:rFonts w:ascii="Times New Roman" w:eastAsia="Times New Roman" w:hAnsi="Times New Roman" w:cs="Times New Roman"/>
          <w:sz w:val="16"/>
          <w:szCs w:val="16"/>
        </w:rPr>
        <w:t>Fall 2016</w:t>
      </w:r>
    </w:p>
    <w:p w:rsidR="00FE188E" w:rsidRDefault="00FE188E">
      <w:pPr>
        <w:rPr>
          <w:rFonts w:ascii="Times New Roman" w:eastAsia="Times New Roman" w:hAnsi="Times New Roman" w:cs="Times New Roman"/>
          <w:sz w:val="16"/>
          <w:szCs w:val="16"/>
        </w:rPr>
      </w:pPr>
    </w:p>
    <w:p w:rsidR="00FE188E" w:rsidRDefault="0004364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 of Contents</w:t>
      </w:r>
    </w:p>
    <w:p w:rsidR="00FE188E" w:rsidRDefault="0004364F">
      <w:pPr>
        <w:numPr>
          <w:ilvl w:val="0"/>
          <w:numId w:val="2"/>
        </w:numPr>
        <w:ind w:left="900" w:hanging="540"/>
        <w:rPr>
          <w:rFonts w:ascii="Times New Roman" w:eastAsia="Times New Roman" w:hAnsi="Times New Roman" w:cs="Times New Roman"/>
          <w:sz w:val="20"/>
          <w:szCs w:val="20"/>
        </w:rPr>
      </w:pPr>
      <w:r>
        <w:rPr>
          <w:rFonts w:ascii="Times New Roman" w:eastAsia="Times New Roman" w:hAnsi="Times New Roman" w:cs="Times New Roman"/>
          <w:sz w:val="20"/>
          <w:szCs w:val="20"/>
        </w:rPr>
        <w:t>Introduction</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Science of Climate Change (2)</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Responding to Climate Change: Mitigation (2)</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Responding to Climate Change: Adaptation (5)</w:t>
      </w:r>
    </w:p>
    <w:p w:rsidR="00FE188E" w:rsidRDefault="0004364F">
      <w:pPr>
        <w:numPr>
          <w:ilvl w:val="0"/>
          <w:numId w:val="2"/>
        </w:numPr>
        <w:ind w:left="900" w:hanging="540"/>
        <w:rPr>
          <w:rFonts w:ascii="Times New Roman" w:eastAsia="Times New Roman" w:hAnsi="Times New Roman" w:cs="Times New Roman"/>
          <w:sz w:val="20"/>
          <w:szCs w:val="20"/>
        </w:rPr>
      </w:pPr>
      <w:r>
        <w:rPr>
          <w:rFonts w:ascii="Times New Roman" w:eastAsia="Times New Roman" w:hAnsi="Times New Roman" w:cs="Times New Roman"/>
          <w:sz w:val="20"/>
          <w:szCs w:val="20"/>
        </w:rPr>
        <w:t>The International Climate Regime</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International Response to Climate Change: The United Nations Framework Convention on Climate Change (6)</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Kyoto Protocol (10)</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Implementing Kyoto Through the Carbon Markets (11)</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Beyond 2012: Building the Post-Kyoto Climate Regime (13)</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Paris Agreem</w:t>
      </w:r>
      <w:r>
        <w:rPr>
          <w:rFonts w:ascii="Times New Roman" w:eastAsia="Times New Roman" w:hAnsi="Times New Roman" w:cs="Times New Roman"/>
          <w:sz w:val="20"/>
          <w:szCs w:val="20"/>
        </w:rPr>
        <w:t>ent (15)</w:t>
      </w:r>
    </w:p>
    <w:p w:rsidR="00FE188E" w:rsidRDefault="0004364F">
      <w:pPr>
        <w:numPr>
          <w:ilvl w:val="0"/>
          <w:numId w:val="2"/>
        </w:numPr>
        <w:ind w:left="900" w:hanging="540"/>
        <w:rPr>
          <w:rFonts w:ascii="Times New Roman" w:eastAsia="Times New Roman" w:hAnsi="Times New Roman" w:cs="Times New Roman"/>
          <w:sz w:val="20"/>
          <w:szCs w:val="20"/>
        </w:rPr>
      </w:pPr>
      <w:r>
        <w:rPr>
          <w:rFonts w:ascii="Times New Roman" w:eastAsia="Times New Roman" w:hAnsi="Times New Roman" w:cs="Times New Roman"/>
          <w:sz w:val="20"/>
          <w:szCs w:val="20"/>
        </w:rPr>
        <w:t>The Domestic Climate Regime</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U.S. Climate Policy (16)</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Climate Change Regulation Under the Clean Air Act (16)</w:t>
      </w:r>
    </w:p>
    <w:p w:rsidR="00FE188E" w:rsidRDefault="0004364F">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Massachusetts v. Environmental Protection Agency</w:t>
      </w:r>
      <w:r>
        <w:rPr>
          <w:rFonts w:ascii="Times New Roman" w:eastAsia="Times New Roman" w:hAnsi="Times New Roman" w:cs="Times New Roman"/>
          <w:color w:val="FF0000"/>
          <w:sz w:val="20"/>
          <w:szCs w:val="20"/>
        </w:rPr>
        <w:t xml:space="preserve"> (S. Ct., 2007) </w:t>
      </w:r>
      <w:r>
        <w:rPr>
          <w:rFonts w:ascii="Times New Roman" w:eastAsia="Times New Roman" w:hAnsi="Times New Roman" w:cs="Times New Roman"/>
          <w:sz w:val="20"/>
          <w:szCs w:val="20"/>
        </w:rPr>
        <w:t>(17)</w:t>
      </w:r>
    </w:p>
    <w:p w:rsidR="00FE188E" w:rsidRDefault="0004364F">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Coalition for Responsible Regulation v. EPA</w:t>
      </w:r>
      <w:r>
        <w:rPr>
          <w:rFonts w:ascii="Times New Roman" w:eastAsia="Times New Roman" w:hAnsi="Times New Roman" w:cs="Times New Roman"/>
          <w:color w:val="FF0000"/>
          <w:sz w:val="20"/>
          <w:szCs w:val="20"/>
        </w:rPr>
        <w:t xml:space="preserve"> (D.C. Cir., 2012) </w:t>
      </w:r>
      <w:r>
        <w:rPr>
          <w:rFonts w:ascii="Times New Roman" w:eastAsia="Times New Roman" w:hAnsi="Times New Roman" w:cs="Times New Roman"/>
          <w:sz w:val="20"/>
          <w:szCs w:val="20"/>
        </w:rPr>
        <w:t>(18)</w:t>
      </w:r>
    </w:p>
    <w:p w:rsidR="00FE188E" w:rsidRDefault="0004364F">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California State Motor Vehicle Pollution Control Standards; Notice of Decision Granting a Waiver of Clean Air Act Preemption for California’s 2009 and Subsequent Model Year Greenhouse Gas Emission Standards for New Motor Vehicles</w:t>
      </w:r>
      <w:r>
        <w:rPr>
          <w:rFonts w:ascii="Times New Roman" w:eastAsia="Times New Roman" w:hAnsi="Times New Roman" w:cs="Times New Roman"/>
          <w:color w:val="FF0000"/>
          <w:sz w:val="20"/>
          <w:szCs w:val="20"/>
        </w:rPr>
        <w:t xml:space="preserve"> (2009) </w:t>
      </w:r>
      <w:r>
        <w:rPr>
          <w:rFonts w:ascii="Times New Roman" w:eastAsia="Times New Roman" w:hAnsi="Times New Roman" w:cs="Times New Roman"/>
          <w:sz w:val="20"/>
          <w:szCs w:val="20"/>
        </w:rPr>
        <w:t>(19)</w:t>
      </w:r>
    </w:p>
    <w:p w:rsidR="00FE188E" w:rsidRDefault="0004364F">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Utility Air Re</w:t>
      </w:r>
      <w:r>
        <w:rPr>
          <w:rFonts w:ascii="Times New Roman" w:eastAsia="Times New Roman" w:hAnsi="Times New Roman" w:cs="Times New Roman"/>
          <w:i/>
          <w:color w:val="FF0000"/>
          <w:sz w:val="20"/>
          <w:szCs w:val="20"/>
        </w:rPr>
        <w:t>gulatory Group v. EPA</w:t>
      </w:r>
      <w:r>
        <w:rPr>
          <w:rFonts w:ascii="Times New Roman" w:eastAsia="Times New Roman" w:hAnsi="Times New Roman" w:cs="Times New Roman"/>
          <w:color w:val="FF0000"/>
          <w:sz w:val="20"/>
          <w:szCs w:val="20"/>
        </w:rPr>
        <w:t xml:space="preserve"> (S. Ct., 2014) </w:t>
      </w:r>
      <w:r>
        <w:rPr>
          <w:rFonts w:ascii="Times New Roman" w:eastAsia="Times New Roman" w:hAnsi="Times New Roman" w:cs="Times New Roman"/>
          <w:sz w:val="20"/>
          <w:szCs w:val="20"/>
        </w:rPr>
        <w:t>(20)</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U.S. Law and Policy: Transportation (22)</w:t>
      </w:r>
    </w:p>
    <w:p w:rsidR="00FE188E" w:rsidRDefault="0004364F">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Center for Auto Safety v. National Highway Traffic Safety Admin.</w:t>
      </w:r>
      <w:r>
        <w:rPr>
          <w:rFonts w:ascii="Times New Roman" w:eastAsia="Times New Roman" w:hAnsi="Times New Roman" w:cs="Times New Roman"/>
          <w:color w:val="FF0000"/>
          <w:sz w:val="20"/>
          <w:szCs w:val="20"/>
        </w:rPr>
        <w:t xml:space="preserve"> (D.C. Cir., 1986) </w:t>
      </w:r>
      <w:r>
        <w:rPr>
          <w:rFonts w:ascii="Times New Roman" w:eastAsia="Times New Roman" w:hAnsi="Times New Roman" w:cs="Times New Roman"/>
          <w:sz w:val="20"/>
          <w:szCs w:val="20"/>
        </w:rPr>
        <w:t>(23)</w:t>
      </w:r>
    </w:p>
    <w:p w:rsidR="00FE188E" w:rsidRDefault="0004364F">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Center for Biological Diversity v. National Highway Traffic Safety Admin.</w:t>
      </w:r>
      <w:r>
        <w:rPr>
          <w:rFonts w:ascii="Times New Roman" w:eastAsia="Times New Roman" w:hAnsi="Times New Roman" w:cs="Times New Roman"/>
          <w:color w:val="FF0000"/>
          <w:sz w:val="20"/>
          <w:szCs w:val="20"/>
        </w:rPr>
        <w:t xml:space="preserve"> (9th Cir., </w:t>
      </w:r>
      <w:r>
        <w:rPr>
          <w:rFonts w:ascii="Times New Roman" w:eastAsia="Times New Roman" w:hAnsi="Times New Roman" w:cs="Times New Roman"/>
          <w:color w:val="FF0000"/>
          <w:sz w:val="20"/>
          <w:szCs w:val="20"/>
        </w:rPr>
        <w:t xml:space="preserve">2007) </w:t>
      </w:r>
      <w:r>
        <w:rPr>
          <w:rFonts w:ascii="Times New Roman" w:eastAsia="Times New Roman" w:hAnsi="Times New Roman" w:cs="Times New Roman"/>
          <w:sz w:val="20"/>
          <w:szCs w:val="20"/>
        </w:rPr>
        <w:t>(23)</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U.S. Law and Policy: Energy (26)</w:t>
      </w:r>
    </w:p>
    <w:p w:rsidR="00FE188E" w:rsidRDefault="0004364F">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In re Petition for Determination of Need for Glades Power Park Units 1 and 2 Electrical Power Plants in Glades County, by Fla. Power &amp; Light Co., Order Denying Petition for Determination of Need</w:t>
      </w:r>
      <w:r>
        <w:rPr>
          <w:rFonts w:ascii="Times New Roman" w:eastAsia="Times New Roman" w:hAnsi="Times New Roman" w:cs="Times New Roman"/>
          <w:color w:val="FF0000"/>
          <w:sz w:val="20"/>
          <w:szCs w:val="20"/>
        </w:rPr>
        <w:t xml:space="preserve"> (2007) </w:t>
      </w:r>
      <w:r>
        <w:rPr>
          <w:rFonts w:ascii="Times New Roman" w:eastAsia="Times New Roman" w:hAnsi="Times New Roman" w:cs="Times New Roman"/>
          <w:sz w:val="20"/>
          <w:szCs w:val="20"/>
        </w:rPr>
        <w:t>(28)</w:t>
      </w:r>
    </w:p>
    <w:p w:rsidR="00FE188E" w:rsidRDefault="0004364F">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State of Philadelphia v. New Jersey </w:t>
      </w:r>
      <w:r>
        <w:rPr>
          <w:rFonts w:ascii="Times New Roman" w:eastAsia="Times New Roman" w:hAnsi="Times New Roman" w:cs="Times New Roman"/>
          <w:color w:val="FF0000"/>
          <w:sz w:val="20"/>
          <w:szCs w:val="20"/>
        </w:rPr>
        <w:t xml:space="preserve">(S. Ct., 1978) </w:t>
      </w:r>
      <w:r>
        <w:rPr>
          <w:rFonts w:ascii="Times New Roman" w:eastAsia="Times New Roman" w:hAnsi="Times New Roman" w:cs="Times New Roman"/>
          <w:sz w:val="20"/>
          <w:szCs w:val="20"/>
        </w:rPr>
        <w:t>(32)</w:t>
      </w:r>
    </w:p>
    <w:p w:rsidR="00FE188E" w:rsidRDefault="0004364F">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Rocky Mountain Farmers Union v. Corey </w:t>
      </w:r>
      <w:r>
        <w:rPr>
          <w:rFonts w:ascii="Times New Roman" w:eastAsia="Times New Roman" w:hAnsi="Times New Roman" w:cs="Times New Roman"/>
          <w:color w:val="FF0000"/>
          <w:sz w:val="20"/>
          <w:szCs w:val="20"/>
        </w:rPr>
        <w:t xml:space="preserve">(9th Cir., 2013) </w:t>
      </w:r>
      <w:r>
        <w:rPr>
          <w:rFonts w:ascii="Times New Roman" w:eastAsia="Times New Roman" w:hAnsi="Times New Roman" w:cs="Times New Roman"/>
          <w:sz w:val="20"/>
          <w:szCs w:val="20"/>
        </w:rPr>
        <w:t>(32)</w:t>
      </w:r>
    </w:p>
    <w:p w:rsidR="00FE188E" w:rsidRDefault="0004364F">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Energy and Environmental Law Institute v. EPEL</w:t>
      </w:r>
      <w:r>
        <w:rPr>
          <w:rFonts w:ascii="Times New Roman" w:eastAsia="Times New Roman" w:hAnsi="Times New Roman" w:cs="Times New Roman"/>
          <w:color w:val="FF0000"/>
          <w:sz w:val="20"/>
          <w:szCs w:val="20"/>
        </w:rPr>
        <w:t xml:space="preserve"> (10th Cir., 2015) </w:t>
      </w:r>
      <w:r>
        <w:rPr>
          <w:rFonts w:ascii="Times New Roman" w:eastAsia="Times New Roman" w:hAnsi="Times New Roman" w:cs="Times New Roman"/>
          <w:sz w:val="20"/>
          <w:szCs w:val="20"/>
        </w:rPr>
        <w:t>(32)</w:t>
      </w:r>
    </w:p>
    <w:p w:rsidR="00FE188E" w:rsidRDefault="0004364F">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North Dakota v. Heydinger</w:t>
      </w:r>
      <w:r>
        <w:rPr>
          <w:rFonts w:ascii="Times New Roman" w:eastAsia="Times New Roman" w:hAnsi="Times New Roman" w:cs="Times New Roman"/>
          <w:color w:val="FF0000"/>
          <w:sz w:val="20"/>
          <w:szCs w:val="20"/>
        </w:rPr>
        <w:t xml:space="preserve"> (8th Cir., 2016) </w:t>
      </w:r>
      <w:r>
        <w:rPr>
          <w:rFonts w:ascii="Times New Roman" w:eastAsia="Times New Roman" w:hAnsi="Times New Roman" w:cs="Times New Roman"/>
          <w:sz w:val="20"/>
          <w:szCs w:val="20"/>
        </w:rPr>
        <w:t>(33)</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Climate Change in the </w:t>
      </w:r>
      <w:r>
        <w:rPr>
          <w:rFonts w:ascii="Times New Roman" w:eastAsia="Times New Roman" w:hAnsi="Times New Roman" w:cs="Times New Roman"/>
          <w:sz w:val="20"/>
          <w:szCs w:val="20"/>
        </w:rPr>
        <w:t>Courts: Jurisdiction and Common Law Litigation – Article III Standing (33)</w:t>
      </w:r>
    </w:p>
    <w:p w:rsidR="00FE188E" w:rsidRDefault="0004364F">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Massachusetts v. EPA </w:t>
      </w:r>
      <w:r>
        <w:rPr>
          <w:rFonts w:ascii="Times New Roman" w:eastAsia="Times New Roman" w:hAnsi="Times New Roman" w:cs="Times New Roman"/>
          <w:color w:val="FF0000"/>
          <w:sz w:val="20"/>
          <w:szCs w:val="20"/>
        </w:rPr>
        <w:t xml:space="preserve">(S. Ct., 2007) </w:t>
      </w:r>
      <w:r>
        <w:rPr>
          <w:rFonts w:ascii="Times New Roman" w:eastAsia="Times New Roman" w:hAnsi="Times New Roman" w:cs="Times New Roman"/>
          <w:sz w:val="20"/>
          <w:szCs w:val="20"/>
        </w:rPr>
        <w:t>(34)</w:t>
      </w:r>
    </w:p>
    <w:p w:rsidR="00FE188E" w:rsidRDefault="0004364F">
      <w:pPr>
        <w:numPr>
          <w:ilvl w:val="2"/>
          <w:numId w:val="2"/>
        </w:numPr>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Washington Environmental Council v. Bellon </w:t>
      </w:r>
      <w:r>
        <w:rPr>
          <w:rFonts w:ascii="Times New Roman" w:eastAsia="Times New Roman" w:hAnsi="Times New Roman" w:cs="Times New Roman"/>
          <w:color w:val="FF0000"/>
          <w:sz w:val="20"/>
          <w:szCs w:val="20"/>
        </w:rPr>
        <w:t xml:space="preserve">(9th Cir., 2013) </w:t>
      </w:r>
      <w:r>
        <w:rPr>
          <w:rFonts w:ascii="Times New Roman" w:eastAsia="Times New Roman" w:hAnsi="Times New Roman" w:cs="Times New Roman"/>
          <w:sz w:val="20"/>
          <w:szCs w:val="20"/>
        </w:rPr>
        <w:t>(35)</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Local and State Efforts and Behavioral Changes (35)</w:t>
      </w:r>
    </w:p>
    <w:p w:rsidR="00FE188E" w:rsidRDefault="0004364F">
      <w:pPr>
        <w:numPr>
          <w:ilvl w:val="1"/>
          <w:numId w:val="2"/>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Decarbonization in the </w:t>
      </w:r>
      <w:r>
        <w:rPr>
          <w:rFonts w:ascii="Times New Roman" w:eastAsia="Times New Roman" w:hAnsi="Times New Roman" w:cs="Times New Roman"/>
          <w:sz w:val="20"/>
          <w:szCs w:val="20"/>
        </w:rPr>
        <w:t>Anthropocene (35)</w:t>
      </w:r>
    </w:p>
    <w:p w:rsidR="00FE188E" w:rsidRDefault="0004364F">
      <w:pPr>
        <w:rPr>
          <w:rFonts w:ascii="Times New Roman" w:eastAsia="Times New Roman" w:hAnsi="Times New Roman" w:cs="Times New Roman"/>
          <w:sz w:val="20"/>
          <w:szCs w:val="20"/>
        </w:rPr>
      </w:pPr>
      <w:r>
        <w:br w:type="page"/>
      </w:r>
    </w:p>
    <w:p w:rsidR="00FE188E" w:rsidRDefault="0004364F">
      <w:pPr>
        <w:pStyle w:val="Heading1"/>
        <w:spacing w:before="0" w:after="0"/>
        <w:jc w:val="center"/>
        <w:rPr>
          <w:rFonts w:ascii="Times New Roman" w:eastAsia="Times New Roman" w:hAnsi="Times New Roman" w:cs="Times New Roman"/>
          <w:sz w:val="24"/>
          <w:szCs w:val="24"/>
        </w:rPr>
      </w:pPr>
      <w:bookmarkStart w:id="1" w:name="_cdqb9vyzw7dr" w:colFirst="0" w:colLast="0"/>
      <w:bookmarkEnd w:id="1"/>
      <w:r>
        <w:rPr>
          <w:rFonts w:ascii="Times New Roman" w:eastAsia="Times New Roman" w:hAnsi="Times New Roman" w:cs="Times New Roman"/>
          <w:sz w:val="24"/>
          <w:szCs w:val="24"/>
        </w:rPr>
        <w:lastRenderedPageBreak/>
        <w:t>INTRODUCTION TO CLIMATE CHANGE</w:t>
      </w:r>
    </w:p>
    <w:p w:rsidR="00FE188E" w:rsidRDefault="0004364F">
      <w:pPr>
        <w:pStyle w:val="Heading2"/>
        <w:spacing w:before="0" w:after="0"/>
        <w:jc w:val="center"/>
        <w:rPr>
          <w:rFonts w:ascii="Times New Roman" w:eastAsia="Times New Roman" w:hAnsi="Times New Roman" w:cs="Times New Roman"/>
          <w:sz w:val="24"/>
          <w:szCs w:val="24"/>
        </w:rPr>
      </w:pPr>
      <w:bookmarkStart w:id="2" w:name="_whryhg22hhrd" w:colFirst="0" w:colLast="0"/>
      <w:bookmarkEnd w:id="2"/>
      <w:r>
        <w:rPr>
          <w:rFonts w:ascii="Times New Roman" w:eastAsia="Times New Roman" w:hAnsi="Times New Roman" w:cs="Times New Roman"/>
          <w:sz w:val="24"/>
          <w:szCs w:val="24"/>
        </w:rPr>
        <w:t>The Science of Climate Change</w:t>
      </w:r>
    </w:p>
    <w:p w:rsidR="00FE188E" w:rsidRDefault="0004364F">
      <w:pPr>
        <w:numPr>
          <w:ilvl w:val="0"/>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Introduction</w:t>
      </w:r>
    </w:p>
    <w:p w:rsidR="00FE188E" w:rsidRDefault="0004364F">
      <w:pPr>
        <w:numPr>
          <w:ilvl w:val="0"/>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Causes of Climate Change, three major issues – </w:t>
      </w:r>
    </w:p>
    <w:p w:rsidR="00FE188E" w:rsidRDefault="0004364F">
      <w:pPr>
        <w:numPr>
          <w:ilvl w:val="1"/>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Increasing Greenhouse Gas Emissions </w:t>
      </w:r>
    </w:p>
    <w:p w:rsidR="00FE188E" w:rsidRDefault="0004364F">
      <w:pPr>
        <w:numPr>
          <w:ilvl w:val="1"/>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Declining Natural Carbon Sinks</w:t>
      </w:r>
    </w:p>
    <w:p w:rsidR="00FE188E" w:rsidRDefault="0004364F">
      <w:pPr>
        <w:numPr>
          <w:ilvl w:val="1"/>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Relationship between GHG Concentrations and Temperature</w:t>
      </w:r>
    </w:p>
    <w:p w:rsidR="00FE188E" w:rsidRDefault="0004364F">
      <w:pPr>
        <w:numPr>
          <w:ilvl w:val="0"/>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Environmental Impacts of Climate Change</w:t>
      </w:r>
    </w:p>
    <w:p w:rsidR="00FE188E" w:rsidRDefault="0004364F">
      <w:pPr>
        <w:numPr>
          <w:ilvl w:val="1"/>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Melting Ice</w:t>
      </w:r>
    </w:p>
    <w:p w:rsidR="00FE188E" w:rsidRDefault="0004364F">
      <w:pPr>
        <w:numPr>
          <w:ilvl w:val="1"/>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Rising Sea Levels</w:t>
      </w:r>
    </w:p>
    <w:p w:rsidR="00FE188E" w:rsidRDefault="0004364F">
      <w:pPr>
        <w:numPr>
          <w:ilvl w:val="1"/>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Changing Ocean Ecology</w:t>
      </w:r>
    </w:p>
    <w:p w:rsidR="00FE188E" w:rsidRDefault="0004364F">
      <w:pPr>
        <w:numPr>
          <w:ilvl w:val="1"/>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Intensifying Weather Events</w:t>
      </w:r>
    </w:p>
    <w:p w:rsidR="00FE188E" w:rsidRDefault="0004364F">
      <w:pPr>
        <w:numPr>
          <w:ilvl w:val="1"/>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Declining Forests and Increasing Desertification</w:t>
      </w:r>
    </w:p>
    <w:p w:rsidR="00FE188E" w:rsidRDefault="0004364F">
      <w:pPr>
        <w:numPr>
          <w:ilvl w:val="1"/>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Other Impacts on Ecosy</w:t>
      </w:r>
      <w:r>
        <w:rPr>
          <w:rFonts w:ascii="Times New Roman" w:eastAsia="Times New Roman" w:hAnsi="Times New Roman" w:cs="Times New Roman"/>
          <w:sz w:val="20"/>
          <w:szCs w:val="20"/>
        </w:rPr>
        <w:t>stems and Wildlife</w:t>
      </w:r>
    </w:p>
    <w:p w:rsidR="00FE188E" w:rsidRDefault="0004364F">
      <w:pPr>
        <w:numPr>
          <w:ilvl w:val="1"/>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Regional Impacts</w:t>
      </w:r>
    </w:p>
    <w:p w:rsidR="00FE188E" w:rsidRDefault="0004364F">
      <w:pPr>
        <w:numPr>
          <w:ilvl w:val="0"/>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Socio-Economic Impacts</w:t>
      </w:r>
    </w:p>
    <w:p w:rsidR="00FE188E" w:rsidRDefault="0004364F">
      <w:pPr>
        <w:numPr>
          <w:ilvl w:val="1"/>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Agriculture, Drought, and Famine</w:t>
      </w:r>
    </w:p>
    <w:p w:rsidR="00FE188E" w:rsidRDefault="0004364F">
      <w:pPr>
        <w:numPr>
          <w:ilvl w:val="1"/>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Public Health Impacts</w:t>
      </w:r>
    </w:p>
    <w:p w:rsidR="00FE188E" w:rsidRDefault="0004364F">
      <w:pPr>
        <w:numPr>
          <w:ilvl w:val="1"/>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Climate Migration and Refugees</w:t>
      </w:r>
    </w:p>
    <w:p w:rsidR="00FE188E" w:rsidRDefault="0004364F">
      <w:pPr>
        <w:numPr>
          <w:ilvl w:val="0"/>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Rapid Climate Change Events and Living with Uncertainty</w:t>
      </w:r>
    </w:p>
    <w:p w:rsidR="00FE188E" w:rsidRDefault="0004364F">
      <w:pPr>
        <w:numPr>
          <w:ilvl w:val="0"/>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National Security and Climate Change</w:t>
      </w:r>
    </w:p>
    <w:p w:rsidR="00FE188E" w:rsidRDefault="0004364F">
      <w:pPr>
        <w:numPr>
          <w:ilvl w:val="0"/>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Keeping Our Eye on the Ball: Long-Term Stabilization Targets to Avoid the Worst Climate Impacts</w:t>
      </w:r>
    </w:p>
    <w:p w:rsidR="00FE188E" w:rsidRDefault="00FE188E">
      <w:pPr>
        <w:rPr>
          <w:rFonts w:ascii="Times New Roman" w:eastAsia="Times New Roman" w:hAnsi="Times New Roman" w:cs="Times New Roman"/>
          <w:sz w:val="20"/>
          <w:szCs w:val="20"/>
        </w:rPr>
      </w:pPr>
    </w:p>
    <w:p w:rsidR="00FE188E" w:rsidRDefault="0004364F">
      <w:pPr>
        <w:pStyle w:val="Heading2"/>
        <w:spacing w:before="0" w:after="0"/>
        <w:jc w:val="center"/>
        <w:rPr>
          <w:rFonts w:ascii="Times New Roman" w:eastAsia="Times New Roman" w:hAnsi="Times New Roman" w:cs="Times New Roman"/>
          <w:sz w:val="24"/>
          <w:szCs w:val="24"/>
        </w:rPr>
      </w:pPr>
      <w:bookmarkStart w:id="3" w:name="_3xyhhe6kqca1" w:colFirst="0" w:colLast="0"/>
      <w:bookmarkEnd w:id="3"/>
      <w:r>
        <w:rPr>
          <w:rFonts w:ascii="Times New Roman" w:eastAsia="Times New Roman" w:hAnsi="Times New Roman" w:cs="Times New Roman"/>
          <w:sz w:val="24"/>
          <w:szCs w:val="24"/>
        </w:rPr>
        <w:t>Responding to Climate Change: Mitigation</w:t>
      </w:r>
    </w:p>
    <w:p w:rsidR="00FE188E" w:rsidRDefault="0004364F">
      <w:pPr>
        <w:numPr>
          <w:ilvl w:val="0"/>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Ultimate Goals of Climate Change Mitigation, five questions – </w:t>
      </w:r>
    </w:p>
    <w:p w:rsidR="00FE188E" w:rsidRDefault="0004364F">
      <w:pPr>
        <w:numPr>
          <w:ilvl w:val="1"/>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(1) Long-term impacts to avoid?</w:t>
      </w:r>
    </w:p>
    <w:p w:rsidR="00FE188E" w:rsidRDefault="0004364F">
      <w:pPr>
        <w:numPr>
          <w:ilvl w:val="1"/>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(2) What is the maximum</w:t>
      </w:r>
      <w:r>
        <w:rPr>
          <w:rFonts w:ascii="Times New Roman" w:eastAsia="Times New Roman" w:hAnsi="Times New Roman" w:cs="Times New Roman"/>
          <w:sz w:val="20"/>
          <w:szCs w:val="20"/>
        </w:rPr>
        <w:t xml:space="preserve"> average temperature necessary to avoid those impacts?</w:t>
      </w:r>
    </w:p>
    <w:p w:rsidR="00FE188E" w:rsidRDefault="0004364F">
      <w:pPr>
        <w:numPr>
          <w:ilvl w:val="1"/>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(3) What is the maximum average GHG concentration to limit concentration to limit temperature?</w:t>
      </w:r>
    </w:p>
    <w:p w:rsidR="00FE188E" w:rsidRDefault="0004364F">
      <w:pPr>
        <w:numPr>
          <w:ilvl w:val="1"/>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(4) What is the amount of GHG emissions necessary to meet the concentration?</w:t>
      </w:r>
    </w:p>
    <w:p w:rsidR="00FE188E" w:rsidRDefault="0004364F">
      <w:pPr>
        <w:numPr>
          <w:ilvl w:val="1"/>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(5) What are the policies?</w:t>
      </w:r>
    </w:p>
    <w:p w:rsidR="00FE188E" w:rsidRDefault="0004364F">
      <w:pPr>
        <w:numPr>
          <w:ilvl w:val="0"/>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Ge</w:t>
      </w:r>
      <w:r>
        <w:rPr>
          <w:rFonts w:ascii="Times New Roman" w:eastAsia="Times New Roman" w:hAnsi="Times New Roman" w:cs="Times New Roman"/>
          <w:sz w:val="20"/>
          <w:szCs w:val="20"/>
        </w:rPr>
        <w:t>neral Mitigation Approaches</w:t>
      </w:r>
    </w:p>
    <w:p w:rsidR="00FE188E" w:rsidRDefault="0004364F">
      <w:pPr>
        <w:numPr>
          <w:ilvl w:val="1"/>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Climate Change as a Market Failure</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Externalities – the costs of good or services not borne by the producer or service provider, aka “social costs”; unless regulators develop a policy mandating internalization or customers demand</w:t>
      </w:r>
      <w:r>
        <w:rPr>
          <w:rFonts w:ascii="Times New Roman" w:eastAsia="Times New Roman" w:hAnsi="Times New Roman" w:cs="Times New Roman"/>
          <w:sz w:val="20"/>
          <w:szCs w:val="20"/>
        </w:rPr>
        <w:t xml:space="preserve"> internalization, environmental harms are often externalized</w:t>
      </w:r>
    </w:p>
    <w:p w:rsidR="00FE188E" w:rsidRDefault="0004364F">
      <w:pPr>
        <w:numPr>
          <w:ilvl w:val="1"/>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Internalizing External Costs: Cures for Market Failure</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Traditional Regulation (command and control)</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Top-Down Regulation Specifying</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Maximum emissions amount or rate</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Achievement of specific technol</w:t>
      </w:r>
      <w:r>
        <w:rPr>
          <w:rFonts w:ascii="Times New Roman" w:eastAsia="Times New Roman" w:hAnsi="Times New Roman" w:cs="Times New Roman"/>
          <w:sz w:val="20"/>
          <w:szCs w:val="20"/>
        </w:rPr>
        <w:t>ogy goal (e.g., fuel economy standards in miles per gallon)</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Use of specific technology (not common)</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Ban or restriction on product (Montreal Protocol and Clean Air Act)</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Purchasing requirement (renewable portfolio standards requiring utilities to purchase % of electricity from renewable sources)</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Critiques and Counterpoints</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Expensive and inflexible </w:t>
      </w:r>
      <w:r>
        <w:rPr>
          <w:rFonts w:ascii="Times New Roman" w:eastAsia="Times New Roman" w:hAnsi="Times New Roman" w:cs="Times New Roman"/>
          <w:sz w:val="20"/>
          <w:szCs w:val="20"/>
        </w:rPr>
        <w:tab/>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But </w:t>
      </w:r>
      <w:r>
        <w:rPr>
          <w:rFonts w:ascii="Times New Roman" w:eastAsia="Times New Roman" w:hAnsi="Times New Roman" w:cs="Times New Roman"/>
          <w:sz w:val="20"/>
          <w:szCs w:val="20"/>
        </w:rPr>
        <w:t xml:space="preserve">if emissions limit or rate, facilities allowed to achieve in whatever </w:t>
      </w:r>
      <w:r>
        <w:rPr>
          <w:rFonts w:ascii="Times New Roman" w:eastAsia="Times New Roman" w:hAnsi="Times New Roman" w:cs="Times New Roman"/>
          <w:sz w:val="20"/>
          <w:szCs w:val="20"/>
        </w:rPr>
        <w:t>way; expenses to date not a factor in most companies’ decisions – but this may be due to exemptions and grandfathering; many facilities can recover costs from customers</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Administratively Burdensome</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i/>
          <w:sz w:val="20"/>
          <w:szCs w:val="20"/>
        </w:rPr>
        <w:lastRenderedPageBreak/>
        <w:t xml:space="preserve">But </w:t>
      </w:r>
      <w:r>
        <w:rPr>
          <w:rFonts w:ascii="Times New Roman" w:eastAsia="Times New Roman" w:hAnsi="Times New Roman" w:cs="Times New Roman"/>
          <w:sz w:val="20"/>
          <w:szCs w:val="20"/>
        </w:rPr>
        <w:t>expertise helps; every strategy is burdensome</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Disfavor </w:t>
      </w:r>
      <w:r>
        <w:rPr>
          <w:rFonts w:ascii="Times New Roman" w:eastAsia="Times New Roman" w:hAnsi="Times New Roman" w:cs="Times New Roman"/>
          <w:sz w:val="20"/>
          <w:szCs w:val="20"/>
        </w:rPr>
        <w:t>innovation</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But </w:t>
      </w:r>
      <w:r>
        <w:rPr>
          <w:rFonts w:ascii="Times New Roman" w:eastAsia="Times New Roman" w:hAnsi="Times New Roman" w:cs="Times New Roman"/>
          <w:sz w:val="20"/>
          <w:szCs w:val="20"/>
        </w:rPr>
        <w:t>consider pollution control manufacturers, not just the regulated; “regulation as the mother of innovation”</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Emissions Trading</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Simplest form</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Regulators set an overall cap on allowable emissions from covered sources</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Regulators allocate emission</w:t>
      </w:r>
      <w:r>
        <w:rPr>
          <w:rFonts w:ascii="Times New Roman" w:eastAsia="Times New Roman" w:hAnsi="Times New Roman" w:cs="Times New Roman"/>
          <w:sz w:val="20"/>
          <w:szCs w:val="20"/>
        </w:rPr>
        <w:t>s credits/allowances to covered sources – each credit = amount of pollution (e.g., 1 credit = 1 ton CO2eq)</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Sources may:</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Emit same amount of pollution as they have credits</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Emit more pollution, and buy credits</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Emit less pollution, and sell credits</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Typical Me</w:t>
      </w:r>
      <w:r>
        <w:rPr>
          <w:rFonts w:ascii="Times New Roman" w:eastAsia="Times New Roman" w:hAnsi="Times New Roman" w:cs="Times New Roman"/>
          <w:sz w:val="20"/>
          <w:szCs w:val="20"/>
        </w:rPr>
        <w:t xml:space="preserve">chanics </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Regulators set a cap and divide allowable amount of pollution between covered entities or auction off all credits, or combo</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Facilities then track emissions during relevant period</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At end of period, facilities must turn in an amount of credits equal</w:t>
      </w:r>
      <w:r>
        <w:rPr>
          <w:rFonts w:ascii="Times New Roman" w:eastAsia="Times New Roman" w:hAnsi="Times New Roman" w:cs="Times New Roman"/>
          <w:sz w:val="20"/>
          <w:szCs w:val="20"/>
        </w:rPr>
        <w:t xml:space="preserve"> to their emissions – if credits &gt; emissions = banked credits or credits to sell, if emissions &gt; credits, must buy credits or pay a penalty</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Arguments in favor and Counterpoints</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Cost-effective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for some facilities, but not all</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Flexible </w:t>
      </w:r>
      <w:r>
        <w:rPr>
          <w:rFonts w:ascii="Times New Roman" w:eastAsia="Times New Roman" w:hAnsi="Times New Roman" w:cs="Times New Roman"/>
          <w:i/>
          <w:sz w:val="20"/>
          <w:szCs w:val="20"/>
        </w:rPr>
        <w:t xml:space="preserve">but </w:t>
      </w:r>
      <w:r>
        <w:rPr>
          <w:rFonts w:ascii="Times New Roman" w:eastAsia="Times New Roman" w:hAnsi="Times New Roman" w:cs="Times New Roman"/>
          <w:sz w:val="20"/>
          <w:szCs w:val="20"/>
        </w:rPr>
        <w:t>subject to gam</w:t>
      </w:r>
      <w:r>
        <w:rPr>
          <w:rFonts w:ascii="Times New Roman" w:eastAsia="Times New Roman" w:hAnsi="Times New Roman" w:cs="Times New Roman"/>
          <w:sz w:val="20"/>
          <w:szCs w:val="20"/>
        </w:rPr>
        <w:t>ing</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Administratively easier (money v. expertise to set emissions limits) </w:t>
      </w:r>
      <w:r>
        <w:rPr>
          <w:rFonts w:ascii="Times New Roman" w:eastAsia="Times New Roman" w:hAnsi="Times New Roman" w:cs="Times New Roman"/>
          <w:i/>
          <w:sz w:val="20"/>
          <w:szCs w:val="20"/>
        </w:rPr>
        <w:t xml:space="preserve">but </w:t>
      </w:r>
      <w:r>
        <w:rPr>
          <w:rFonts w:ascii="Times New Roman" w:eastAsia="Times New Roman" w:hAnsi="Times New Roman" w:cs="Times New Roman"/>
          <w:sz w:val="20"/>
          <w:szCs w:val="20"/>
        </w:rPr>
        <w:t>U.S. program cost estimates = 400 employees + 1.3 billion/5 years</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Spurs Innovation</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But </w:t>
      </w:r>
      <w:r>
        <w:rPr>
          <w:rFonts w:ascii="Times New Roman" w:eastAsia="Times New Roman" w:hAnsi="Times New Roman" w:cs="Times New Roman"/>
          <w:sz w:val="20"/>
          <w:szCs w:val="20"/>
        </w:rPr>
        <w:t>c</w:t>
      </w:r>
      <w:r>
        <w:rPr>
          <w:rFonts w:ascii="Times New Roman" w:eastAsia="Times New Roman" w:hAnsi="Times New Roman" w:cs="Times New Roman"/>
          <w:sz w:val="20"/>
          <w:szCs w:val="20"/>
        </w:rPr>
        <w:t>heap fix v. free lunch; not when unregulated entities included in trading; also depends on costs of credits or penalties: if costs of compliance are lower than cost of innovation, will simply encourage payment of penalties</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Absolute cap on emissions</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ove</w:t>
      </w:r>
      <w:r>
        <w:rPr>
          <w:rFonts w:ascii="Times New Roman" w:eastAsia="Times New Roman" w:hAnsi="Times New Roman" w:cs="Times New Roman"/>
          <w:sz w:val="20"/>
          <w:szCs w:val="20"/>
        </w:rPr>
        <w:t>rallocation problem; what if the cap does not achieve environmental goals?; caps may not be more effective than command-and-control; but they are more directive than taxes</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Design Elements </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Auctions v. free allowances</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Windfall concern – credits are marketab</w:t>
      </w:r>
      <w:r>
        <w:rPr>
          <w:rFonts w:ascii="Times New Roman" w:eastAsia="Times New Roman" w:hAnsi="Times New Roman" w:cs="Times New Roman"/>
          <w:sz w:val="20"/>
          <w:szCs w:val="20"/>
        </w:rPr>
        <w:t>le commodity</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Existing sources v. new entrants</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If no auction, how should regulators allocate credits? Rent seeking (i.e., lobbying); If based on historical emissions, is that sending the wrong signals?</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Loss of revenue stream?</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Not if taxing the trades.</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Covered sources: Specific categories v. broad participation</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Specific</w:t>
      </w:r>
    </w:p>
    <w:p w:rsidR="00FE188E" w:rsidRDefault="0004364F">
      <w:pPr>
        <w:numPr>
          <w:ilvl w:val="6"/>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Limited field = easier admin</w:t>
      </w:r>
    </w:p>
    <w:p w:rsidR="00FE188E" w:rsidRDefault="0004364F">
      <w:pPr>
        <w:numPr>
          <w:ilvl w:val="6"/>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May help technological incentives</w:t>
      </w:r>
    </w:p>
    <w:p w:rsidR="00FE188E" w:rsidRDefault="0004364F">
      <w:pPr>
        <w:numPr>
          <w:ilvl w:val="6"/>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But limited field = fewer credits = higher costs</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Broader</w:t>
      </w:r>
    </w:p>
    <w:p w:rsidR="00FE188E" w:rsidRDefault="0004364F">
      <w:pPr>
        <w:numPr>
          <w:ilvl w:val="6"/>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Cheaper credits</w:t>
      </w:r>
    </w:p>
    <w:p w:rsidR="00FE188E" w:rsidRDefault="0004364F">
      <w:pPr>
        <w:numPr>
          <w:ilvl w:val="6"/>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Global solution to global problem</w:t>
      </w:r>
    </w:p>
    <w:p w:rsidR="00FE188E" w:rsidRDefault="0004364F">
      <w:pPr>
        <w:numPr>
          <w:ilvl w:val="6"/>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But allows for un</w:t>
      </w:r>
      <w:r>
        <w:rPr>
          <w:rFonts w:ascii="Times New Roman" w:eastAsia="Times New Roman" w:hAnsi="Times New Roman" w:cs="Times New Roman"/>
          <w:sz w:val="20"/>
          <w:szCs w:val="20"/>
        </w:rPr>
        <w:t>related offsets for major emitters (e.g., coal plant may purchase credits from reforestation operation) = reduced innovation incentive?</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Covered pollutants: CO2 or all GHGs</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Comprehensive if cover all</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But different GWPs create opportunities for gaming</w:t>
      </w:r>
    </w:p>
    <w:p w:rsidR="00FE188E" w:rsidRDefault="0004364F">
      <w:pPr>
        <w:numPr>
          <w:ilvl w:val="6"/>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Also, </w:t>
      </w:r>
      <w:r>
        <w:rPr>
          <w:rFonts w:ascii="Times New Roman" w:eastAsia="Times New Roman" w:hAnsi="Times New Roman" w:cs="Times New Roman"/>
          <w:sz w:val="20"/>
          <w:szCs w:val="20"/>
        </w:rPr>
        <w:t>back to the low hanging fruit (destroy 1 ton of HFC to earn credit for 6,000 tons of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Require more tracking/monitoring/verifying of different pollutants and systems</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Floors/ceilings for cost of credits (aka safety valves or price collars)</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Varying prices</w:t>
      </w:r>
      <w:r>
        <w:rPr>
          <w:rFonts w:ascii="Times New Roman" w:eastAsia="Times New Roman" w:hAnsi="Times New Roman" w:cs="Times New Roman"/>
          <w:sz w:val="20"/>
          <w:szCs w:val="20"/>
        </w:rPr>
        <w:t xml:space="preserve"> = difficult to manage and plan for investments</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Price floor = minimum price so the market does not collapse</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Ceiling/safety valve = maximum price so not prohibitively expensive</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May effectively work as a tax, in that “market price” of credit could be much lower or higher, but regulated entities are paying fixed price</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Revenues</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Auction or taxes on the trades will generation billions of $ (if not hundreds of billions of $)</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Invest it </w:t>
      </w:r>
      <w:r>
        <w:rPr>
          <w:rFonts w:ascii="Times New Roman" w:eastAsia="Times New Roman" w:hAnsi="Times New Roman" w:cs="Times New Roman"/>
          <w:sz w:val="20"/>
          <w:szCs w:val="20"/>
        </w:rPr>
        <w:t>in clean energy technologies?</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Implement “cap and dividend”?</w:t>
      </w:r>
    </w:p>
    <w:p w:rsidR="00FE188E" w:rsidRDefault="0004364F">
      <w:pPr>
        <w:numPr>
          <w:ilvl w:val="6"/>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earnings collected go back to consumers/ electricity ratepayers/ etc., to pay for increased rates caused by emissions trading</w:t>
      </w:r>
    </w:p>
    <w:p w:rsidR="00FE188E" w:rsidRDefault="0004364F">
      <w:pPr>
        <w:numPr>
          <w:ilvl w:val="5"/>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Into the general fund?</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Carbon Taxes – tax on products or fuels that </w:t>
      </w:r>
      <w:r>
        <w:rPr>
          <w:rFonts w:ascii="Times New Roman" w:eastAsia="Times New Roman" w:hAnsi="Times New Roman" w:cs="Times New Roman"/>
          <w:sz w:val="20"/>
          <w:szCs w:val="20"/>
        </w:rPr>
        <w:t>are “carbon-intensive” or GHG-intensive</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Arguments in favor </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Administratively easy</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Generates revenue and promotes equitable result</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Avoids rent-seeking</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Avoids wrong market signals, e.g. free allowances based on historical emissions – ramp up historical emiss</w:t>
      </w:r>
      <w:r>
        <w:rPr>
          <w:rFonts w:ascii="Times New Roman" w:eastAsia="Times New Roman" w:hAnsi="Times New Roman" w:cs="Times New Roman"/>
          <w:sz w:val="20"/>
          <w:szCs w:val="20"/>
        </w:rPr>
        <w:t>ions, allowances for new entrants – use fossil fuels, facility closures require allowance remittance – don’t close</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Predictability </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Can get at all sectors/activity</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Arguments against</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Politics – a federal carbon tax in the U.S. seems unlikely, some people thi</w:t>
      </w:r>
      <w:r>
        <w:rPr>
          <w:rFonts w:ascii="Times New Roman" w:eastAsia="Times New Roman" w:hAnsi="Times New Roman" w:cs="Times New Roman"/>
          <w:sz w:val="20"/>
          <w:szCs w:val="20"/>
        </w:rPr>
        <w:t>nk the economic crisis may create an opportunity; no fixed cap – what if it just generates revenue but does not yield emissions reductions?</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Other challenging questions</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Upstream or downstream? E.g. oil – apply it to producers, refiners, importers? Apply it </w:t>
      </w:r>
      <w:r>
        <w:rPr>
          <w:rFonts w:ascii="Times New Roman" w:eastAsia="Times New Roman" w:hAnsi="Times New Roman" w:cs="Times New Roman"/>
          <w:sz w:val="20"/>
          <w:szCs w:val="20"/>
        </w:rPr>
        <w:t>at the pump?</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Taxes on what, if you regulate downstream? Gas and electricity? Beef and dairy?  Corn?  Food from outside region?</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Trade implications?</w:t>
      </w:r>
    </w:p>
    <w:p w:rsidR="00FE188E" w:rsidRDefault="0004364F">
      <w:pPr>
        <w:numPr>
          <w:ilvl w:val="4"/>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How high?</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Information-Based Approaches – data collection and reporting</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Investment and Technology </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Private and public sector investment is up, but dwarfed by historical fossil fuel subsidies</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Nonetheless, investment in renewables &amp; mitigation remains significant</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Subsidies – could elimination of subsidies for all energy sources work? </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Fossil fuels receive most subsidies globally – but established infrastructure, supply chains, technologies, etc., may provide a long-term competitive advantage</w:t>
      </w:r>
    </w:p>
    <w:p w:rsidR="00FE188E" w:rsidRDefault="0004364F">
      <w:pPr>
        <w:numPr>
          <w:ilvl w:val="0"/>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Mitigation at the Sector Level – global mitigation v. sector-by-sector approach?</w:t>
      </w:r>
    </w:p>
    <w:p w:rsidR="00FE188E" w:rsidRDefault="0004364F">
      <w:pPr>
        <w:numPr>
          <w:ilvl w:val="1"/>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Mitigation Meas</w:t>
      </w:r>
      <w:r>
        <w:rPr>
          <w:rFonts w:ascii="Times New Roman" w:eastAsia="Times New Roman" w:hAnsi="Times New Roman" w:cs="Times New Roman"/>
          <w:sz w:val="20"/>
          <w:szCs w:val="20"/>
        </w:rPr>
        <w:t>ures – how to mitigate from the following sectors</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Electricity, transportation, and industrial manufacturing – production efficiency, fuel switching, and reduced consumption </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Land use – land conservation, product switching, and reduced consumption</w:t>
      </w:r>
    </w:p>
    <w:p w:rsidR="00FE188E" w:rsidRDefault="0004364F">
      <w:pPr>
        <w:numPr>
          <w:ilvl w:val="1"/>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Stabiliza</w:t>
      </w:r>
      <w:r>
        <w:rPr>
          <w:rFonts w:ascii="Times New Roman" w:eastAsia="Times New Roman" w:hAnsi="Times New Roman" w:cs="Times New Roman"/>
          <w:sz w:val="20"/>
          <w:szCs w:val="20"/>
        </w:rPr>
        <w:t>tion Wedges: Mitigation One Step at a Time</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Smart wedges (e.g. renewable energy, efficient buildings, efficient vehicles, carbon capture) v. threat wedges (e.g. oil shale, tar sands, coal to liquids)</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Wedge – a strategy to reduce carbon emissions that grows </w:t>
      </w:r>
      <w:r>
        <w:rPr>
          <w:rFonts w:ascii="Times New Roman" w:eastAsia="Times New Roman" w:hAnsi="Times New Roman" w:cs="Times New Roman"/>
          <w:sz w:val="20"/>
          <w:szCs w:val="20"/>
        </w:rPr>
        <w:t>in 50 years from zero to 1.0 GtC/yr; Cumulatively, a wedge redirects the flow of 25 GtC in its first 50 years. This is 2.5 trillion dollars at $100/tC; A “solution” to the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problem should provide at least one wedge</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Each reduction in carbon in year 1 is </w:t>
      </w:r>
      <w:r>
        <w:rPr>
          <w:rFonts w:ascii="Times New Roman" w:eastAsia="Times New Roman" w:hAnsi="Times New Roman" w:cs="Times New Roman"/>
          <w:sz w:val="20"/>
          <w:szCs w:val="20"/>
        </w:rPr>
        <w:t>carried through to year 50, with additional annual reductions increasing over time</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15 wedge strategies in 4 categories – energy efficiency and conservation (4), renewable fuel adn electricity (4), forest and soil storage (2), nuclear fission (1), fuel swit</w:t>
      </w:r>
      <w:r>
        <w:rPr>
          <w:rFonts w:ascii="Times New Roman" w:eastAsia="Times New Roman" w:hAnsi="Times New Roman" w:cs="Times New Roman"/>
          <w:sz w:val="20"/>
          <w:szCs w:val="20"/>
        </w:rPr>
        <w:t>ching (1),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capture and storage (3)</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Caveats</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Some of the proposals have moderate to significant environmental or political downsides, e.g. nuclear waste storage not yet resolved in the U.S.</w:t>
      </w:r>
    </w:p>
    <w:p w:rsidR="00FE188E" w:rsidRDefault="0004364F">
      <w:pPr>
        <w:numPr>
          <w:ilvl w:val="3"/>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Actual emissions reductions subject to dispute, e.g. some studie</w:t>
      </w:r>
      <w:r>
        <w:rPr>
          <w:rFonts w:ascii="Times New Roman" w:eastAsia="Times New Roman" w:hAnsi="Times New Roman" w:cs="Times New Roman"/>
          <w:sz w:val="20"/>
          <w:szCs w:val="20"/>
        </w:rPr>
        <w:t>s suggest that life cycle emissions of natural gas production from shale are greater than coal over 20-year period; biofuels another area of controversy</w:t>
      </w:r>
    </w:p>
    <w:p w:rsidR="00FE188E" w:rsidRDefault="0004364F">
      <w:pPr>
        <w:numPr>
          <w:ilvl w:val="3"/>
          <w:numId w:val="9"/>
        </w:numPr>
        <w:rPr>
          <w:rFonts w:ascii="Calibri" w:eastAsia="Calibri" w:hAnsi="Calibri" w:cs="Calibri"/>
          <w:sz w:val="20"/>
          <w:szCs w:val="20"/>
        </w:rPr>
      </w:pPr>
      <w:r>
        <w:rPr>
          <w:rFonts w:ascii="Times New Roman" w:eastAsia="Times New Roman" w:hAnsi="Times New Roman" w:cs="Times New Roman"/>
          <w:sz w:val="20"/>
          <w:szCs w:val="20"/>
        </w:rPr>
        <w:t>If some strategies won’t work, then will need to increase wedges of those that will</w:t>
      </w:r>
    </w:p>
    <w:p w:rsidR="00FE188E" w:rsidRDefault="0004364F">
      <w:pPr>
        <w:numPr>
          <w:ilvl w:val="3"/>
          <w:numId w:val="9"/>
        </w:numPr>
        <w:rPr>
          <w:rFonts w:ascii="Calibri" w:eastAsia="Calibri" w:hAnsi="Calibri" w:cs="Calibri"/>
          <w:sz w:val="20"/>
          <w:szCs w:val="20"/>
        </w:rPr>
      </w:pPr>
      <w:r>
        <w:rPr>
          <w:rFonts w:ascii="Times New Roman" w:eastAsia="Times New Roman" w:hAnsi="Times New Roman" w:cs="Times New Roman"/>
          <w:sz w:val="20"/>
          <w:szCs w:val="20"/>
        </w:rPr>
        <w:t>How important is it</w:t>
      </w:r>
      <w:r>
        <w:rPr>
          <w:rFonts w:ascii="Times New Roman" w:eastAsia="Times New Roman" w:hAnsi="Times New Roman" w:cs="Times New Roman"/>
          <w:sz w:val="20"/>
          <w:szCs w:val="20"/>
        </w:rPr>
        <w:t xml:space="preserve"> to get the solutions right? E.g. if natural gas leaking offsets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benefits at the power plant, or lifecycle biofuel emissions &gt; petroleum emissions</w:t>
      </w:r>
    </w:p>
    <w:p w:rsidR="00FE188E" w:rsidRDefault="0004364F">
      <w:pPr>
        <w:numPr>
          <w:ilvl w:val="4"/>
          <w:numId w:val="9"/>
        </w:numPr>
        <w:rPr>
          <w:rFonts w:ascii="Calibri" w:eastAsia="Calibri" w:hAnsi="Calibri" w:cs="Calibri"/>
          <w:sz w:val="20"/>
          <w:szCs w:val="20"/>
        </w:rPr>
      </w:pPr>
      <w:r>
        <w:rPr>
          <w:rFonts w:ascii="Times New Roman" w:eastAsia="Times New Roman" w:hAnsi="Times New Roman" w:cs="Times New Roman"/>
          <w:sz w:val="20"/>
          <w:szCs w:val="20"/>
        </w:rPr>
        <w:t>What is the risk? – Incumbency effect (grandfathering), money wasted, money and effort not invested in ef</w:t>
      </w:r>
      <w:r>
        <w:rPr>
          <w:rFonts w:ascii="Times New Roman" w:eastAsia="Times New Roman" w:hAnsi="Times New Roman" w:cs="Times New Roman"/>
          <w:sz w:val="20"/>
          <w:szCs w:val="20"/>
        </w:rPr>
        <w:t>fective options, political fallout, need other wedges</w:t>
      </w:r>
    </w:p>
    <w:p w:rsidR="00FE188E" w:rsidRDefault="0004364F">
      <w:pPr>
        <w:numPr>
          <w:ilvl w:val="0"/>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Benefits and Costs of Climate Mitigation</w:t>
      </w:r>
    </w:p>
    <w:p w:rsidR="00FE188E" w:rsidRDefault="0004364F">
      <w:pPr>
        <w:numPr>
          <w:ilvl w:val="1"/>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General questions </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Will climate change result in net cost or economic benefit?</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If it will result in net costs, is it worthwhile to mitigate? If some mitigati</w:t>
      </w:r>
      <w:r>
        <w:rPr>
          <w:rFonts w:ascii="Times New Roman" w:eastAsia="Times New Roman" w:hAnsi="Times New Roman" w:cs="Times New Roman"/>
          <w:sz w:val="20"/>
          <w:szCs w:val="20"/>
        </w:rPr>
        <w:t>on is economically worthwhile, how much? Is it better to focus on building a wealthier society now, with the expectation that wealthier societies can better afford to mitigate and adapt?</w:t>
      </w:r>
    </w:p>
    <w:p w:rsidR="00FE188E" w:rsidRDefault="0004364F">
      <w:pPr>
        <w:numPr>
          <w:ilvl w:val="1"/>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Why is CBA Controversial?</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It often does not value uncertainties or no</w:t>
      </w:r>
      <w:r>
        <w:rPr>
          <w:rFonts w:ascii="Times New Roman" w:eastAsia="Times New Roman" w:hAnsi="Times New Roman" w:cs="Times New Roman"/>
          <w:sz w:val="20"/>
          <w:szCs w:val="20"/>
        </w:rPr>
        <w:t>n-marketed items</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Where it does, valuation is controversial, e.g. a person in a developed country is “worth” more than a person in a developing country</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Discounting human lives is controversial</w:t>
      </w:r>
    </w:p>
    <w:p w:rsidR="00FE188E" w:rsidRDefault="0004364F">
      <w:pPr>
        <w:numPr>
          <w:ilvl w:val="1"/>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CBA and Discounting – how to value, in current dollars, the cost of something in the future</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Determine future costs, considering inflation, interest, etc.  </w:t>
      </w:r>
    </w:p>
    <w:p w:rsidR="00FE188E" w:rsidRDefault="0004364F">
      <w:pPr>
        <w:numPr>
          <w:ilvl w:val="2"/>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Discount (reverse of compound interest) to current dollar value</w:t>
      </w:r>
    </w:p>
    <w:p w:rsidR="00FE188E" w:rsidRDefault="0004364F">
      <w:pPr>
        <w:numPr>
          <w:ilvl w:val="1"/>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Stern Review of Climate Economic</w:t>
      </w:r>
      <w:r>
        <w:rPr>
          <w:rFonts w:ascii="Times New Roman" w:eastAsia="Times New Roman" w:hAnsi="Times New Roman" w:cs="Times New Roman"/>
          <w:sz w:val="20"/>
          <w:szCs w:val="20"/>
        </w:rPr>
        <w:t xml:space="preserve">s   </w:t>
      </w:r>
    </w:p>
    <w:p w:rsidR="00FE188E" w:rsidRDefault="0004364F">
      <w:pPr>
        <w:numPr>
          <w:ilvl w:val="1"/>
          <w:numId w:val="9"/>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Social Cost of Carbon</w:t>
      </w:r>
    </w:p>
    <w:p w:rsidR="00FE188E" w:rsidRDefault="00FE188E">
      <w:pPr>
        <w:rPr>
          <w:rFonts w:ascii="Times New Roman" w:eastAsia="Times New Roman" w:hAnsi="Times New Roman" w:cs="Times New Roman"/>
          <w:sz w:val="20"/>
          <w:szCs w:val="20"/>
        </w:rPr>
      </w:pPr>
    </w:p>
    <w:p w:rsidR="00FE188E" w:rsidRDefault="0004364F">
      <w:pPr>
        <w:pStyle w:val="Heading2"/>
        <w:spacing w:before="0" w:after="0"/>
        <w:jc w:val="center"/>
        <w:rPr>
          <w:rFonts w:ascii="Times New Roman" w:eastAsia="Times New Roman" w:hAnsi="Times New Roman" w:cs="Times New Roman"/>
          <w:sz w:val="24"/>
          <w:szCs w:val="24"/>
        </w:rPr>
      </w:pPr>
      <w:bookmarkStart w:id="4" w:name="_t6y3pts57o0" w:colFirst="0" w:colLast="0"/>
      <w:bookmarkEnd w:id="4"/>
      <w:r>
        <w:rPr>
          <w:rFonts w:ascii="Times New Roman" w:eastAsia="Times New Roman" w:hAnsi="Times New Roman" w:cs="Times New Roman"/>
          <w:sz w:val="24"/>
          <w:szCs w:val="24"/>
        </w:rPr>
        <w:t>Responding to Climate Change: Adaptation</w:t>
      </w:r>
    </w:p>
    <w:p w:rsidR="00FE188E" w:rsidRDefault="0004364F">
      <w:pPr>
        <w:numPr>
          <w:ilvl w:val="0"/>
          <w:numId w:val="1"/>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Introduction</w:t>
      </w:r>
    </w:p>
    <w:p w:rsidR="00FE188E" w:rsidRDefault="0004364F">
      <w:pPr>
        <w:numPr>
          <w:ilvl w:val="0"/>
          <w:numId w:val="1"/>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Adaptation Strategies</w:t>
      </w:r>
    </w:p>
    <w:p w:rsidR="00FE188E" w:rsidRDefault="0004364F">
      <w:pPr>
        <w:numPr>
          <w:ilvl w:val="1"/>
          <w:numId w:val="1"/>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Adaptive Management</w:t>
      </w:r>
    </w:p>
    <w:p w:rsidR="00FE188E" w:rsidRDefault="0004364F">
      <w:pPr>
        <w:numPr>
          <w:ilvl w:val="1"/>
          <w:numId w:val="1"/>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Adaptive Infrastructure</w:t>
      </w:r>
    </w:p>
    <w:p w:rsidR="00FE188E" w:rsidRDefault="0004364F">
      <w:pPr>
        <w:numPr>
          <w:ilvl w:val="1"/>
          <w:numId w:val="1"/>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Response to Sea-level Rise: Defend or Retreat</w:t>
      </w:r>
    </w:p>
    <w:p w:rsidR="00FE188E" w:rsidRDefault="0004364F">
      <w:pPr>
        <w:numPr>
          <w:ilvl w:val="1"/>
          <w:numId w:val="1"/>
        </w:numPr>
        <w:rPr>
          <w:rFonts w:ascii="Times New Roman" w:eastAsia="Times New Roman" w:hAnsi="Times New Roman" w:cs="Times New Roman"/>
          <w:sz w:val="20"/>
          <w:szCs w:val="20"/>
        </w:rPr>
      </w:pPr>
      <w:r>
        <w:rPr>
          <w:rFonts w:ascii="Times New Roman" w:eastAsia="Times New Roman" w:hAnsi="Times New Roman" w:cs="Times New Roman"/>
          <w:sz w:val="20"/>
          <w:szCs w:val="20"/>
        </w:rPr>
        <w:t>Expanding Disaster Relief</w:t>
      </w:r>
    </w:p>
    <w:p w:rsidR="00FE188E" w:rsidRDefault="0004364F">
      <w:pPr>
        <w:numPr>
          <w:ilvl w:val="1"/>
          <w:numId w:val="1"/>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Adaptive Agriculture</w:t>
      </w:r>
    </w:p>
    <w:p w:rsidR="00FE188E" w:rsidRDefault="0004364F">
      <w:pPr>
        <w:numPr>
          <w:ilvl w:val="1"/>
          <w:numId w:val="1"/>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Adaptive Water Management</w:t>
      </w:r>
    </w:p>
    <w:p w:rsidR="00FE188E" w:rsidRDefault="0004364F">
      <w:pPr>
        <w:numPr>
          <w:ilvl w:val="1"/>
          <w:numId w:val="1"/>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Relocation of Climate Refugees</w:t>
      </w:r>
    </w:p>
    <w:p w:rsidR="00FE188E" w:rsidRDefault="0004364F">
      <w:pPr>
        <w:numPr>
          <w:ilvl w:val="1"/>
          <w:numId w:val="1"/>
        </w:numPr>
        <w:rPr>
          <w:rFonts w:ascii="Times New Roman" w:eastAsia="Times New Roman" w:hAnsi="Times New Roman" w:cs="Times New Roman"/>
          <w:sz w:val="20"/>
          <w:szCs w:val="20"/>
        </w:rPr>
      </w:pPr>
      <w:r>
        <w:rPr>
          <w:rFonts w:ascii="Times New Roman" w:eastAsia="Times New Roman" w:hAnsi="Times New Roman" w:cs="Times New Roman"/>
          <w:sz w:val="20"/>
          <w:szCs w:val="20"/>
        </w:rPr>
        <w:t>Enhancing Natural Resilience and Ecosystem Services</w:t>
      </w:r>
    </w:p>
    <w:p w:rsidR="00FE188E" w:rsidRDefault="0004364F">
      <w:pPr>
        <w:numPr>
          <w:ilvl w:val="1"/>
          <w:numId w:val="1"/>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Insurance as Adaptation</w:t>
      </w:r>
    </w:p>
    <w:p w:rsidR="00FE188E" w:rsidRDefault="00FE188E">
      <w:pPr>
        <w:rPr>
          <w:rFonts w:ascii="Times New Roman" w:eastAsia="Times New Roman" w:hAnsi="Times New Roman" w:cs="Times New Roman"/>
          <w:sz w:val="20"/>
          <w:szCs w:val="20"/>
        </w:rPr>
      </w:pPr>
    </w:p>
    <w:p w:rsidR="00FE188E" w:rsidRDefault="0004364F">
      <w:pPr>
        <w:pStyle w:val="Heading1"/>
        <w:spacing w:before="0" w:after="0"/>
        <w:jc w:val="center"/>
        <w:rPr>
          <w:rFonts w:ascii="Times New Roman" w:eastAsia="Times New Roman" w:hAnsi="Times New Roman" w:cs="Times New Roman"/>
          <w:sz w:val="24"/>
          <w:szCs w:val="24"/>
        </w:rPr>
      </w:pPr>
      <w:bookmarkStart w:id="5" w:name="_u54hcvyxwmgc" w:colFirst="0" w:colLast="0"/>
      <w:bookmarkEnd w:id="5"/>
      <w:r>
        <w:rPr>
          <w:rFonts w:ascii="Times New Roman" w:eastAsia="Times New Roman" w:hAnsi="Times New Roman" w:cs="Times New Roman"/>
          <w:sz w:val="24"/>
          <w:szCs w:val="24"/>
        </w:rPr>
        <w:t>THE INTERNATIONAL CLIMATE REGIME</w:t>
      </w:r>
    </w:p>
    <w:p w:rsidR="00FE188E" w:rsidRDefault="0004364F">
      <w:pPr>
        <w:pStyle w:val="Heading2"/>
        <w:spacing w:before="0" w:after="0"/>
        <w:jc w:val="center"/>
        <w:rPr>
          <w:rFonts w:ascii="Times New Roman" w:eastAsia="Times New Roman" w:hAnsi="Times New Roman" w:cs="Times New Roman"/>
          <w:sz w:val="24"/>
          <w:szCs w:val="24"/>
        </w:rPr>
      </w:pPr>
      <w:bookmarkStart w:id="6" w:name="_gode797920c3" w:colFirst="0" w:colLast="0"/>
      <w:bookmarkEnd w:id="6"/>
      <w:r>
        <w:rPr>
          <w:rFonts w:ascii="Times New Roman" w:eastAsia="Times New Roman" w:hAnsi="Times New Roman" w:cs="Times New Roman"/>
          <w:sz w:val="24"/>
          <w:szCs w:val="24"/>
        </w:rPr>
        <w:t xml:space="preserve">The International Response to Climate Change: The United Nations Framework Convention on </w:t>
      </w:r>
      <w:r>
        <w:rPr>
          <w:rFonts w:ascii="Times New Roman" w:eastAsia="Times New Roman" w:hAnsi="Times New Roman" w:cs="Times New Roman"/>
          <w:sz w:val="24"/>
          <w:szCs w:val="24"/>
        </w:rPr>
        <w:t>Climate Change</w:t>
      </w:r>
    </w:p>
    <w:p w:rsidR="00FE188E" w:rsidRDefault="0004364F">
      <w:pPr>
        <w:numPr>
          <w:ilvl w:val="0"/>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An Introduction to International Law </w:t>
      </w:r>
    </w:p>
    <w:p w:rsidR="00FE188E" w:rsidRDefault="0004364F">
      <w:pPr>
        <w:numPr>
          <w:ilvl w:val="1"/>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Underlying international lawmaking concepts (</w:t>
      </w:r>
      <w:r>
        <w:rPr>
          <w:rFonts w:ascii="Times New Roman" w:eastAsia="Times New Roman" w:hAnsi="Times New Roman" w:cs="Times New Roman"/>
          <w:i/>
          <w:sz w:val="20"/>
          <w:szCs w:val="20"/>
        </w:rPr>
        <w:t xml:space="preserve">but </w:t>
      </w:r>
      <w:r>
        <w:rPr>
          <w:rFonts w:ascii="Times New Roman" w:eastAsia="Times New Roman" w:hAnsi="Times New Roman" w:cs="Times New Roman"/>
          <w:sz w:val="20"/>
          <w:szCs w:val="20"/>
        </w:rPr>
        <w:t>subject to much debate) –</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State sovereignty – each state is a sovereign actor, and states will protect their sovereignty to the greatest extent when developing treaties</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Consent – must have evidence of consent to “bind” a state, whatever “binding” may mean, to an international oblig</w:t>
      </w:r>
      <w:r>
        <w:rPr>
          <w:rFonts w:ascii="Times New Roman" w:eastAsia="Times New Roman" w:hAnsi="Times New Roman" w:cs="Times New Roman"/>
          <w:sz w:val="20"/>
          <w:szCs w:val="20"/>
        </w:rPr>
        <w:t>ation</w:t>
      </w:r>
    </w:p>
    <w:p w:rsidR="00FE188E" w:rsidRDefault="0004364F">
      <w:pPr>
        <w:numPr>
          <w:ilvl w:val="1"/>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Sources of international law – </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International conventions (e.g. treaties)</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Vienna Convention [on the Law of Treaties]</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Treaty – international agreement concluded between states in written form and as governed by international law, whether in one or mor</w:t>
      </w:r>
      <w:r>
        <w:rPr>
          <w:rFonts w:ascii="Times New Roman" w:eastAsia="Times New Roman" w:hAnsi="Times New Roman" w:cs="Times New Roman"/>
          <w:sz w:val="20"/>
          <w:szCs w:val="20"/>
        </w:rPr>
        <w:t>e instruments and whatever particular designation; requires that (1) between states and (2) in written form</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Formed – </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Identification of needs and goals – science plays a big role, especially in climate context, therefore IPCC working groups are hugely infl</w:t>
      </w:r>
      <w:r>
        <w:rPr>
          <w:rFonts w:ascii="Times New Roman" w:eastAsia="Times New Roman" w:hAnsi="Times New Roman" w:cs="Times New Roman"/>
          <w:sz w:val="20"/>
          <w:szCs w:val="20"/>
        </w:rPr>
        <w:t>uential</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Negotiation</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Process </w:t>
      </w:r>
    </w:p>
    <w:p w:rsidR="00FE188E" w:rsidRDefault="0004364F">
      <w:pPr>
        <w:numPr>
          <w:ilvl w:val="6"/>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Working groups, committees, experts, symposia, etc.</w:t>
      </w:r>
    </w:p>
    <w:p w:rsidR="00FE188E" w:rsidRDefault="0004364F">
      <w:pPr>
        <w:numPr>
          <w:ilvl w:val="6"/>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Draft texts – many treaties have deadlines for when due</w:t>
      </w:r>
    </w:p>
    <w:p w:rsidR="00FE188E" w:rsidRDefault="0004364F">
      <w:pPr>
        <w:numPr>
          <w:ilvl w:val="6"/>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Draft convention – prepared by the parties or, if the negotiations are to modify existing treaty, by the Secretariat/Pr</w:t>
      </w:r>
      <w:r>
        <w:rPr>
          <w:rFonts w:ascii="Times New Roman" w:eastAsia="Times New Roman" w:hAnsi="Times New Roman" w:cs="Times New Roman"/>
          <w:sz w:val="20"/>
          <w:szCs w:val="20"/>
        </w:rPr>
        <w:t>esident/Chairperson</w:t>
      </w:r>
    </w:p>
    <w:p w:rsidR="00FE188E" w:rsidRDefault="0004364F">
      <w:pPr>
        <w:numPr>
          <w:ilvl w:val="6"/>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Conference of plenipotentiaries – can be formality or actual negotiation</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Result – “authentic test” – the final, authoritative version</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Adoption and authentication</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Adoption – participants’ agreement that the text is acceptable in principl</w:t>
      </w:r>
      <w:r>
        <w:rPr>
          <w:rFonts w:ascii="Times New Roman" w:eastAsia="Times New Roman" w:hAnsi="Times New Roman" w:cs="Times New Roman"/>
          <w:sz w:val="20"/>
          <w:szCs w:val="20"/>
        </w:rPr>
        <w:t>e – does not bind, does not require consensus, Vienna Convention says ⅔ majority vote is ok, means that holdouts cannot block adoption</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Authentication – each state’s identification of the treaty as the actual text and agreement to principle in terms </w:t>
      </w:r>
    </w:p>
    <w:p w:rsidR="00FE188E" w:rsidRDefault="0004364F">
      <w:pPr>
        <w:numPr>
          <w:ilvl w:val="6"/>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Usually through signature</w:t>
      </w:r>
    </w:p>
    <w:p w:rsidR="00FE188E" w:rsidRDefault="0004364F">
      <w:pPr>
        <w:numPr>
          <w:ilvl w:val="6"/>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Agreement to refrain from acts “which would defeat the object and purpose of the treaty” until State makes clear its intention to not become a treaty party</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Ratification and accession</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Ratification – any authoritative act whereby a </w:t>
      </w:r>
      <w:r>
        <w:rPr>
          <w:rFonts w:ascii="Times New Roman" w:eastAsia="Times New Roman" w:hAnsi="Times New Roman" w:cs="Times New Roman"/>
          <w:sz w:val="20"/>
          <w:szCs w:val="20"/>
        </w:rPr>
        <w:t>state declares itself bound by the treaty – usually through depositing instrument of ratification, applies to states that negotiated and signed the treaty</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Accession – state’s intent to be bound by the treaty</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International/domestic overlap – in most states,</w:t>
      </w:r>
      <w:r>
        <w:rPr>
          <w:rFonts w:ascii="Times New Roman" w:eastAsia="Times New Roman" w:hAnsi="Times New Roman" w:cs="Times New Roman"/>
          <w:sz w:val="20"/>
          <w:szCs w:val="20"/>
        </w:rPr>
        <w:t xml:space="preserve"> need domestic approval to ratify an international treaty</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Entry into force – treaty becomes effective for all ratifying States</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For each State, treaty enters into force when State ratifies, deposits instrument of ratification, and treaty as whole as entered</w:t>
      </w:r>
      <w:r>
        <w:rPr>
          <w:rFonts w:ascii="Times New Roman" w:eastAsia="Times New Roman" w:hAnsi="Times New Roman" w:cs="Times New Roman"/>
          <w:sz w:val="20"/>
          <w:szCs w:val="20"/>
        </w:rPr>
        <w:t xml:space="preserve"> into force</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Treaty enters into force usually when # of specified Parties have ratified (based on whatever the treaty says)</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renunciation and withdrawal </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If state has signed a treaty, authenticated it, it has the duty to not defeat its purpose and object (e.g. not to renounce/repudiate)</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Withdrawal – applies where state is a party to a treaty – process usually spelled out in treaty, terms often similar to co</w:t>
      </w:r>
      <w:r>
        <w:rPr>
          <w:rFonts w:ascii="Times New Roman" w:eastAsia="Times New Roman" w:hAnsi="Times New Roman" w:cs="Times New Roman"/>
          <w:sz w:val="20"/>
          <w:szCs w:val="20"/>
        </w:rPr>
        <w:t>ntract termination (e.g. breach, impossibility, etc.)</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International custom – general practice accepted as law</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Customary law – customary practice of States, done under belief that it is required by law – must define a rule of law, and show that States behav</w:t>
      </w:r>
      <w:r>
        <w:rPr>
          <w:rFonts w:ascii="Times New Roman" w:eastAsia="Times New Roman" w:hAnsi="Times New Roman" w:cs="Times New Roman"/>
          <w:sz w:val="20"/>
          <w:szCs w:val="20"/>
        </w:rPr>
        <w:t>e in way that demonstrates acceptance as rule of law</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Two elements – (1) State practice – states generally follow a rule in practice and (2) </w:t>
      </w:r>
      <w:r>
        <w:rPr>
          <w:rFonts w:ascii="Times New Roman" w:eastAsia="Times New Roman" w:hAnsi="Times New Roman" w:cs="Times New Roman"/>
          <w:i/>
          <w:sz w:val="20"/>
          <w:szCs w:val="20"/>
        </w:rPr>
        <w:t xml:space="preserve">opinio juris – </w:t>
      </w:r>
      <w:r>
        <w:rPr>
          <w:rFonts w:ascii="Times New Roman" w:eastAsia="Times New Roman" w:hAnsi="Times New Roman" w:cs="Times New Roman"/>
          <w:sz w:val="20"/>
          <w:szCs w:val="20"/>
        </w:rPr>
        <w:t>states act in accordance with the rule from a sense of legal obligation</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Once custom is established, i</w:t>
      </w:r>
      <w:r>
        <w:rPr>
          <w:rFonts w:ascii="Times New Roman" w:eastAsia="Times New Roman" w:hAnsi="Times New Roman" w:cs="Times New Roman"/>
          <w:sz w:val="20"/>
          <w:szCs w:val="20"/>
        </w:rPr>
        <w:t>t becomes binding on all state, whether or not they follow the practice, except where persistent objection</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General principles – principles of law accepted by the majority of the world’s legal systems to fill in gaps</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Can be quite controversial, especially w</w:t>
      </w:r>
      <w:r>
        <w:rPr>
          <w:rFonts w:ascii="Times New Roman" w:eastAsia="Times New Roman" w:hAnsi="Times New Roman" w:cs="Times New Roman"/>
          <w:sz w:val="20"/>
          <w:szCs w:val="20"/>
        </w:rPr>
        <w:t>hen countries do not accept that a general principle exists</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Can become custom (which is why States will object or include limiting language)</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Most important in climate context </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State sovereignty – right to exclude, exercise jurisdiction, enforce laws, etc.,</w:t>
      </w:r>
      <w:r>
        <w:rPr>
          <w:rFonts w:ascii="Times New Roman" w:eastAsia="Times New Roman" w:hAnsi="Times New Roman" w:cs="Times New Roman"/>
          <w:sz w:val="20"/>
          <w:szCs w:val="20"/>
        </w:rPr>
        <w:t xml:space="preserve"> including right to consent to treaties</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Limits on state sovereignty (state responsibility) – territorial extent (land, sea, seabed, airspace to a limit), common concern of humankind – idea that some aspects of the environment, even those within State terri</w:t>
      </w:r>
      <w:r>
        <w:rPr>
          <w:rFonts w:ascii="Times New Roman" w:eastAsia="Times New Roman" w:hAnsi="Times New Roman" w:cs="Times New Roman"/>
          <w:sz w:val="20"/>
          <w:szCs w:val="20"/>
        </w:rPr>
        <w:t>tories, require international cooperation to manage and protect, duty to cooperate, obligation to not harm the sovereign interests of other States</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UNFCCC Preamble – sovereignty v. obligation not to cause harm</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Common but differentiated responsibilities – al</w:t>
      </w:r>
      <w:r>
        <w:rPr>
          <w:rFonts w:ascii="Times New Roman" w:eastAsia="Times New Roman" w:hAnsi="Times New Roman" w:cs="Times New Roman"/>
          <w:sz w:val="20"/>
          <w:szCs w:val="20"/>
        </w:rPr>
        <w:t xml:space="preserve">l States have responsibilities to protect the environment, but different social, economic, and ecological situations mean that countries will shoulder different responsibilities; rationales – </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Developed States caused more of the harm</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Developed States have </w:t>
      </w:r>
      <w:r>
        <w:rPr>
          <w:rFonts w:ascii="Times New Roman" w:eastAsia="Times New Roman" w:hAnsi="Times New Roman" w:cs="Times New Roman"/>
          <w:sz w:val="20"/>
          <w:szCs w:val="20"/>
        </w:rPr>
        <w:t>greater capacity to respond</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Risks created by this principle?</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Equity/intergenerational equity – fairness and environmental justice</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How should it play out in terms of emissions allocations? Per capita?</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How should we deal with future generations in something </w:t>
      </w:r>
      <w:r>
        <w:rPr>
          <w:rFonts w:ascii="Times New Roman" w:eastAsia="Times New Roman" w:hAnsi="Times New Roman" w:cs="Times New Roman"/>
          <w:sz w:val="20"/>
          <w:szCs w:val="20"/>
        </w:rPr>
        <w:t>like a climate treaty?</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Precautionary principle – “In order to protect the environment, the precautionary approach shall be widely applied by States according to their capabilities.  Where there are threats of serious irreversible damage, lack of scientific</w:t>
      </w:r>
      <w:r>
        <w:rPr>
          <w:rFonts w:ascii="Times New Roman" w:eastAsia="Times New Roman" w:hAnsi="Times New Roman" w:cs="Times New Roman"/>
          <w:sz w:val="20"/>
          <w:szCs w:val="20"/>
        </w:rPr>
        <w:t xml:space="preserve"> certainty shall not be used as a reason for postponing cost-effective measures to prevent environmental degradation.”  </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Judicial decisions and teaching of scholars, as subsidiary means</w:t>
      </w:r>
    </w:p>
    <w:p w:rsidR="00FE188E" w:rsidRDefault="0004364F">
      <w:pPr>
        <w:numPr>
          <w:ilvl w:val="0"/>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Global Politics of Climate Change</w:t>
      </w:r>
    </w:p>
    <w:p w:rsidR="00FE188E" w:rsidRDefault="0004364F">
      <w:pPr>
        <w:numPr>
          <w:ilvl w:val="1"/>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Global Divides in Climate Politi</w:t>
      </w:r>
      <w:r>
        <w:rPr>
          <w:rFonts w:ascii="Times New Roman" w:eastAsia="Times New Roman" w:hAnsi="Times New Roman" w:cs="Times New Roman"/>
          <w:sz w:val="20"/>
          <w:szCs w:val="20"/>
        </w:rPr>
        <w:t>cs</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North-South Split</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Divisions within the G-77 (developing countries) – including small island states (AOSIS), low elevation states, oil producing nations (OPEC), heavily forested countries (e.g. Brazil), emerging industrial economies (e.g. China and India), least developed co</w:t>
      </w:r>
      <w:r>
        <w:rPr>
          <w:rFonts w:ascii="Times New Roman" w:eastAsia="Times New Roman" w:hAnsi="Times New Roman" w:cs="Times New Roman"/>
          <w:sz w:val="20"/>
          <w:szCs w:val="20"/>
        </w:rPr>
        <w:t>untries (e.g. in Africa)</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Developed v. developing – historical emissions v. current and future emissions? Industrial emissions v. land use emissions? Wealth/development v. desire to develop? Cause of the harm v. will suffer much of the harm?</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Wants</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AOSIS (sm</w:t>
      </w:r>
      <w:r>
        <w:rPr>
          <w:rFonts w:ascii="Times New Roman" w:eastAsia="Times New Roman" w:hAnsi="Times New Roman" w:cs="Times New Roman"/>
          <w:sz w:val="20"/>
          <w:szCs w:val="20"/>
        </w:rPr>
        <w:t>all island nations) – no GHG reductions and money for adaptation</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OPEC (oil-producing nations) – no reductions and money if lose oil production</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China – reductions only if does not affect growth – developed countries go first</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India – same as China ^</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Brazil and other heavily forested countries – reductions from industrial sources, not forests; but if from reduced deforestation want money</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Africa/least developed countries – want money and development assistance</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Persistent EU-US Division</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EU – wants em</w:t>
      </w:r>
      <w:r>
        <w:rPr>
          <w:rFonts w:ascii="Times New Roman" w:eastAsia="Times New Roman" w:hAnsi="Times New Roman" w:cs="Times New Roman"/>
          <w:sz w:val="20"/>
          <w:szCs w:val="20"/>
        </w:rPr>
        <w:t>issions reductions but wants to achieve those reductions as a region not on country-by-country or global basis</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US – oppose emissions reductions, especially if developing countries like China do not have obligations; initially opposed EU regional approach, </w:t>
      </w:r>
      <w:r>
        <w:rPr>
          <w:rFonts w:ascii="Times New Roman" w:eastAsia="Times New Roman" w:hAnsi="Times New Roman" w:cs="Times New Roman"/>
          <w:sz w:val="20"/>
          <w:szCs w:val="20"/>
        </w:rPr>
        <w:t>but then embraced global approach</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Special Situation of Countries in Economic Transition – countries formerly part of the Soviet Union, when USSR collapsed so did their economies, were industrialize but have damaged economies, have reduced emissions because</w:t>
      </w:r>
      <w:r>
        <w:rPr>
          <w:rFonts w:ascii="Times New Roman" w:eastAsia="Times New Roman" w:hAnsi="Times New Roman" w:cs="Times New Roman"/>
          <w:sz w:val="20"/>
          <w:szCs w:val="20"/>
        </w:rPr>
        <w:t xml:space="preserve"> of collapse, don’t have any money</w:t>
      </w:r>
    </w:p>
    <w:p w:rsidR="00FE188E" w:rsidRDefault="0004364F">
      <w:pPr>
        <w:numPr>
          <w:ilvl w:val="0"/>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Negotiations of the UN Framework Convention</w:t>
      </w:r>
    </w:p>
    <w:p w:rsidR="00FE188E" w:rsidRDefault="0004364F">
      <w:pPr>
        <w:numPr>
          <w:ilvl w:val="1"/>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Early Years: Building Support for an International Convention on Climate Change</w:t>
      </w:r>
    </w:p>
    <w:p w:rsidR="00FE188E" w:rsidRDefault="0004364F">
      <w:pPr>
        <w:numPr>
          <w:ilvl w:val="1"/>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Negotiations of the UNFCCC</w:t>
      </w:r>
    </w:p>
    <w:p w:rsidR="00FE188E" w:rsidRDefault="0004364F">
      <w:pPr>
        <w:numPr>
          <w:ilvl w:val="0"/>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United Nations Framework Convention on Climate Change</w:t>
      </w:r>
    </w:p>
    <w:p w:rsidR="00FE188E" w:rsidRDefault="0004364F">
      <w:pPr>
        <w:numPr>
          <w:ilvl w:val="1"/>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Over</w:t>
      </w:r>
      <w:r>
        <w:rPr>
          <w:rFonts w:ascii="Times New Roman" w:eastAsia="Times New Roman" w:hAnsi="Times New Roman" w:cs="Times New Roman"/>
          <w:sz w:val="20"/>
          <w:szCs w:val="20"/>
        </w:rPr>
        <w:t xml:space="preserve">view </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Preamble – not binding, guidance regarding negotiating history, purpose, and general approach, key aspects: Common concern, state sovereignty (rights and responsibility), right to (sustainable) development, and common but differentiated responsibilit</w:t>
      </w:r>
      <w:r>
        <w:rPr>
          <w:rFonts w:ascii="Times New Roman" w:eastAsia="Times New Roman" w:hAnsi="Times New Roman" w:cs="Times New Roman"/>
          <w:sz w:val="20"/>
          <w:szCs w:val="20"/>
        </w:rPr>
        <w:t>ies</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1 Definitions </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Emissions – release of GHGs and/or precursors into atmosphere over specified area/time </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GHGs – not just CO</w:t>
      </w:r>
      <w:r>
        <w:rPr>
          <w:rFonts w:ascii="Times New Roman" w:eastAsia="Times New Roman" w:hAnsi="Times New Roman" w:cs="Times New Roman"/>
          <w:sz w:val="20"/>
          <w:szCs w:val="20"/>
          <w:vertAlign w:val="subscript"/>
        </w:rPr>
        <w:t>2</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Regional economic integration organization – European community</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Reservoir – component of climate system where GHGs are store</w:t>
      </w:r>
      <w:r>
        <w:rPr>
          <w:rFonts w:ascii="Times New Roman" w:eastAsia="Times New Roman" w:hAnsi="Times New Roman" w:cs="Times New Roman"/>
          <w:sz w:val="20"/>
          <w:szCs w:val="20"/>
        </w:rPr>
        <w:t>d</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Sink – process, activity, or mechanism which removes GHGs from atmosphere</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Source – any process or activity which releases GHGs into atmosphere</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2 Objective </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3 Principles </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4 Commitments </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5, 6 Research/observations, education </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7, 8, 9, 10 Structural organization </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11 Financial mechanism </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12 Information disclosure/reporting </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13, 14 Dispute resolution </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15–26 Treaty-making procedures/framework protocol </w:t>
      </w:r>
    </w:p>
    <w:p w:rsidR="00FE188E" w:rsidRDefault="0004364F">
      <w:pPr>
        <w:numPr>
          <w:ilvl w:val="1"/>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UNFCCC Objective</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UNFCCC, Article 2: Objective – “</w:t>
      </w:r>
      <w:r>
        <w:rPr>
          <w:rFonts w:ascii="Times New Roman" w:eastAsia="Times New Roman" w:hAnsi="Times New Roman" w:cs="Times New Roman"/>
          <w:i/>
          <w:sz w:val="20"/>
          <w:szCs w:val="20"/>
        </w:rPr>
        <w:t>St</w:t>
      </w:r>
      <w:r>
        <w:rPr>
          <w:rFonts w:ascii="Times New Roman" w:eastAsia="Times New Roman" w:hAnsi="Times New Roman" w:cs="Times New Roman"/>
          <w:i/>
          <w:sz w:val="20"/>
          <w:szCs w:val="20"/>
        </w:rPr>
        <w:t xml:space="preserve">abilization of GHG concentrations </w:t>
      </w:r>
      <w:r>
        <w:rPr>
          <w:rFonts w:ascii="Times New Roman" w:eastAsia="Times New Roman" w:hAnsi="Times New Roman" w:cs="Times New Roman"/>
          <w:sz w:val="20"/>
          <w:szCs w:val="20"/>
        </w:rPr>
        <w:t xml:space="preserve">in the atmosphere at a level that would </w:t>
      </w:r>
      <w:r>
        <w:rPr>
          <w:rFonts w:ascii="Times New Roman" w:eastAsia="Times New Roman" w:hAnsi="Times New Roman" w:cs="Times New Roman"/>
          <w:i/>
          <w:sz w:val="20"/>
          <w:szCs w:val="20"/>
        </w:rPr>
        <w:t xml:space="preserve">prevent dangerous anthropogenic interference </w:t>
      </w:r>
      <w:r>
        <w:rPr>
          <w:rFonts w:ascii="Times New Roman" w:eastAsia="Times New Roman" w:hAnsi="Times New Roman" w:cs="Times New Roman"/>
          <w:sz w:val="20"/>
          <w:szCs w:val="20"/>
        </w:rPr>
        <w:t xml:space="preserve">with the climate system within a </w:t>
      </w:r>
      <w:r>
        <w:rPr>
          <w:rFonts w:ascii="Times New Roman" w:eastAsia="Times New Roman" w:hAnsi="Times New Roman" w:cs="Times New Roman"/>
          <w:i/>
          <w:sz w:val="20"/>
          <w:szCs w:val="20"/>
        </w:rPr>
        <w:t xml:space="preserve">time-frame </w:t>
      </w:r>
      <w:r>
        <w:rPr>
          <w:rFonts w:ascii="Times New Roman" w:eastAsia="Times New Roman" w:hAnsi="Times New Roman" w:cs="Times New Roman"/>
          <w:sz w:val="20"/>
          <w:szCs w:val="20"/>
        </w:rPr>
        <w:t>sufficient to allow ecosystems to adapt naturally to climate change, to ensure that food prod</w:t>
      </w:r>
      <w:r>
        <w:rPr>
          <w:rFonts w:ascii="Times New Roman" w:eastAsia="Times New Roman" w:hAnsi="Times New Roman" w:cs="Times New Roman"/>
          <w:sz w:val="20"/>
          <w:szCs w:val="20"/>
        </w:rPr>
        <w:t>uction is not threatened and to enable economic development to proceed in a sustainable manner”</w:t>
      </w:r>
    </w:p>
    <w:p w:rsidR="00FE188E" w:rsidRDefault="0004364F">
      <w:pPr>
        <w:numPr>
          <w:ilvl w:val="1"/>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Commitments</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General Commitments of All Parties</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UNFCCC, Article 4: Commitments</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Art. 4.1, All parties shall – </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 Develop national inventories of anthropogenic emissions by sources and removals by sinks of GHGs</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(b) Develop programs containing measures to mitigate climate change and to address adaptation</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(c) Promote and participate in technology transfer</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(d) Promot</w:t>
      </w:r>
      <w:r>
        <w:rPr>
          <w:rFonts w:ascii="Times New Roman" w:eastAsia="Times New Roman" w:hAnsi="Times New Roman" w:cs="Times New Roman"/>
          <w:sz w:val="20"/>
          <w:szCs w:val="20"/>
        </w:rPr>
        <w:t>e sustainable management of sinks and reservoirs</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(j) Communicate to the COP information related to implementation, in accordance with Art. 12</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UNFCCC, Article 12: Communication of Information Related to the Implementation </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12.1 requirements for Art. 4.1 </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r>
        <w:rPr>
          <w:rFonts w:ascii="Times New Roman" w:eastAsia="Times New Roman" w:hAnsi="Times New Roman" w:cs="Times New Roman"/>
          <w:sz w:val="20"/>
          <w:szCs w:val="20"/>
        </w:rPr>
        <w:t xml:space="preserve">) A </w:t>
      </w:r>
      <w:r>
        <w:rPr>
          <w:rFonts w:ascii="Times New Roman" w:eastAsia="Times New Roman" w:hAnsi="Times New Roman" w:cs="Times New Roman"/>
          <w:sz w:val="20"/>
          <w:szCs w:val="20"/>
          <w:u w:val="single"/>
        </w:rPr>
        <w:t xml:space="preserve">national inventory </w:t>
      </w:r>
      <w:r>
        <w:rPr>
          <w:rFonts w:ascii="Times New Roman" w:eastAsia="Times New Roman" w:hAnsi="Times New Roman" w:cs="Times New Roman"/>
          <w:sz w:val="20"/>
          <w:szCs w:val="20"/>
        </w:rPr>
        <w:t xml:space="preserve">of anthropogenic emissions by sources and removals by sinks of all greenhouse gases  </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 A </w:t>
      </w:r>
      <w:r>
        <w:rPr>
          <w:rFonts w:ascii="Times New Roman" w:eastAsia="Times New Roman" w:hAnsi="Times New Roman" w:cs="Times New Roman"/>
          <w:sz w:val="20"/>
          <w:szCs w:val="20"/>
          <w:u w:val="single"/>
        </w:rPr>
        <w:t>general description of steps taken or envisaged by the Party to implement the Convention</w:t>
      </w:r>
      <w:r>
        <w:rPr>
          <w:rFonts w:ascii="Times New Roman" w:eastAsia="Times New Roman" w:hAnsi="Times New Roman" w:cs="Times New Roman"/>
          <w:sz w:val="20"/>
          <w:szCs w:val="20"/>
        </w:rPr>
        <w:t xml:space="preserve">; and </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(c) Any other information that the Party consi</w:t>
      </w:r>
      <w:r>
        <w:rPr>
          <w:rFonts w:ascii="Times New Roman" w:eastAsia="Times New Roman" w:hAnsi="Times New Roman" w:cs="Times New Roman"/>
          <w:sz w:val="20"/>
          <w:szCs w:val="20"/>
        </w:rPr>
        <w:t xml:space="preserve">ders relevant to the achievement of the objective of the Convention and suitable for inclusion in its communication, including, if feasible, material relevant for calculations of global emission trends. </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Developed Country Commitments: Policies and Measures</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UNFCCC, Article 4: Commitments</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4.2, The developed country parties and other parties included in Annex I commit themselves specifically as provided for in the following</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 Policies and Measures (PAMs); developed countries are taking the lead taking i</w:t>
      </w:r>
      <w:r>
        <w:rPr>
          <w:rFonts w:ascii="Times New Roman" w:eastAsia="Times New Roman" w:hAnsi="Times New Roman" w:cs="Times New Roman"/>
          <w:sz w:val="20"/>
          <w:szCs w:val="20"/>
        </w:rPr>
        <w:t>nto account the differences in these parties’ starting points; may implement PAMs jointly</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(b) Shall communicate PAMs with aim of returning individually or jointly to their 1990 levels for anthropogenic emissions of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and other GHGs not controlled by the </w:t>
      </w:r>
      <w:r>
        <w:rPr>
          <w:rFonts w:ascii="Times New Roman" w:eastAsia="Times New Roman" w:hAnsi="Times New Roman" w:cs="Times New Roman"/>
          <w:sz w:val="20"/>
          <w:szCs w:val="20"/>
        </w:rPr>
        <w:t>Montreal Protocol</w:t>
      </w:r>
    </w:p>
    <w:p w:rsidR="00FE188E" w:rsidRDefault="0004364F">
      <w:pPr>
        <w:numPr>
          <w:ilvl w:val="5"/>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(d) A second review of (a) and (b) ^ shall be reviewed at regular intervals determined by COP until the objective of the parties is met</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4.3, Developed parties shall provide new and additional financial resources to meet the agreed fu</w:t>
      </w:r>
      <w:r>
        <w:rPr>
          <w:rFonts w:ascii="Times New Roman" w:eastAsia="Times New Roman" w:hAnsi="Times New Roman" w:cs="Times New Roman"/>
          <w:sz w:val="20"/>
          <w:szCs w:val="20"/>
        </w:rPr>
        <w:t>ll costs incurred by developing country parties in complying with their obligations under 12.1 – to meet agreed full incremental costs of implementing measures</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4.4 – developed country parties shall assist developing country parties in meeting costs of</w:t>
      </w:r>
      <w:r>
        <w:rPr>
          <w:rFonts w:ascii="Times New Roman" w:eastAsia="Times New Roman" w:hAnsi="Times New Roman" w:cs="Times New Roman"/>
          <w:sz w:val="20"/>
          <w:szCs w:val="20"/>
        </w:rPr>
        <w:t xml:space="preserve"> adaptation</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4.5 – developed country parties shall take all practicable steps to promote, facilitate and finance as appropriate, the transfer of, or access to, environmentally sound technologies and know-how to other parties</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UNFCCC, Article 12: Communi</w:t>
      </w:r>
      <w:r>
        <w:rPr>
          <w:rFonts w:ascii="Times New Roman" w:eastAsia="Times New Roman" w:hAnsi="Times New Roman" w:cs="Times New Roman"/>
          <w:sz w:val="20"/>
          <w:szCs w:val="20"/>
        </w:rPr>
        <w:t xml:space="preserve">cation of Information Related to the Implementation  </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Developing Country Commitments: Financial Assistance and Technology Transfer</w:t>
      </w:r>
    </w:p>
    <w:p w:rsidR="00FE188E" w:rsidRDefault="0004364F">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UNFCCC, Article 4: Commitments</w:t>
      </w:r>
    </w:p>
    <w:p w:rsidR="00FE188E" w:rsidRDefault="0004364F">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4.7 – The extent to which developing country parties will effectively implement their com</w:t>
      </w:r>
      <w:r>
        <w:rPr>
          <w:rFonts w:ascii="Times New Roman" w:eastAsia="Times New Roman" w:hAnsi="Times New Roman" w:cs="Times New Roman"/>
          <w:sz w:val="20"/>
          <w:szCs w:val="20"/>
        </w:rPr>
        <w:t>mitments under the Convention will depend on the effective implementation by developed country parties of their commitments</w:t>
      </w:r>
    </w:p>
    <w:p w:rsidR="00FE188E" w:rsidRDefault="0004364F">
      <w:pPr>
        <w:numPr>
          <w:ilvl w:val="1"/>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Institutional Architecture</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Delegates representing the parties</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Periodically examine obligations in light of the objective</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Promote and</w:t>
      </w:r>
      <w:r>
        <w:rPr>
          <w:rFonts w:ascii="Times New Roman" w:eastAsia="Times New Roman" w:hAnsi="Times New Roman" w:cs="Times New Roman"/>
          <w:sz w:val="20"/>
          <w:szCs w:val="20"/>
        </w:rPr>
        <w:t xml:space="preserve"> exchange information, etc.</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First meeting not to be later than 1 year after date of entry into force and every year thereafter</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Secretariat (Art. 8) – functions include arrange sessions of the COP, compile and transmit reports, facilitate assistance, coordi</w:t>
      </w:r>
      <w:r>
        <w:rPr>
          <w:rFonts w:ascii="Times New Roman" w:eastAsia="Times New Roman" w:hAnsi="Times New Roman" w:cs="Times New Roman"/>
          <w:sz w:val="20"/>
          <w:szCs w:val="20"/>
        </w:rPr>
        <w:t>nate with other secretariats; administrative entity (very important)</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Subsidiary bodies – scientific and technological, implementation</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Amendments and protocols (Art. 15 and 17) – any party may propose an amendment, adopted at ordinary session of COP, consen</w:t>
      </w:r>
      <w:r>
        <w:rPr>
          <w:rFonts w:ascii="Times New Roman" w:eastAsia="Times New Roman" w:hAnsi="Times New Roman" w:cs="Times New Roman"/>
          <w:sz w:val="20"/>
          <w:szCs w:val="20"/>
        </w:rPr>
        <w:t>sus preferred but at least ¾ of parties present and voting; only parties to the Convention may be parties to a protocol, decisions under any protocol shall be taken only by the parties to the protocol concerned</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Entry into Force and Withdrawal – entry is 90</w:t>
      </w:r>
      <w:r>
        <w:rPr>
          <w:rFonts w:ascii="Times New Roman" w:eastAsia="Times New Roman" w:hAnsi="Times New Roman" w:cs="Times New Roman"/>
          <w:sz w:val="20"/>
          <w:szCs w:val="20"/>
        </w:rPr>
        <w:t>th day after date of deposit of 50th instrument of ratification/accession; withdrawal – any time after three years after entry into force, written notice, takes effect one year from date of receipt of notice (same as the KP)</w:t>
      </w:r>
    </w:p>
    <w:p w:rsidR="00FE188E" w:rsidRDefault="0004364F">
      <w:pPr>
        <w:numPr>
          <w:ilvl w:val="0"/>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Evaluating the UNFCCC: The Fram</w:t>
      </w:r>
      <w:r>
        <w:rPr>
          <w:rFonts w:ascii="Times New Roman" w:eastAsia="Times New Roman" w:hAnsi="Times New Roman" w:cs="Times New Roman"/>
          <w:sz w:val="20"/>
          <w:szCs w:val="20"/>
        </w:rPr>
        <w:t>ework-Protocol Model</w:t>
      </w:r>
    </w:p>
    <w:p w:rsidR="00FE188E" w:rsidRDefault="0004364F">
      <w:pPr>
        <w:numPr>
          <w:ilvl w:val="1"/>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Importance of the UNFCCC?</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Structure – negotiating framework, GHGs/basket of gases, definitions</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Objective</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Different commitments based on the parties</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Funding Mechanisms</w:t>
      </w:r>
    </w:p>
    <w:p w:rsidR="00FE188E" w:rsidRDefault="0004364F">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Information dissemination</w:t>
      </w:r>
    </w:p>
    <w:p w:rsidR="00FE188E" w:rsidRDefault="00FE188E">
      <w:pPr>
        <w:rPr>
          <w:rFonts w:ascii="Times New Roman" w:eastAsia="Times New Roman" w:hAnsi="Times New Roman" w:cs="Times New Roman"/>
          <w:sz w:val="20"/>
          <w:szCs w:val="20"/>
        </w:rPr>
      </w:pPr>
    </w:p>
    <w:p w:rsidR="00FE188E" w:rsidRDefault="0004364F">
      <w:pPr>
        <w:pStyle w:val="Heading2"/>
        <w:spacing w:before="0" w:after="0"/>
        <w:jc w:val="center"/>
        <w:rPr>
          <w:rFonts w:ascii="Times New Roman" w:eastAsia="Times New Roman" w:hAnsi="Times New Roman" w:cs="Times New Roman"/>
          <w:strike/>
          <w:sz w:val="20"/>
          <w:szCs w:val="20"/>
        </w:rPr>
      </w:pPr>
      <w:bookmarkStart w:id="7" w:name="_6o7wn14kx69i" w:colFirst="0" w:colLast="0"/>
      <w:bookmarkEnd w:id="7"/>
      <w:r>
        <w:rPr>
          <w:rFonts w:ascii="Times New Roman" w:eastAsia="Times New Roman" w:hAnsi="Times New Roman" w:cs="Times New Roman"/>
          <w:sz w:val="24"/>
          <w:szCs w:val="24"/>
        </w:rPr>
        <w:t xml:space="preserve">The Kyoto Protocol </w:t>
      </w:r>
    </w:p>
    <w:p w:rsidR="00FE188E" w:rsidRDefault="0004364F">
      <w:pPr>
        <w:numPr>
          <w:ilvl w:val="0"/>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How UNFCCC lead to Kyoto, key elements of the UNFCCC</w:t>
      </w:r>
    </w:p>
    <w:p w:rsidR="00FE188E" w:rsidRDefault="0004364F">
      <w:pPr>
        <w:numPr>
          <w:ilvl w:val="1"/>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Structural – reporting, annual COPs (with requirements to review), scientific bodies</w:t>
      </w:r>
    </w:p>
    <w:p w:rsidR="00FE188E" w:rsidRDefault="0004364F">
      <w:pPr>
        <w:numPr>
          <w:ilvl w:val="1"/>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Definitions </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Emissions from sources and removals by sinks/reservoirs; included all GHGs, not just CO</w:t>
      </w:r>
      <w:r>
        <w:rPr>
          <w:rFonts w:ascii="Times New Roman" w:eastAsia="Times New Roman" w:hAnsi="Times New Roman" w:cs="Times New Roman"/>
          <w:sz w:val="20"/>
          <w:szCs w:val="20"/>
          <w:vertAlign w:val="subscript"/>
        </w:rPr>
        <w:t>2</w:t>
      </w:r>
    </w:p>
    <w:p w:rsidR="00FE188E" w:rsidRDefault="0004364F">
      <w:pPr>
        <w:numPr>
          <w:ilvl w:val="1"/>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Objective (Art. </w:t>
      </w:r>
      <w:r>
        <w:rPr>
          <w:rFonts w:ascii="Times New Roman" w:eastAsia="Times New Roman" w:hAnsi="Times New Roman" w:cs="Times New Roman"/>
          <w:sz w:val="20"/>
          <w:szCs w:val="20"/>
        </w:rPr>
        <w:t>2) – stabilization of GHG concentrations in the atmosphere at a level that would prevent dangerous anthropogenic interference with the climate system</w:t>
      </w:r>
    </w:p>
    <w:p w:rsidR="00FE188E" w:rsidRDefault="0004364F">
      <w:pPr>
        <w:numPr>
          <w:ilvl w:val="1"/>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Created different obligations for different parties (Art. 4 commitments), i.e. all parties, Annex I partie</w:t>
      </w:r>
      <w:r>
        <w:rPr>
          <w:rFonts w:ascii="Times New Roman" w:eastAsia="Times New Roman" w:hAnsi="Times New Roman" w:cs="Times New Roman"/>
          <w:sz w:val="20"/>
          <w:szCs w:val="20"/>
        </w:rPr>
        <w:t>s, Annex II parties</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All parties – create national inventories for GHGs, develop programs, cooperate in technology transfer, manage sinks and reservoirs, subject to “common but differentiated responsibilities”</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Annex I parties – goal/baseline set at 1990 lev</w:t>
      </w:r>
      <w:r>
        <w:rPr>
          <w:rFonts w:ascii="Times New Roman" w:eastAsia="Times New Roman" w:hAnsi="Times New Roman" w:cs="Times New Roman"/>
          <w:sz w:val="20"/>
          <w:szCs w:val="20"/>
        </w:rPr>
        <w:t>els; emissions reductions by 2000 – to be implemented jointly; take the lead, develop national programs and take actions to mitigate</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Annex II parties – fund emissions inventory, technology transfer, fund adaptation  </w:t>
      </w:r>
    </w:p>
    <w:p w:rsidR="00FE188E" w:rsidRDefault="0004364F">
      <w:pPr>
        <w:numPr>
          <w:ilvl w:val="0"/>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Berlin Mandate – first COP in 1995 </w:t>
      </w:r>
      <w:r>
        <w:rPr>
          <w:rFonts w:ascii="Times New Roman" w:eastAsia="Times New Roman" w:hAnsi="Times New Roman" w:cs="Times New Roman"/>
          <w:sz w:val="20"/>
          <w:szCs w:val="20"/>
        </w:rPr>
        <w:t>(UNFCCC entered into force in 1994), laid the groundwork for the Kyoto Protocol – developed countries’ commitments to reduce GHG emissions through legally binding obligations, developing countries exempted from binding obligations</w:t>
      </w:r>
    </w:p>
    <w:p w:rsidR="00FE188E" w:rsidRDefault="0004364F">
      <w:pPr>
        <w:numPr>
          <w:ilvl w:val="0"/>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Kyoto Protocol</w:t>
      </w:r>
    </w:p>
    <w:p w:rsidR="00FE188E" w:rsidRDefault="0004364F">
      <w:pPr>
        <w:numPr>
          <w:ilvl w:val="1"/>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QELROs</w:t>
      </w:r>
      <w:r>
        <w:rPr>
          <w:rFonts w:ascii="Times New Roman" w:eastAsia="Times New Roman" w:hAnsi="Times New Roman" w:cs="Times New Roman"/>
          <w:sz w:val="20"/>
          <w:szCs w:val="20"/>
        </w:rPr>
        <w:t xml:space="preserve"> – emission reduction targets and timetables – collective 5.2% reduction below 1990 levels during 5 year reporting period (2008-2012); individually, calculated in assigned amount units (AAUs) </w:t>
      </w:r>
    </w:p>
    <w:p w:rsidR="00FE188E" w:rsidRDefault="0004364F">
      <w:pPr>
        <w:numPr>
          <w:ilvl w:val="1"/>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Annex I – developed nations and EITs (former Soviet bloc countr</w:t>
      </w:r>
      <w:r>
        <w:rPr>
          <w:rFonts w:ascii="Times New Roman" w:eastAsia="Times New Roman" w:hAnsi="Times New Roman" w:cs="Times New Roman"/>
          <w:sz w:val="20"/>
          <w:szCs w:val="20"/>
        </w:rPr>
        <w:t>ies whose economies collapsed with the collapse of the Soviet Union)</w:t>
      </w:r>
    </w:p>
    <w:p w:rsidR="00FE188E" w:rsidRDefault="0004364F">
      <w:pPr>
        <w:numPr>
          <w:ilvl w:val="1"/>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Non-Annex I – developing nations</w:t>
      </w:r>
    </w:p>
    <w:p w:rsidR="00FE188E" w:rsidRDefault="0004364F">
      <w:pPr>
        <w:numPr>
          <w:ilvl w:val="1"/>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Registry – a “bank account” for allowable emissions during first commitment period (see how to calculate below), each ton of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eq = 1 AAU (note, MtCO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eq </w:t>
      </w:r>
      <w:r>
        <w:rPr>
          <w:rFonts w:ascii="Times New Roman" w:eastAsia="Times New Roman" w:hAnsi="Times New Roman" w:cs="Times New Roman"/>
          <w:sz w:val="20"/>
          <w:szCs w:val="20"/>
        </w:rPr>
        <w:t>= 1 million AAUs)</w:t>
      </w:r>
    </w:p>
    <w:p w:rsidR="00FE188E" w:rsidRDefault="0004364F">
      <w:pPr>
        <w:numPr>
          <w:ilvl w:val="1"/>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Key Provisions – </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2 – Annex I parties implement Policies and Measures (PAMs)</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3(1) – Annex I parties independently or jointly do not exceed Annex B AAUs of Annex A GHGs, measured in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eq</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Annex A GHGs (“basket of gases”) –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C</w:t>
      </w:r>
      <w:r>
        <w:rPr>
          <w:rFonts w:ascii="Times New Roman" w:eastAsia="Times New Roman" w:hAnsi="Times New Roman" w:cs="Times New Roman"/>
          <w:sz w:val="20"/>
          <w:szCs w:val="20"/>
        </w:rPr>
        <w:t>H</w:t>
      </w:r>
      <w:r>
        <w:rPr>
          <w:rFonts w:ascii="Times New Roman" w:eastAsia="Times New Roman" w:hAnsi="Times New Roman" w:cs="Times New Roman"/>
          <w:sz w:val="20"/>
          <w:szCs w:val="20"/>
          <w:vertAlign w:val="subscript"/>
        </w:rPr>
        <w:t>4</w:t>
      </w:r>
      <w:r>
        <w:rPr>
          <w:rFonts w:ascii="Times New Roman" w:eastAsia="Times New Roman" w:hAnsi="Times New Roman" w:cs="Times New Roman"/>
          <w:sz w:val="20"/>
          <w:szCs w:val="20"/>
        </w:rPr>
        <w:t xml:space="preserve"> (methane), N</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O (nitrous oxide), HFCs, PFCs, SF</w:t>
      </w:r>
      <w:r>
        <w:rPr>
          <w:rFonts w:ascii="Times New Roman" w:eastAsia="Times New Roman" w:hAnsi="Times New Roman" w:cs="Times New Roman"/>
          <w:sz w:val="20"/>
          <w:szCs w:val="20"/>
          <w:vertAlign w:val="subscript"/>
        </w:rPr>
        <w:t>6</w:t>
      </w:r>
      <w:r>
        <w:rPr>
          <w:rFonts w:ascii="Times New Roman" w:eastAsia="Times New Roman" w:hAnsi="Times New Roman" w:cs="Times New Roman"/>
          <w:sz w:val="20"/>
          <w:szCs w:val="20"/>
        </w:rPr>
        <w:t xml:space="preserve"> </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3(7) – during first commitment period (2008-2012), percentage reduction (AAU) * 1990 baseline emissions of Annex A GHGs * 5</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Baselines – 1990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alternate baselines for human-made GHGs (Art. 3(8) – to give time for companies to use alternative products and create new ones pursuant to the Montreal Protocol) and EITs (“hot air”)</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Since a total over five years, much average per year emissions rather t</w:t>
      </w:r>
      <w:r>
        <w:rPr>
          <w:rFonts w:ascii="Times New Roman" w:eastAsia="Times New Roman" w:hAnsi="Times New Roman" w:cs="Times New Roman"/>
          <w:sz w:val="20"/>
          <w:szCs w:val="20"/>
        </w:rPr>
        <w:t>han meet each year</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Art. 3(2) – demonstrable progress in achieving commitments by 2005 for Annex I parties</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3(10)–(11) – Annex I emissions trading – when acquired added to an Annex I party’s AAU, when transferred subtracted from transferring Annex I par</w:t>
      </w:r>
      <w:r>
        <w:rPr>
          <w:rFonts w:ascii="Times New Roman" w:eastAsia="Times New Roman" w:hAnsi="Times New Roman" w:cs="Times New Roman"/>
          <w:sz w:val="20"/>
          <w:szCs w:val="20"/>
        </w:rPr>
        <w:t>ty’s AAU</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3(12) – CERs – added to Annex I party’s AAU</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3(13) – emissions banking – if emissions during commitment period are less than AAU, may add difference to subsequent commitment periods</w:t>
      </w:r>
    </w:p>
    <w:p w:rsidR="00FE188E" w:rsidRDefault="0004364F">
      <w:pPr>
        <w:numPr>
          <w:ilvl w:val="1"/>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Flexibility Mechanisms</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4 – Joint Fulfillment (EU bu</w:t>
      </w:r>
      <w:r>
        <w:rPr>
          <w:rFonts w:ascii="Times New Roman" w:eastAsia="Times New Roman" w:hAnsi="Times New Roman" w:cs="Times New Roman"/>
          <w:sz w:val="20"/>
          <w:szCs w:val="20"/>
        </w:rPr>
        <w:t>bble) – Annex I parties may jointly fulfill commitments by entering into an agreement where total combined aggregate GHGs cannot exceed total AAUs, AAs reallocated as set out in agreement; if parties fail to meet combined level of emissions reduction in ag</w:t>
      </w:r>
      <w:r>
        <w:rPr>
          <w:rFonts w:ascii="Times New Roman" w:eastAsia="Times New Roman" w:hAnsi="Times New Roman" w:cs="Times New Roman"/>
          <w:sz w:val="20"/>
          <w:szCs w:val="20"/>
        </w:rPr>
        <w:t>reement, each party is responsible for its emissions in the agreement (i.e. the agreement is binding/irrevocable)</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17 – Annex I emissions trading – parties in Annex B (i.e. Annex I parties) may participate in emissions trading, shall be supplement to d</w:t>
      </w:r>
      <w:r>
        <w:rPr>
          <w:rFonts w:ascii="Times New Roman" w:eastAsia="Times New Roman" w:hAnsi="Times New Roman" w:cs="Times New Roman"/>
          <w:sz w:val="20"/>
          <w:szCs w:val="20"/>
        </w:rPr>
        <w:t>omestic actions</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3(10)–(11) – when acquired added to an Annex I party’s AAU, when transferred subtracted from transferring Annex I party’s AAU</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Decision 11 – private entities may have “accounts,” but ultimately it all shows up on the parties’ national r</w:t>
      </w:r>
      <w:r>
        <w:rPr>
          <w:rFonts w:ascii="Times New Roman" w:eastAsia="Times New Roman" w:hAnsi="Times New Roman" w:cs="Times New Roman"/>
          <w:sz w:val="20"/>
          <w:szCs w:val="20"/>
        </w:rPr>
        <w:t xml:space="preserve">egistries </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6 – Joint implementation (JI) and Emission Reduction Units (ERUs) – project-based emissions trading within Annex I parties</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ERUs transfer only after achieved, Removal Units (RMUs) also available</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Can’t bank credits until 2008 – for projects b</w:t>
      </w:r>
      <w:r>
        <w:rPr>
          <w:rFonts w:ascii="Times New Roman" w:eastAsia="Times New Roman" w:hAnsi="Times New Roman" w:cs="Times New Roman"/>
          <w:sz w:val="20"/>
          <w:szCs w:val="20"/>
        </w:rPr>
        <w:t>egun in 2000, credits start to count in 2008</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May involve private entities</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Increase for one party must equal a decrease for the other</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Requirements: (1) Approval of parties, (2) additionality (though more rigorous in CDM because no overall emissions cap), (3</w:t>
      </w:r>
      <w:r>
        <w:rPr>
          <w:rFonts w:ascii="Times New Roman" w:eastAsia="Times New Roman" w:hAnsi="Times New Roman" w:cs="Times New Roman"/>
          <w:sz w:val="20"/>
          <w:szCs w:val="20"/>
        </w:rPr>
        <w:t>) compliance with Art. 5 and Art. 7, (4) shall be supplemental to domestic actions</w:t>
      </w:r>
    </w:p>
    <w:p w:rsidR="00FE188E" w:rsidRDefault="0004364F">
      <w:pPr>
        <w:numPr>
          <w:ilvl w:val="4"/>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Art. 5 – must have national system for estimating emissions/removals </w:t>
      </w:r>
    </w:p>
    <w:p w:rsidR="00FE188E" w:rsidRDefault="0004364F">
      <w:pPr>
        <w:numPr>
          <w:ilvl w:val="4"/>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7 – create registry (compliance with Art. 3) and report relevant information to the Secretariat</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P</w:t>
      </w:r>
      <w:r>
        <w:rPr>
          <w:rFonts w:ascii="Times New Roman" w:eastAsia="Times New Roman" w:hAnsi="Times New Roman" w:cs="Times New Roman"/>
          <w:sz w:val="20"/>
          <w:szCs w:val="20"/>
        </w:rPr>
        <w:t>erformed under Track 1 or 2</w:t>
      </w:r>
    </w:p>
    <w:p w:rsidR="00FE188E" w:rsidRDefault="0004364F">
      <w:pPr>
        <w:numPr>
          <w:ilvl w:val="4"/>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Track 1 – host party meets all eligibility requirements – host country may verify additionality</w:t>
      </w:r>
    </w:p>
    <w:p w:rsidR="00FE188E" w:rsidRDefault="0004364F">
      <w:pPr>
        <w:numPr>
          <w:ilvl w:val="4"/>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Track 2 – host party does not meet some eligibility requirements – verification through independent entity accredited by the JISC pu</w:t>
      </w:r>
      <w:r>
        <w:rPr>
          <w:rFonts w:ascii="Times New Roman" w:eastAsia="Times New Roman" w:hAnsi="Times New Roman" w:cs="Times New Roman"/>
          <w:sz w:val="20"/>
          <w:szCs w:val="20"/>
        </w:rPr>
        <w:t>rsuant to established procedures</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12 – The Clean Development Mechanism (CDM) and Certified Emissions Reductions (CERs) – project-based emissions trading between Annex I and developing (non-Annex I) countries</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Can bank credits from the start, i.e. 2000</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R</w:t>
      </w:r>
      <w:r>
        <w:rPr>
          <w:rFonts w:ascii="Times New Roman" w:eastAsia="Times New Roman" w:hAnsi="Times New Roman" w:cs="Times New Roman"/>
          <w:sz w:val="20"/>
          <w:szCs w:val="20"/>
        </w:rPr>
        <w:t>equires: (1) Voluntary participation, (2) real, measurable, and long-term benefits, (3) reductions in emissions that are additional</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May involve private entities</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When acquired, net increase in total allowable credits in the system </w:t>
      </w:r>
    </w:p>
    <w:p w:rsidR="00FE188E" w:rsidRDefault="0004364F">
      <w:pPr>
        <w:numPr>
          <w:ilvl w:val="1"/>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Kyoto Fulfillment Analysis, calculating allowable emissions for first commitment period (2008-2012):</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Calculate initial commitment – calculated as 1990 baseline * Annex B QELROs/AAUs (or EU Bubble amounts) * 5 year commitment</w:t>
      </w:r>
    </w:p>
    <w:p w:rsidR="00FE188E" w:rsidRDefault="0004364F">
      <w:pPr>
        <w:numPr>
          <w:ilvl w:val="3"/>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If joint fulfillment (i.e. an E</w:t>
      </w:r>
      <w:r>
        <w:rPr>
          <w:rFonts w:ascii="Times New Roman" w:eastAsia="Times New Roman" w:hAnsi="Times New Roman" w:cs="Times New Roman"/>
          <w:sz w:val="20"/>
          <w:szCs w:val="20"/>
        </w:rPr>
        <w:t>U member), recalculate based on reallocated AAU</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Add/subtract AAUs acquired/transferred through emissions trading</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Add/subtract ERUs acquired/transferred through JI</w:t>
      </w:r>
    </w:p>
    <w:p w:rsidR="00FE188E" w:rsidRDefault="0004364F">
      <w:pPr>
        <w:numPr>
          <w:ilvl w:val="2"/>
          <w:numId w:val="8"/>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Add CERs acquired through CDM </w:t>
      </w:r>
    </w:p>
    <w:p w:rsidR="00FE188E" w:rsidRDefault="00FE188E">
      <w:pPr>
        <w:rPr>
          <w:rFonts w:ascii="Times New Roman" w:eastAsia="Times New Roman" w:hAnsi="Times New Roman" w:cs="Times New Roman"/>
          <w:sz w:val="20"/>
          <w:szCs w:val="20"/>
        </w:rPr>
      </w:pPr>
    </w:p>
    <w:p w:rsidR="00FE188E" w:rsidRDefault="0004364F">
      <w:pPr>
        <w:pStyle w:val="Heading2"/>
        <w:spacing w:before="0" w:after="0"/>
        <w:jc w:val="center"/>
        <w:rPr>
          <w:rFonts w:ascii="Times New Roman" w:eastAsia="Times New Roman" w:hAnsi="Times New Roman" w:cs="Times New Roman"/>
          <w:sz w:val="24"/>
          <w:szCs w:val="24"/>
        </w:rPr>
      </w:pPr>
      <w:bookmarkStart w:id="8" w:name="_2597czfxht85" w:colFirst="0" w:colLast="0"/>
      <w:bookmarkEnd w:id="8"/>
      <w:r>
        <w:rPr>
          <w:rFonts w:ascii="Times New Roman" w:eastAsia="Times New Roman" w:hAnsi="Times New Roman" w:cs="Times New Roman"/>
          <w:sz w:val="24"/>
          <w:szCs w:val="24"/>
        </w:rPr>
        <w:t>Implementing Kyoto Through the Carbon Markets</w:t>
      </w:r>
    </w:p>
    <w:p w:rsidR="00FE188E" w:rsidRDefault="0004364F">
      <w:pPr>
        <w:numPr>
          <w:ilvl w:val="0"/>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Introduction</w:t>
      </w:r>
      <w:r>
        <w:rPr>
          <w:rFonts w:ascii="Times New Roman" w:eastAsia="Times New Roman" w:hAnsi="Times New Roman" w:cs="Times New Roman"/>
          <w:sz w:val="20"/>
          <w:szCs w:val="20"/>
        </w:rPr>
        <w:tab/>
      </w:r>
    </w:p>
    <w:p w:rsidR="00FE188E" w:rsidRDefault="0004364F">
      <w:pPr>
        <w:numPr>
          <w:ilvl w:val="1"/>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Designing Appropriate Emissions Trading Programs</w:t>
      </w:r>
    </w:p>
    <w:p w:rsidR="00FE188E" w:rsidRDefault="0004364F">
      <w:pPr>
        <w:numPr>
          <w:ilvl w:val="0"/>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Implementation of the Flexibility Mechanisms: The Case of the Clean Development Mechanism</w:t>
      </w:r>
    </w:p>
    <w:p w:rsidR="00FE188E" w:rsidRDefault="0004364F">
      <w:pPr>
        <w:numPr>
          <w:ilvl w:val="1"/>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Overview of the CDM</w:t>
      </w:r>
    </w:p>
    <w:p w:rsidR="00FE188E" w:rsidRDefault="0004364F">
      <w:pPr>
        <w:numPr>
          <w:ilvl w:val="2"/>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Requires: (1) Voluntary participation, (2) real, measurable, and long-term benefits, (3) reductio</w:t>
      </w:r>
      <w:r>
        <w:rPr>
          <w:rFonts w:ascii="Times New Roman" w:eastAsia="Times New Roman" w:hAnsi="Times New Roman" w:cs="Times New Roman"/>
          <w:sz w:val="20"/>
          <w:szCs w:val="20"/>
        </w:rPr>
        <w:t>ns in emissions that are additional; may involve private entities</w:t>
      </w:r>
    </w:p>
    <w:p w:rsidR="00FE188E" w:rsidRDefault="0004364F">
      <w:pPr>
        <w:numPr>
          <w:ilvl w:val="2"/>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Process – </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Project proponent develops plan; presents Project Design Document to Designated National Authority (DNA) (for domestic ok); Designated Operational Entity (KP certifier) – reviews</w:t>
      </w:r>
      <w:r>
        <w:rPr>
          <w:rFonts w:ascii="Times New Roman" w:eastAsia="Times New Roman" w:hAnsi="Times New Roman" w:cs="Times New Roman"/>
          <w:sz w:val="20"/>
          <w:szCs w:val="20"/>
        </w:rPr>
        <w:t xml:space="preserve"> methodology, validates proposals, verifies emissions reductions, solicits comments, ensures adequate monitoring; DOE report goes to Executive Board – CERs issued</w:t>
      </w:r>
    </w:p>
    <w:p w:rsidR="00FE188E" w:rsidRDefault="0004364F">
      <w:pPr>
        <w:numPr>
          <w:ilvl w:val="2"/>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Concerns – </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DOE is an independent, private company selected by the project participants (conf</w:t>
      </w:r>
      <w:r>
        <w:rPr>
          <w:rFonts w:ascii="Times New Roman" w:eastAsia="Times New Roman" w:hAnsi="Times New Roman" w:cs="Times New Roman"/>
          <w:sz w:val="20"/>
          <w:szCs w:val="20"/>
        </w:rPr>
        <w:t>lict?)</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Appeal process</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Institutional capacity for less developed countries</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Overallocation of credits – technology limitations, separating supply/demand-caused emissions reductions from project-caused reductions, using general instead of local methodologies </w:t>
      </w:r>
    </w:p>
    <w:p w:rsidR="00FE188E" w:rsidRDefault="0004364F">
      <w:pPr>
        <w:numPr>
          <w:ilvl w:val="2"/>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Specific Problems with CDM </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Allowable projects </w:t>
      </w:r>
    </w:p>
    <w:p w:rsidR="00FE188E" w:rsidRDefault="0004364F">
      <w:pPr>
        <w:numPr>
          <w:ilvl w:val="4"/>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No reduced deforestation under KP – REDD as a response</w:t>
      </w:r>
    </w:p>
    <w:p w:rsidR="00FE188E" w:rsidRDefault="0004364F">
      <w:pPr>
        <w:numPr>
          <w:ilvl w:val="4"/>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Must reduce emissions not just develop renewable energy – means no CDM for least developed countries</w:t>
      </w:r>
    </w:p>
    <w:p w:rsidR="00FE188E" w:rsidRDefault="0004364F">
      <w:pPr>
        <w:numPr>
          <w:ilvl w:val="4"/>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Timing mismatch – long projects, short treaties</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Human-made gases with high GWPs – indication that companies were creating gases to generate HFCs from CDM destruction</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Additionality – very difficult to prove, appears that many “business as usual” projects earn CDM credits</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Inequitable distribution (i.e. mo</w:t>
      </w:r>
      <w:r>
        <w:rPr>
          <w:rFonts w:ascii="Times New Roman" w:eastAsia="Times New Roman" w:hAnsi="Times New Roman" w:cs="Times New Roman"/>
          <w:sz w:val="20"/>
          <w:szCs w:val="20"/>
        </w:rPr>
        <w:t>st in China and India)</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Technology transfer – first-rate technologies generally not transferred, concerns about intellectual property hinder, money is a limiting factor</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Sustainable development</w:t>
      </w:r>
    </w:p>
    <w:p w:rsidR="00FE188E" w:rsidRDefault="0004364F">
      <w:pPr>
        <w:numPr>
          <w:ilvl w:val="2"/>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CDM Today – active area of project development and investment, h</w:t>
      </w:r>
      <w:r>
        <w:rPr>
          <w:rFonts w:ascii="Times New Roman" w:eastAsia="Times New Roman" w:hAnsi="Times New Roman" w:cs="Times New Roman"/>
          <w:sz w:val="20"/>
          <w:szCs w:val="20"/>
        </w:rPr>
        <w:t>as become critical form of development support</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Questions for the future – limitations on distribution? Other mechanisms for less developed countries? Limitations on projects? No more CDM?</w:t>
      </w:r>
    </w:p>
    <w:p w:rsidR="00FE188E" w:rsidRDefault="0004364F">
      <w:pPr>
        <w:numPr>
          <w:ilvl w:val="1"/>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Implementation Issues with  Flexibility Mechanisms</w:t>
      </w:r>
    </w:p>
    <w:p w:rsidR="00FE188E" w:rsidRDefault="0004364F">
      <w:pPr>
        <w:numPr>
          <w:ilvl w:val="2"/>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Supplementarity –</w:t>
      </w:r>
      <w:r>
        <w:rPr>
          <w:rFonts w:ascii="Times New Roman" w:eastAsia="Times New Roman" w:hAnsi="Times New Roman" w:cs="Times New Roman"/>
          <w:sz w:val="20"/>
          <w:szCs w:val="20"/>
        </w:rPr>
        <w:t xml:space="preserve"> what are parties’ initial positions? What doe the ultimately decide? How to implement and enforce? </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Domestic action shall constitute a significant element of effort made by each Annex I party</w:t>
      </w:r>
    </w:p>
    <w:p w:rsidR="00FE188E" w:rsidRDefault="0004364F">
      <w:pPr>
        <w:numPr>
          <w:ilvl w:val="2"/>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Additionality</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Establishing Emissions Baselines</w:t>
      </w:r>
    </w:p>
    <w:p w:rsidR="00FE188E" w:rsidRDefault="0004364F">
      <w:pPr>
        <w:numPr>
          <w:ilvl w:val="4"/>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Approach A – exi</w:t>
      </w:r>
      <w:r>
        <w:rPr>
          <w:rFonts w:ascii="Times New Roman" w:eastAsia="Times New Roman" w:hAnsi="Times New Roman" w:cs="Times New Roman"/>
          <w:sz w:val="20"/>
          <w:szCs w:val="20"/>
        </w:rPr>
        <w:t>sting actual or historical emissions where it is most likely the existing activities will continue</w:t>
      </w:r>
    </w:p>
    <w:p w:rsidR="00FE188E" w:rsidRDefault="0004364F">
      <w:pPr>
        <w:numPr>
          <w:ilvl w:val="4"/>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Approach B – calculate the emissions from the economically most attractive alternative (assumes economic rationality)</w:t>
      </w:r>
    </w:p>
    <w:p w:rsidR="00FE188E" w:rsidRDefault="0004364F">
      <w:pPr>
        <w:numPr>
          <w:ilvl w:val="4"/>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Approach C – average emissions of top 2</w:t>
      </w:r>
      <w:r>
        <w:rPr>
          <w:rFonts w:ascii="Times New Roman" w:eastAsia="Times New Roman" w:hAnsi="Times New Roman" w:cs="Times New Roman"/>
          <w:sz w:val="20"/>
          <w:szCs w:val="20"/>
        </w:rPr>
        <w:t>0% of performers of similar project activities done in past five years considering similar social, economic, environmental, and tech circumstances</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Additionality Assessments, four steps for proving – </w:t>
      </w:r>
    </w:p>
    <w:p w:rsidR="00FE188E" w:rsidRDefault="0004364F">
      <w:pPr>
        <w:numPr>
          <w:ilvl w:val="4"/>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Id CDM project and alternatives</w:t>
      </w:r>
    </w:p>
    <w:p w:rsidR="00FE188E" w:rsidRDefault="0004364F">
      <w:pPr>
        <w:numPr>
          <w:ilvl w:val="4"/>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Investment analysis - is</w:t>
      </w:r>
      <w:r>
        <w:rPr>
          <w:rFonts w:ascii="Times New Roman" w:eastAsia="Times New Roman" w:hAnsi="Times New Roman" w:cs="Times New Roman"/>
          <w:sz w:val="20"/>
          <w:szCs w:val="20"/>
        </w:rPr>
        <w:t xml:space="preserve"> the project so financially attractive that it would proceed on its own?</w:t>
      </w:r>
    </w:p>
    <w:p w:rsidR="00FE188E" w:rsidRDefault="0004364F">
      <w:pPr>
        <w:numPr>
          <w:ilvl w:val="4"/>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Barriers analysis – are there barriers to this project and/or alternatives that make the project less likely to occur but for CDM?</w:t>
      </w:r>
    </w:p>
    <w:p w:rsidR="00FE188E" w:rsidRDefault="0004364F">
      <w:pPr>
        <w:numPr>
          <w:ilvl w:val="4"/>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Common practice analysis – is the CDM project like o</w:t>
      </w:r>
      <w:r>
        <w:rPr>
          <w:rFonts w:ascii="Times New Roman" w:eastAsia="Times New Roman" w:hAnsi="Times New Roman" w:cs="Times New Roman"/>
          <w:sz w:val="20"/>
          <w:szCs w:val="20"/>
        </w:rPr>
        <w:t>ther projects in the area? (checks against steps 2 and 3)</w:t>
      </w:r>
    </w:p>
    <w:p w:rsidR="00FE188E" w:rsidRDefault="0004364F">
      <w:pPr>
        <w:numPr>
          <w:ilvl w:val="4"/>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Questions – are there better options than this 4-step process (e.g. benchmarks, best practices, list of technologies)? Should parties worry about additionality at all? As costs drop and technologies</w:t>
      </w:r>
      <w:r>
        <w:rPr>
          <w:rFonts w:ascii="Times New Roman" w:eastAsia="Times New Roman" w:hAnsi="Times New Roman" w:cs="Times New Roman"/>
          <w:sz w:val="20"/>
          <w:szCs w:val="20"/>
        </w:rPr>
        <w:t xml:space="preserve"> improve will additionality requirement kill CDM? </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Leakage – measurable increase caused by the project but outside of a CDM project boundary or timeframe</w:t>
      </w:r>
    </w:p>
    <w:p w:rsidR="00FE188E" w:rsidRDefault="0004364F">
      <w:pPr>
        <w:numPr>
          <w:ilvl w:val="4"/>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Bad leakage – e.g. CDM project displaces “bad” technology that moves to another area, lower prices = h</w:t>
      </w:r>
      <w:r>
        <w:rPr>
          <w:rFonts w:ascii="Times New Roman" w:eastAsia="Times New Roman" w:hAnsi="Times New Roman" w:cs="Times New Roman"/>
          <w:sz w:val="20"/>
          <w:szCs w:val="20"/>
        </w:rPr>
        <w:t>igher consumption (rebound effect), reduced deforestation in one place increases deforestation somewhere else</w:t>
      </w:r>
    </w:p>
    <w:p w:rsidR="00FE188E" w:rsidRDefault="0004364F">
      <w:pPr>
        <w:numPr>
          <w:ilvl w:val="4"/>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Good leakage – e.g. technological innovation – improvement for all, race to the top competitions between cities</w:t>
      </w:r>
    </w:p>
    <w:p w:rsidR="00FE188E" w:rsidRDefault="0004364F">
      <w:pPr>
        <w:numPr>
          <w:ilvl w:val="4"/>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Parties are required to subtract l</w:t>
      </w:r>
      <w:r>
        <w:rPr>
          <w:rFonts w:ascii="Times New Roman" w:eastAsia="Times New Roman" w:hAnsi="Times New Roman" w:cs="Times New Roman"/>
          <w:sz w:val="20"/>
          <w:szCs w:val="20"/>
        </w:rPr>
        <w:t>eakage to obtain the net change of anthropogenic emissions/removals of GHGs which occurs outside the project boundary and which is measurable and attributable to the CDM project activity; may ignore “market leakage” – leakage effects from supply/demand</w:t>
      </w:r>
    </w:p>
    <w:p w:rsidR="00FE188E" w:rsidRDefault="0004364F">
      <w:pPr>
        <w:numPr>
          <w:ilvl w:val="3"/>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Problems with additionality – many projects are likely not additional, would have been built anyway; poor documentation; potential DOE rubber-stamping; high transaction costs</w:t>
      </w:r>
    </w:p>
    <w:p w:rsidR="00FE188E" w:rsidRDefault="0004364F">
      <w:pPr>
        <w:numPr>
          <w:ilvl w:val="2"/>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Eligibility Requirements</w:t>
      </w:r>
    </w:p>
    <w:p w:rsidR="00FE188E" w:rsidRDefault="0004364F">
      <w:pPr>
        <w:numPr>
          <w:ilvl w:val="2"/>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Breadth and Equity</w:t>
      </w:r>
    </w:p>
    <w:p w:rsidR="00FE188E" w:rsidRDefault="0004364F">
      <w:pPr>
        <w:numPr>
          <w:ilvl w:val="2"/>
          <w:numId w:val="10"/>
        </w:numPr>
        <w:rPr>
          <w:rFonts w:ascii="Times New Roman" w:eastAsia="Times New Roman" w:hAnsi="Times New Roman" w:cs="Times New Roman"/>
          <w:sz w:val="20"/>
          <w:szCs w:val="20"/>
        </w:rPr>
      </w:pPr>
      <w:r>
        <w:rPr>
          <w:rFonts w:ascii="Times New Roman" w:eastAsia="Times New Roman" w:hAnsi="Times New Roman" w:cs="Times New Roman"/>
          <w:sz w:val="20"/>
          <w:szCs w:val="20"/>
        </w:rPr>
        <w:t>Diversity and the Nature of CDM Projects</w:t>
      </w:r>
    </w:p>
    <w:p w:rsidR="00FE188E" w:rsidRDefault="00FE188E">
      <w:pPr>
        <w:rPr>
          <w:rFonts w:ascii="Times New Roman" w:eastAsia="Times New Roman" w:hAnsi="Times New Roman" w:cs="Times New Roman"/>
          <w:sz w:val="20"/>
          <w:szCs w:val="20"/>
        </w:rPr>
      </w:pPr>
    </w:p>
    <w:p w:rsidR="00FE188E" w:rsidRDefault="0004364F">
      <w:pPr>
        <w:pStyle w:val="Heading2"/>
        <w:spacing w:before="0" w:after="0"/>
        <w:jc w:val="center"/>
        <w:rPr>
          <w:rFonts w:ascii="Times New Roman" w:eastAsia="Times New Roman" w:hAnsi="Times New Roman" w:cs="Times New Roman"/>
          <w:sz w:val="24"/>
          <w:szCs w:val="24"/>
        </w:rPr>
      </w:pPr>
      <w:bookmarkStart w:id="9" w:name="_vts63rs214gm" w:colFirst="0" w:colLast="0"/>
      <w:bookmarkEnd w:id="9"/>
      <w:r>
        <w:rPr>
          <w:rFonts w:ascii="Times New Roman" w:eastAsia="Times New Roman" w:hAnsi="Times New Roman" w:cs="Times New Roman"/>
          <w:sz w:val="24"/>
          <w:szCs w:val="24"/>
        </w:rPr>
        <w:t>Beyond 2012: Building the Post-Kyoto Climate Regime</w:t>
      </w:r>
    </w:p>
    <w:p w:rsidR="00FE188E" w:rsidRDefault="0004364F">
      <w:pPr>
        <w:numPr>
          <w:ilvl w:val="0"/>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Major Developments</w:t>
      </w:r>
    </w:p>
    <w:p w:rsidR="00FE188E" w:rsidRDefault="0004364F">
      <w:pPr>
        <w:numPr>
          <w:ilvl w:val="1"/>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UNFCCC – signed in 1992, entered into force in 1994; re goal – stabilization of GHG concentrations in the atmosphere at a level that would prev</w:t>
      </w:r>
      <w:r>
        <w:rPr>
          <w:rFonts w:ascii="Times New Roman" w:eastAsia="Times New Roman" w:hAnsi="Times New Roman" w:cs="Times New Roman"/>
          <w:sz w:val="20"/>
          <w:szCs w:val="20"/>
        </w:rPr>
        <w:t>ent dangerous anthropogenic interference with the climate system</w:t>
      </w:r>
    </w:p>
    <w:p w:rsidR="00FE188E" w:rsidRDefault="0004364F">
      <w:pPr>
        <w:numPr>
          <w:ilvl w:val="1"/>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Kyoto – signed in 1997, entered into force in 2005, 2008-2012 commitment period</w:t>
      </w:r>
    </w:p>
    <w:p w:rsidR="00FE188E" w:rsidRDefault="0004364F">
      <w:pPr>
        <w:numPr>
          <w:ilvl w:val="1"/>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Bali Action Plan (2007) – need post-KP agreement by 2009</w:t>
      </w:r>
    </w:p>
    <w:p w:rsidR="00FE188E" w:rsidRDefault="0004364F">
      <w:pPr>
        <w:numPr>
          <w:ilvl w:val="1"/>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Copenhagen Accord (2009) – country-specific targets an</w:t>
      </w:r>
      <w:r>
        <w:rPr>
          <w:rFonts w:ascii="Times New Roman" w:eastAsia="Times New Roman" w:hAnsi="Times New Roman" w:cs="Times New Roman"/>
          <w:sz w:val="20"/>
          <w:szCs w:val="20"/>
        </w:rPr>
        <w:t>d NAMAs through 2020</w:t>
      </w:r>
    </w:p>
    <w:p w:rsidR="00FE188E" w:rsidRDefault="0004364F">
      <w:pPr>
        <w:numPr>
          <w:ilvl w:val="1"/>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Durban Package (2011) – need post-2020 agreement by 2015, KP II</w:t>
      </w:r>
    </w:p>
    <w:p w:rsidR="00FE188E" w:rsidRDefault="0004364F">
      <w:pPr>
        <w:numPr>
          <w:ilvl w:val="1"/>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Paris Agreement (2015)</w:t>
      </w:r>
    </w:p>
    <w:p w:rsidR="00FE188E" w:rsidRDefault="0004364F">
      <w:pPr>
        <w:numPr>
          <w:ilvl w:val="0"/>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Road to Bali</w:t>
      </w:r>
    </w:p>
    <w:p w:rsidR="00FE188E" w:rsidRDefault="0004364F">
      <w:pPr>
        <w:numPr>
          <w:ilvl w:val="1"/>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Bargaining Positions of the Parties</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European Union and Other Annex I Parties – 20% reductions by 2020 if no post-KP, 30% if the</w:t>
      </w:r>
      <w:r>
        <w:rPr>
          <w:rFonts w:ascii="Times New Roman" w:eastAsia="Times New Roman" w:hAnsi="Times New Roman" w:cs="Times New Roman"/>
          <w:sz w:val="20"/>
          <w:szCs w:val="20"/>
        </w:rPr>
        <w:t>re is</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United States and the Major Emitters’ Process (includes major emitting developing countries) – not clear what the goals should be or if they would be binding, each country picks own goal and strategy, unclear how parties could be accountable</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w:t>
      </w:r>
      <w:r>
        <w:rPr>
          <w:rFonts w:ascii="Times New Roman" w:eastAsia="Times New Roman" w:hAnsi="Times New Roman" w:cs="Times New Roman"/>
          <w:sz w:val="20"/>
          <w:szCs w:val="20"/>
        </w:rPr>
        <w:t>G8 (major industrial countries) – commit to take strong action, must maintain common but differentiated responsibility (developed countries must act but also need developing nation participation), must improve technology transfer, market mechanisms (e.g. e</w:t>
      </w:r>
      <w:r>
        <w:rPr>
          <w:rFonts w:ascii="Times New Roman" w:eastAsia="Times New Roman" w:hAnsi="Times New Roman" w:cs="Times New Roman"/>
          <w:sz w:val="20"/>
          <w:szCs w:val="20"/>
        </w:rPr>
        <w:t>missions trading) are important, include reduced emissions from deforestation, adaptation and energy efficiency</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Developing Countries – major responsibility rests with developed countries (72% of emissions 1750-1990), sustainable development and technology </w:t>
      </w:r>
      <w:r>
        <w:rPr>
          <w:rFonts w:ascii="Times New Roman" w:eastAsia="Times New Roman" w:hAnsi="Times New Roman" w:cs="Times New Roman"/>
          <w:sz w:val="20"/>
          <w:szCs w:val="20"/>
        </w:rPr>
        <w:t>transfer are of highest importance (developed countries must support), developed countries must pay for and help perform adaptation</w:t>
      </w:r>
    </w:p>
    <w:p w:rsidR="00FE188E" w:rsidRDefault="0004364F">
      <w:pPr>
        <w:numPr>
          <w:ilvl w:val="1"/>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Bali Action Plan</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Major issues – developed countries will increase commitments but by how much? Developing countries must</w:t>
      </w:r>
      <w:r>
        <w:rPr>
          <w:rFonts w:ascii="Times New Roman" w:eastAsia="Times New Roman" w:hAnsi="Times New Roman" w:cs="Times New Roman"/>
          <w:sz w:val="20"/>
          <w:szCs w:val="20"/>
        </w:rPr>
        <w:t xml:space="preserve"> implement “nationally appropriate mitigation actions” (NAMAs) but what are they, who decides, and how to measure? How to get US and China to commit?</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Need – </w:t>
      </w:r>
    </w:p>
    <w:p w:rsidR="00FE188E" w:rsidRDefault="0004364F">
      <w:pPr>
        <w:numPr>
          <w:ilvl w:val="3"/>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Shared vision for long-term cooperative action with long-term global goal for emissions reductions</w:t>
      </w:r>
    </w:p>
    <w:p w:rsidR="00FE188E" w:rsidRDefault="0004364F">
      <w:pPr>
        <w:numPr>
          <w:ilvl w:val="3"/>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Enhanced national/international action on mitigation</w:t>
      </w:r>
    </w:p>
    <w:p w:rsidR="00FE188E" w:rsidRDefault="0004364F">
      <w:pPr>
        <w:numPr>
          <w:ilvl w:val="4"/>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Developed countries – QELROs (i.e. KP AAUs) + measurable, reportable, and verifiable (MRV) nationally appropriate mitigation </w:t>
      </w:r>
      <w:r>
        <w:rPr>
          <w:rFonts w:ascii="Times New Roman" w:eastAsia="Times New Roman" w:hAnsi="Times New Roman" w:cs="Times New Roman"/>
          <w:i/>
          <w:sz w:val="20"/>
          <w:szCs w:val="20"/>
        </w:rPr>
        <w:t>commitments</w:t>
      </w:r>
      <w:r>
        <w:rPr>
          <w:rFonts w:ascii="Times New Roman" w:eastAsia="Times New Roman" w:hAnsi="Times New Roman" w:cs="Times New Roman"/>
          <w:sz w:val="20"/>
          <w:szCs w:val="20"/>
        </w:rPr>
        <w:t xml:space="preserve"> and actions </w:t>
      </w:r>
    </w:p>
    <w:p w:rsidR="00FE188E" w:rsidRDefault="0004364F">
      <w:pPr>
        <w:numPr>
          <w:ilvl w:val="4"/>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Developing countries – NAMAs </w:t>
      </w:r>
    </w:p>
    <w:p w:rsidR="00FE188E" w:rsidRDefault="0004364F">
      <w:pPr>
        <w:numPr>
          <w:ilvl w:val="4"/>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Reducing emissions from deforestation and forest degradation (REDD)</w:t>
      </w:r>
    </w:p>
    <w:p w:rsidR="00FE188E" w:rsidRDefault="0004364F">
      <w:pPr>
        <w:numPr>
          <w:ilvl w:val="4"/>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Sectoral approaches/sector-specific actions</w:t>
      </w:r>
    </w:p>
    <w:p w:rsidR="00FE188E" w:rsidRDefault="0004364F">
      <w:pPr>
        <w:numPr>
          <w:ilvl w:val="3"/>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Enhanced adaptation</w:t>
      </w:r>
    </w:p>
    <w:p w:rsidR="00FE188E" w:rsidRDefault="0004364F">
      <w:pPr>
        <w:numPr>
          <w:ilvl w:val="3"/>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Enhanced technology transfer and development</w:t>
      </w:r>
    </w:p>
    <w:p w:rsidR="00FE188E" w:rsidRDefault="0004364F">
      <w:pPr>
        <w:numPr>
          <w:ilvl w:val="3"/>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Enhanced funding for developing countries</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Parties agreed to reach new post-KP a</w:t>
      </w:r>
      <w:r>
        <w:rPr>
          <w:rFonts w:ascii="Times New Roman" w:eastAsia="Times New Roman" w:hAnsi="Times New Roman" w:cs="Times New Roman"/>
          <w:sz w:val="20"/>
          <w:szCs w:val="20"/>
        </w:rPr>
        <w:t>greement by 2009, when parties met in Copenhagen</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Process After Bali</w:t>
      </w:r>
    </w:p>
    <w:p w:rsidR="00FE188E" w:rsidRDefault="0004364F">
      <w:pPr>
        <w:numPr>
          <w:ilvl w:val="3"/>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Ad-Hoc Working Group on Long-term Cooperative Action – groups negotiate from UNFCCC, negotiation as CoP (note, US not a party to the KP)</w:t>
      </w:r>
    </w:p>
    <w:p w:rsidR="00FE188E" w:rsidRDefault="0004364F">
      <w:pPr>
        <w:numPr>
          <w:ilvl w:val="3"/>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Ad-Hoc Working Group on Kyoto Protocol – groups</w:t>
      </w:r>
      <w:r>
        <w:rPr>
          <w:rFonts w:ascii="Times New Roman" w:eastAsia="Times New Roman" w:hAnsi="Times New Roman" w:cs="Times New Roman"/>
          <w:sz w:val="20"/>
          <w:szCs w:val="20"/>
        </w:rPr>
        <w:t xml:space="preserve"> negotiate from KP to keep its structure but do more, negotiation as CoP/MoP</w:t>
      </w:r>
    </w:p>
    <w:p w:rsidR="00FE188E" w:rsidRDefault="0004364F">
      <w:pPr>
        <w:numPr>
          <w:ilvl w:val="0"/>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Building a New Climate Change Regime: From Copenhagen to Durban</w:t>
      </w:r>
    </w:p>
    <w:p w:rsidR="00FE188E" w:rsidRDefault="0004364F">
      <w:pPr>
        <w:numPr>
          <w:ilvl w:val="1"/>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Road to Copenhagen – developing countries arguing that developed countries must take the lead, NAMAs must be no</w:t>
      </w:r>
      <w:r>
        <w:rPr>
          <w:rFonts w:ascii="Times New Roman" w:eastAsia="Times New Roman" w:hAnsi="Times New Roman" w:cs="Times New Roman"/>
          <w:sz w:val="20"/>
          <w:szCs w:val="20"/>
        </w:rPr>
        <w:t>n-binding; US arguing that if no China/India, no US</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Options for Mitigations Communications</w:t>
      </w:r>
    </w:p>
    <w:p w:rsidR="00FE188E" w:rsidRDefault="0004364F">
      <w:pPr>
        <w:numPr>
          <w:ilvl w:val="3"/>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Intensity Targets – not absolute emissions caps (are they better?), might create longer-term changes decoupled from economic swings, e.g. energy efficiency might be “stickier” than emissions tied to economic performance</w:t>
      </w:r>
    </w:p>
    <w:p w:rsidR="00FE188E" w:rsidRDefault="0004364F">
      <w:pPr>
        <w:numPr>
          <w:ilvl w:val="3"/>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PAMs and Sustainable Development PAM</w:t>
      </w:r>
      <w:r>
        <w:rPr>
          <w:rFonts w:ascii="Times New Roman" w:eastAsia="Times New Roman" w:hAnsi="Times New Roman" w:cs="Times New Roman"/>
          <w:sz w:val="20"/>
          <w:szCs w:val="20"/>
        </w:rPr>
        <w:t xml:space="preserve">s – focus more on policies than on emissions levels </w:t>
      </w:r>
    </w:p>
    <w:p w:rsidR="00FE188E" w:rsidRDefault="0004364F">
      <w:pPr>
        <w:numPr>
          <w:ilvl w:val="1"/>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Copenhagen Accord, agreements – </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Stabilize concentrations at a level that will prevent dangerous anthropogenic interference with the climate system (increase should be below 2 °C</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That the countries n</w:t>
      </w:r>
      <w:r>
        <w:rPr>
          <w:rFonts w:ascii="Times New Roman" w:eastAsia="Times New Roman" w:hAnsi="Times New Roman" w:cs="Times New Roman"/>
          <w:sz w:val="20"/>
          <w:szCs w:val="20"/>
        </w:rPr>
        <w:t>eed deep cuts in global emissions and that emissions must peak, i.e. stop increasing, as soon as possible</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To increased action on adaptation, especially in least developed countries, small islands, and Africa</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Emissions limitations – Annex I parties to submi</w:t>
      </w:r>
      <w:r>
        <w:rPr>
          <w:rFonts w:ascii="Times New Roman" w:eastAsia="Times New Roman" w:hAnsi="Times New Roman" w:cs="Times New Roman"/>
          <w:sz w:val="20"/>
          <w:szCs w:val="20"/>
        </w:rPr>
        <w:t>t economy-wide targets by 2020, Non-Annex I parties to submit NAMAs</w:t>
      </w:r>
    </w:p>
    <w:p w:rsidR="00FE188E" w:rsidRDefault="0004364F">
      <w:pPr>
        <w:numPr>
          <w:ilvl w:val="3"/>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Many NAMAs were carbon-intensity targets</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REDD</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More money – $30 billion 2010-2012/$100 billion per year by 2020</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Technology mechanism</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Access Accord by 2015</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Last minute outcome – each party would submit its own commitments with different baselines and time frames, many contingent on other parties’ actions</w:t>
      </w:r>
    </w:p>
    <w:p w:rsidR="00FE188E" w:rsidRDefault="0004364F">
      <w:pPr>
        <w:numPr>
          <w:ilvl w:val="1"/>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Post-Copenhagen – meetings in Cancun, Mexico, Durban, South Africa, Doha, Qatar, Warsaw, Portland, Lima, P</w:t>
      </w:r>
      <w:r>
        <w:rPr>
          <w:rFonts w:ascii="Times New Roman" w:eastAsia="Times New Roman" w:hAnsi="Times New Roman" w:cs="Times New Roman"/>
          <w:sz w:val="20"/>
          <w:szCs w:val="20"/>
        </w:rPr>
        <w:t>eru, Paris, France</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Cancun Agreements and the Durban Package – adaptation, technology transfer, finance, loss and damage</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Durban Platform – legal form</w:t>
      </w:r>
    </w:p>
    <w:p w:rsidR="00FE188E" w:rsidRDefault="0004364F">
      <w:pPr>
        <w:numPr>
          <w:ilvl w:val="1"/>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KP II </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Lives, but US, Canada, Japan, Russia, and New Zealand all indicated would bail so that KP II</w:t>
      </w:r>
      <w:r>
        <w:rPr>
          <w:rFonts w:ascii="Times New Roman" w:eastAsia="Times New Roman" w:hAnsi="Times New Roman" w:cs="Times New Roman"/>
          <w:sz w:val="20"/>
          <w:szCs w:val="20"/>
        </w:rPr>
        <w:t xml:space="preserve"> consists of non-Annex I parties + EU + Australia</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Targets and timetables – Copenhagen Accord pledges, adjusted to have uniform baseline </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Eligibility for flexibility mechanisms – non-parties to KP II (that were parties to KP I) can participate in CDM and JI</w:t>
      </w:r>
      <w:r>
        <w:rPr>
          <w:rFonts w:ascii="Times New Roman" w:eastAsia="Times New Roman" w:hAnsi="Times New Roman" w:cs="Times New Roman"/>
          <w:sz w:val="20"/>
          <w:szCs w:val="20"/>
        </w:rPr>
        <w:t xml:space="preserve"> but cannot acquire or transfer credits towards meeting pledges</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AAU banking/carry over – CERs and ERUs can carry over but only up to 2.5% of each party’s AA; banked AAUs go into separate account (surplus reserve account) – can be used for compliance with e</w:t>
      </w:r>
      <w:r>
        <w:rPr>
          <w:rFonts w:ascii="Times New Roman" w:eastAsia="Times New Roman" w:hAnsi="Times New Roman" w:cs="Times New Roman"/>
          <w:sz w:val="20"/>
          <w:szCs w:val="20"/>
        </w:rPr>
        <w:t>missions greater than AA during KP II, can trade from surplus accounts but only up to 2% of KP I AA, most parties said they will not use surplus anyway</w:t>
      </w:r>
    </w:p>
    <w:p w:rsidR="00FE188E" w:rsidRDefault="0004364F">
      <w:pPr>
        <w:numPr>
          <w:ilvl w:val="2"/>
          <w:numId w:val="12"/>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Entry into force/provisional application – entry requires ¾ of KP parties to ratify, as of Oct. 1, 2015 </w:t>
      </w:r>
      <w:r>
        <w:rPr>
          <w:rFonts w:ascii="Times New Roman" w:eastAsia="Times New Roman" w:hAnsi="Times New Roman" w:cs="Times New Roman"/>
          <w:sz w:val="20"/>
          <w:szCs w:val="20"/>
        </w:rPr>
        <w:t>48/144 parties had ratified, provisional application basically means parties will act like KP II is ratified</w:t>
      </w:r>
    </w:p>
    <w:p w:rsidR="00FE188E" w:rsidRDefault="00FE188E">
      <w:pPr>
        <w:rPr>
          <w:rFonts w:ascii="Times New Roman" w:eastAsia="Times New Roman" w:hAnsi="Times New Roman" w:cs="Times New Roman"/>
          <w:sz w:val="20"/>
          <w:szCs w:val="20"/>
        </w:rPr>
      </w:pPr>
    </w:p>
    <w:p w:rsidR="00FE188E" w:rsidRDefault="0004364F">
      <w:pPr>
        <w:pStyle w:val="Heading2"/>
        <w:spacing w:before="0" w:after="0"/>
        <w:jc w:val="center"/>
        <w:rPr>
          <w:rFonts w:ascii="Times New Roman" w:eastAsia="Times New Roman" w:hAnsi="Times New Roman" w:cs="Times New Roman"/>
          <w:sz w:val="24"/>
          <w:szCs w:val="24"/>
        </w:rPr>
      </w:pPr>
      <w:bookmarkStart w:id="10" w:name="_pf7tps1mgiq4" w:colFirst="0" w:colLast="0"/>
      <w:bookmarkEnd w:id="10"/>
      <w:r>
        <w:rPr>
          <w:rFonts w:ascii="Times New Roman" w:eastAsia="Times New Roman" w:hAnsi="Times New Roman" w:cs="Times New Roman"/>
          <w:sz w:val="24"/>
          <w:szCs w:val="24"/>
        </w:rPr>
        <w:t>The Paris Agreement</w:t>
      </w:r>
    </w:p>
    <w:p w:rsidR="00FE188E" w:rsidRDefault="0004364F">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Pre-Paris Major Issues </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What is adequate MRV?</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to fund and facilitate adaptation? – National Adaptation Programs of Actions</w:t>
      </w:r>
      <w:r>
        <w:rPr>
          <w:rFonts w:ascii="Times New Roman" w:eastAsia="Times New Roman" w:hAnsi="Times New Roman" w:cs="Times New Roman"/>
          <w:sz w:val="20"/>
          <w:szCs w:val="20"/>
        </w:rPr>
        <w:t xml:space="preserve"> (NAPAs) (tactics) and National Adaptation Plans (NAPs) (strategies)</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to fund and facilitate technology transfer?</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to facilitate finance? – Green Climate Fund</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to deal with loss and damage?</w:t>
      </w:r>
    </w:p>
    <w:p w:rsidR="00FE188E" w:rsidRDefault="0004364F">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Lead-up to Paris</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Lima Accords – there parties agreed to s</w:t>
      </w:r>
      <w:r>
        <w:rPr>
          <w:rFonts w:ascii="Times New Roman" w:eastAsia="Times New Roman" w:hAnsi="Times New Roman" w:cs="Times New Roman"/>
          <w:sz w:val="20"/>
          <w:szCs w:val="20"/>
        </w:rPr>
        <w:t>ubmit Intended Nationally Determined Contributions (INDCs) before the Paris Agreement</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Essentially COPenhagen Accord process in reverse – domestic commitments first, then collective agreement</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INDCs – each party’s proposed post-2020 domestic strategies for m</w:t>
      </w:r>
      <w:r>
        <w:rPr>
          <w:rFonts w:ascii="Times New Roman" w:eastAsia="Times New Roman" w:hAnsi="Times New Roman" w:cs="Times New Roman"/>
          <w:sz w:val="20"/>
          <w:szCs w:val="20"/>
        </w:rPr>
        <w:t>itigation and, they choose, adaptation</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Reflects each country’s ambition for reducing emissions, taking into account domestic circumstances and capabilities – meaning each country decides what it will do, some of them included contingencies</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Once paris Agree</w:t>
      </w:r>
      <w:r>
        <w:rPr>
          <w:rFonts w:ascii="Times New Roman" w:eastAsia="Times New Roman" w:hAnsi="Times New Roman" w:cs="Times New Roman"/>
          <w:sz w:val="20"/>
          <w:szCs w:val="20"/>
        </w:rPr>
        <w:t>ment adopted, INDCs will become NDCs</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Includes actual emissions reductions strategies, including any targets and timetables</w:t>
      </w:r>
    </w:p>
    <w:p w:rsidR="00FE188E" w:rsidRDefault="0004364F">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Key provisions</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Art. 2 Goals – strengthen the global response (keep temperature increase well below 2 °C and pursue efforts to limit to 1.5 °C); increase ability to adopt and foster climate resilience and low GHG emissions development (resilience is beyond adaptation; not</w:t>
      </w:r>
      <w:r>
        <w:rPr>
          <w:rFonts w:ascii="Times New Roman" w:eastAsia="Times New Roman" w:hAnsi="Times New Roman" w:cs="Times New Roman"/>
          <w:sz w:val="20"/>
          <w:szCs w:val="20"/>
        </w:rPr>
        <w:t xml:space="preserve"> just sustainable development); financing consistent with low GHG emissions and resilient development  </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4 Mitigation – </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Global peaking asap and rapid reductions after so as to achieve balance between anthropogenic emissions by sources and removals</w:t>
      </w:r>
      <w:r>
        <w:rPr>
          <w:rFonts w:ascii="Times New Roman" w:eastAsia="Times New Roman" w:hAnsi="Times New Roman" w:cs="Times New Roman"/>
          <w:sz w:val="20"/>
          <w:szCs w:val="20"/>
        </w:rPr>
        <w:t xml:space="preserve"> by sinks (sounds like carbon neutrality)</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(2)/(3) Successive NDCs – progressive beyond current NDC and highest possible ambition under common but different responsibilities (CBDR)</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 Developed parties take the lead by undertaking economy-wide absolute emi</w:t>
      </w:r>
      <w:r>
        <w:rPr>
          <w:rFonts w:ascii="Times New Roman" w:eastAsia="Times New Roman" w:hAnsi="Times New Roman" w:cs="Times New Roman"/>
          <w:sz w:val="20"/>
          <w:szCs w:val="20"/>
        </w:rPr>
        <w:t>ssion reduction targets, developing countries continue enhancing mitigation efforts and move toward targets</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(5) Support to developing country parties to implement</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(7) Mitigation co-benefits from adaptation/economic diversification can contribute to mitigat</w:t>
      </w:r>
      <w:r>
        <w:rPr>
          <w:rFonts w:ascii="Times New Roman" w:eastAsia="Times New Roman" w:hAnsi="Times New Roman" w:cs="Times New Roman"/>
          <w:sz w:val="20"/>
          <w:szCs w:val="20"/>
        </w:rPr>
        <w:t>ion</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(9)/(12) NDC every five years, record in public registry</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(13) Account for NDCs and avoid double-counting</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(16)–(18) EU Bubble</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(19) Formulate and communicate long-term low GHG emission development strategies</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Art. 6 Cooperation (trading) –</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Cooperation</w:t>
      </w:r>
      <w:r>
        <w:rPr>
          <w:rFonts w:ascii="Times New Roman" w:eastAsia="Times New Roman" w:hAnsi="Times New Roman" w:cs="Times New Roman"/>
          <w:sz w:val="20"/>
          <w:szCs w:val="20"/>
        </w:rPr>
        <w:t xml:space="preserve"> involving “internationally transferred mitigation outcomes” (ITMOs) should avoid double-counting</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(3) Use of ITMOs should be voluntary and authorized by participating parties</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 Mechanism created</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(5) No double-counting (again)</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(6) Share of proceeds should</w:t>
      </w:r>
      <w:r>
        <w:rPr>
          <w:rFonts w:ascii="Times New Roman" w:eastAsia="Times New Roman" w:hAnsi="Times New Roman" w:cs="Times New Roman"/>
          <w:sz w:val="20"/>
          <w:szCs w:val="20"/>
        </w:rPr>
        <w:t xml:space="preserve"> cover administrative costs and help to pay for adaptation</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(8) Integrated non-market approaches are important too</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7–8 Adaptation – </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Global goal – enhance adaptive capacity, resilience, and sustainable development</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 More mitigation reduces need f</w:t>
      </w:r>
      <w:r>
        <w:rPr>
          <w:rFonts w:ascii="Times New Roman" w:eastAsia="Times New Roman" w:hAnsi="Times New Roman" w:cs="Times New Roman"/>
          <w:sz w:val="20"/>
          <w:szCs w:val="20"/>
        </w:rPr>
        <w:t>or more adaptation</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(5) Adaptation should be country-driven, gender-responsive, participatory, transparent, etc. (i.e. don’t use adaptation as an excuse for bad social policy)</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(9) Each party is responsible for adaptation and planning</w:t>
      </w:r>
      <w:r>
        <w:rPr>
          <w:rFonts w:ascii="Times New Roman" w:eastAsia="Times New Roman" w:hAnsi="Times New Roman" w:cs="Times New Roman"/>
          <w:sz w:val="20"/>
          <w:szCs w:val="20"/>
        </w:rPr>
        <w:tab/>
        <w:t xml:space="preserve"> </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Art. 9 Financial Reso</w:t>
      </w:r>
      <w:r>
        <w:rPr>
          <w:rFonts w:ascii="Times New Roman" w:eastAsia="Times New Roman" w:hAnsi="Times New Roman" w:cs="Times New Roman"/>
          <w:sz w:val="20"/>
          <w:szCs w:val="20"/>
        </w:rPr>
        <w:t xml:space="preserve">urces – </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Developed countries shall assist developing country parties</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Financing should come from a variety of sources and should represent a progression beyond previous efforts</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 Scaled-up financing should be balanced between adaptation and mitigation</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10 Technology Transfer – </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Parties share long-term vision on importance of fully realizing technology development and transfer</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Shall strengthen cooperative action on t</w:t>
      </w:r>
      <w:r>
        <w:rPr>
          <w:rFonts w:ascii="Times New Roman" w:eastAsia="Times New Roman" w:hAnsi="Times New Roman" w:cs="Times New Roman"/>
          <w:sz w:val="20"/>
          <w:szCs w:val="20"/>
        </w:rPr>
        <w:t>echnology development and transfer</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Will use technology mechanism to implement</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11 Capacity-Building – </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Capacity-building will enhance ability of developing country parties to deal with climate change</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Should be country-driven</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 14 Global </w:t>
      </w:r>
      <w:r>
        <w:rPr>
          <w:rFonts w:ascii="Times New Roman" w:eastAsia="Times New Roman" w:hAnsi="Times New Roman" w:cs="Times New Roman"/>
          <w:sz w:val="20"/>
          <w:szCs w:val="20"/>
        </w:rPr>
        <w:t xml:space="preserve">Stocktake – </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Parties will periodically take stock of implementation to access collective progress towards achieving purpose of Paris Agreement and its long-term goals</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First global stocktake in 2023 and every five years thereafter</w:t>
      </w:r>
    </w:p>
    <w:p w:rsidR="00FE188E" w:rsidRDefault="0004364F">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Will  inform p</w:t>
      </w:r>
      <w:r>
        <w:rPr>
          <w:rFonts w:ascii="Times New Roman" w:eastAsia="Times New Roman" w:hAnsi="Times New Roman" w:cs="Times New Roman"/>
          <w:sz w:val="20"/>
          <w:szCs w:val="20"/>
        </w:rPr>
        <w:t>arties re NDC updates and enhancements</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Art. 20 Ratification – open for signature and subject to ratification, acceptance, or approval between April 22, 2016 and April 21, 2017</w:t>
      </w:r>
    </w:p>
    <w:p w:rsidR="00FE188E" w:rsidRDefault="0004364F">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Art. 21 Entry into Force – 30 days after date on which at least 55 parties accou</w:t>
      </w:r>
      <w:r>
        <w:rPr>
          <w:rFonts w:ascii="Times New Roman" w:eastAsia="Times New Roman" w:hAnsi="Times New Roman" w:cs="Times New Roman"/>
          <w:sz w:val="20"/>
          <w:szCs w:val="20"/>
        </w:rPr>
        <w:t>nting for at least 55% of total GHGs ratify, entered into force in time for Marrakech COP22 with EU ratification</w:t>
      </w:r>
    </w:p>
    <w:p w:rsidR="00FE188E" w:rsidRDefault="00FE188E">
      <w:pPr>
        <w:rPr>
          <w:rFonts w:ascii="Times New Roman" w:eastAsia="Times New Roman" w:hAnsi="Times New Roman" w:cs="Times New Roman"/>
          <w:sz w:val="20"/>
          <w:szCs w:val="20"/>
        </w:rPr>
      </w:pPr>
    </w:p>
    <w:p w:rsidR="00FE188E" w:rsidRDefault="0004364F">
      <w:pPr>
        <w:pStyle w:val="Heading1"/>
        <w:spacing w:before="0" w:after="0"/>
        <w:jc w:val="center"/>
        <w:rPr>
          <w:rFonts w:ascii="Times New Roman" w:eastAsia="Times New Roman" w:hAnsi="Times New Roman" w:cs="Times New Roman"/>
          <w:sz w:val="24"/>
          <w:szCs w:val="24"/>
        </w:rPr>
      </w:pPr>
      <w:bookmarkStart w:id="11" w:name="_iyaz873luh2x" w:colFirst="0" w:colLast="0"/>
      <w:bookmarkEnd w:id="11"/>
      <w:r>
        <w:rPr>
          <w:rFonts w:ascii="Times New Roman" w:eastAsia="Times New Roman" w:hAnsi="Times New Roman" w:cs="Times New Roman"/>
          <w:sz w:val="24"/>
          <w:szCs w:val="24"/>
        </w:rPr>
        <w:t>THE DOMESTIC CLIMATE REGIME</w:t>
      </w:r>
    </w:p>
    <w:p w:rsidR="00FE188E" w:rsidRDefault="0004364F">
      <w:pPr>
        <w:pStyle w:val="Heading2"/>
        <w:spacing w:before="0" w:after="0"/>
        <w:jc w:val="center"/>
        <w:rPr>
          <w:rFonts w:ascii="Times New Roman" w:eastAsia="Times New Roman" w:hAnsi="Times New Roman" w:cs="Times New Roman"/>
          <w:sz w:val="24"/>
          <w:szCs w:val="24"/>
        </w:rPr>
      </w:pPr>
      <w:bookmarkStart w:id="12" w:name="_qxsfggdsey0i" w:colFirst="0" w:colLast="0"/>
      <w:bookmarkEnd w:id="12"/>
      <w:r>
        <w:rPr>
          <w:rFonts w:ascii="Times New Roman" w:eastAsia="Times New Roman" w:hAnsi="Times New Roman" w:cs="Times New Roman"/>
          <w:sz w:val="24"/>
          <w:szCs w:val="24"/>
        </w:rPr>
        <w:t>U.S. Climate Policy</w:t>
      </w:r>
    </w:p>
    <w:p w:rsidR="00FE188E" w:rsidRDefault="0004364F">
      <w:pPr>
        <w:numPr>
          <w:ilvl w:val="0"/>
          <w:numId w:val="6"/>
        </w:numPr>
        <w:rPr>
          <w:rFonts w:ascii="Times New Roman" w:eastAsia="Times New Roman" w:hAnsi="Times New Roman" w:cs="Times New Roman"/>
          <w:sz w:val="20"/>
          <w:szCs w:val="20"/>
        </w:rPr>
      </w:pPr>
      <w:r>
        <w:rPr>
          <w:rFonts w:ascii="Times New Roman" w:eastAsia="Times New Roman" w:hAnsi="Times New Roman" w:cs="Times New Roman"/>
          <w:sz w:val="20"/>
          <w:szCs w:val="20"/>
        </w:rPr>
        <w:t>U.S. Climate Policy: 1970s-2012</w:t>
      </w:r>
    </w:p>
    <w:p w:rsidR="00FE188E" w:rsidRDefault="0004364F">
      <w:pPr>
        <w:numPr>
          <w:ilvl w:val="1"/>
          <w:numId w:val="6"/>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1970s and 1980s</w:t>
      </w:r>
    </w:p>
    <w:p w:rsidR="00FE188E" w:rsidRDefault="0004364F">
      <w:pPr>
        <w:numPr>
          <w:ilvl w:val="1"/>
          <w:numId w:val="6"/>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1990s</w:t>
      </w:r>
    </w:p>
    <w:p w:rsidR="00FE188E" w:rsidRDefault="0004364F">
      <w:pPr>
        <w:numPr>
          <w:ilvl w:val="1"/>
          <w:numId w:val="6"/>
        </w:numPr>
        <w:rPr>
          <w:rFonts w:ascii="Times New Roman" w:eastAsia="Times New Roman" w:hAnsi="Times New Roman" w:cs="Times New Roman"/>
          <w:sz w:val="20"/>
          <w:szCs w:val="20"/>
        </w:rPr>
      </w:pPr>
      <w:r>
        <w:rPr>
          <w:rFonts w:ascii="Times New Roman" w:eastAsia="Times New Roman" w:hAnsi="Times New Roman" w:cs="Times New Roman"/>
          <w:sz w:val="20"/>
          <w:szCs w:val="20"/>
        </w:rPr>
        <w:t>2000-2008</w:t>
      </w:r>
    </w:p>
    <w:p w:rsidR="00FE188E" w:rsidRDefault="0004364F">
      <w:pPr>
        <w:numPr>
          <w:ilvl w:val="2"/>
          <w:numId w:val="6"/>
        </w:numPr>
        <w:rPr>
          <w:rFonts w:ascii="Times New Roman" w:eastAsia="Times New Roman" w:hAnsi="Times New Roman" w:cs="Times New Roman"/>
          <w:sz w:val="20"/>
          <w:szCs w:val="20"/>
        </w:rPr>
      </w:pPr>
      <w:r>
        <w:rPr>
          <w:rFonts w:ascii="Times New Roman" w:eastAsia="Times New Roman" w:hAnsi="Times New Roman" w:cs="Times New Roman"/>
          <w:sz w:val="20"/>
          <w:szCs w:val="20"/>
        </w:rPr>
        <w:t>Climate in the Courts</w:t>
      </w:r>
    </w:p>
    <w:p w:rsidR="00FE188E" w:rsidRDefault="0004364F">
      <w:pPr>
        <w:numPr>
          <w:ilvl w:val="2"/>
          <w:numId w:val="6"/>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State and Local Efforts</w:t>
      </w:r>
    </w:p>
    <w:p w:rsidR="00FE188E" w:rsidRDefault="0004364F">
      <w:pPr>
        <w:numPr>
          <w:ilvl w:val="1"/>
          <w:numId w:val="6"/>
        </w:numPr>
        <w:rPr>
          <w:rFonts w:ascii="Times New Roman" w:eastAsia="Times New Roman" w:hAnsi="Times New Roman" w:cs="Times New Roman"/>
          <w:sz w:val="20"/>
          <w:szCs w:val="20"/>
        </w:rPr>
      </w:pPr>
      <w:r>
        <w:rPr>
          <w:rFonts w:ascii="Times New Roman" w:eastAsia="Times New Roman" w:hAnsi="Times New Roman" w:cs="Times New Roman"/>
          <w:sz w:val="20"/>
          <w:szCs w:val="20"/>
        </w:rPr>
        <w:t>2009-2012</w:t>
      </w:r>
    </w:p>
    <w:p w:rsidR="00FE188E" w:rsidRDefault="0004364F">
      <w:pPr>
        <w:numPr>
          <w:ilvl w:val="2"/>
          <w:numId w:val="6"/>
        </w:numPr>
        <w:rPr>
          <w:rFonts w:ascii="Times New Roman" w:eastAsia="Times New Roman" w:hAnsi="Times New Roman" w:cs="Times New Roman"/>
          <w:sz w:val="20"/>
          <w:szCs w:val="20"/>
        </w:rPr>
      </w:pPr>
      <w:r>
        <w:rPr>
          <w:rFonts w:ascii="Times New Roman" w:eastAsia="Times New Roman" w:hAnsi="Times New Roman" w:cs="Times New Roman"/>
          <w:sz w:val="20"/>
          <w:szCs w:val="20"/>
        </w:rPr>
        <w:t>Clean Air Act Regulation</w:t>
      </w:r>
    </w:p>
    <w:p w:rsidR="00FE188E" w:rsidRDefault="0004364F">
      <w:pPr>
        <w:numPr>
          <w:ilvl w:val="2"/>
          <w:numId w:val="6"/>
        </w:numPr>
        <w:rPr>
          <w:rFonts w:ascii="Times New Roman" w:eastAsia="Times New Roman" w:hAnsi="Times New Roman" w:cs="Times New Roman"/>
          <w:sz w:val="20"/>
          <w:szCs w:val="20"/>
        </w:rPr>
      </w:pPr>
      <w:r>
        <w:rPr>
          <w:rFonts w:ascii="Times New Roman" w:eastAsia="Times New Roman" w:hAnsi="Times New Roman" w:cs="Times New Roman"/>
          <w:sz w:val="20"/>
          <w:szCs w:val="20"/>
        </w:rPr>
        <w:t>Fuel Economy Standards</w:t>
      </w:r>
    </w:p>
    <w:p w:rsidR="00FE188E" w:rsidRDefault="0004364F">
      <w:pPr>
        <w:numPr>
          <w:ilvl w:val="2"/>
          <w:numId w:val="6"/>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Renewable Fuel Development</w:t>
      </w:r>
    </w:p>
    <w:p w:rsidR="00FE188E" w:rsidRDefault="0004364F">
      <w:pPr>
        <w:numPr>
          <w:ilvl w:val="2"/>
          <w:numId w:val="6"/>
        </w:numPr>
        <w:rPr>
          <w:rFonts w:ascii="Times New Roman" w:eastAsia="Times New Roman" w:hAnsi="Times New Roman" w:cs="Times New Roman"/>
          <w:sz w:val="20"/>
          <w:szCs w:val="20"/>
        </w:rPr>
      </w:pPr>
      <w:r>
        <w:rPr>
          <w:rFonts w:ascii="Times New Roman" w:eastAsia="Times New Roman" w:hAnsi="Times New Roman" w:cs="Times New Roman"/>
          <w:sz w:val="20"/>
          <w:szCs w:val="20"/>
        </w:rPr>
        <w:t>Climate in the Courts</w:t>
      </w:r>
    </w:p>
    <w:p w:rsidR="00FE188E" w:rsidRDefault="0004364F">
      <w:pPr>
        <w:numPr>
          <w:ilvl w:val="2"/>
          <w:numId w:val="6"/>
        </w:numPr>
        <w:rPr>
          <w:rFonts w:ascii="Times New Roman" w:eastAsia="Times New Roman" w:hAnsi="Times New Roman" w:cs="Times New Roman"/>
          <w:sz w:val="20"/>
          <w:szCs w:val="20"/>
        </w:rPr>
      </w:pPr>
      <w:r>
        <w:rPr>
          <w:rFonts w:ascii="Times New Roman" w:eastAsia="Times New Roman" w:hAnsi="Times New Roman" w:cs="Times New Roman"/>
          <w:sz w:val="20"/>
          <w:szCs w:val="20"/>
        </w:rPr>
        <w:t>Climate Change Legislation</w:t>
      </w:r>
    </w:p>
    <w:p w:rsidR="00FE188E" w:rsidRDefault="0004364F">
      <w:pPr>
        <w:numPr>
          <w:ilvl w:val="2"/>
          <w:numId w:val="6"/>
        </w:numPr>
        <w:rPr>
          <w:rFonts w:ascii="Times New Roman" w:eastAsia="Times New Roman" w:hAnsi="Times New Roman" w:cs="Times New Roman"/>
          <w:sz w:val="20"/>
          <w:szCs w:val="20"/>
        </w:rPr>
      </w:pPr>
      <w:r>
        <w:rPr>
          <w:rFonts w:ascii="Times New Roman" w:eastAsia="Times New Roman" w:hAnsi="Times New Roman" w:cs="Times New Roman"/>
          <w:sz w:val="20"/>
          <w:szCs w:val="20"/>
        </w:rPr>
        <w:t>2009-2012: A Fundamental Change in Climate Policy or Business-as-Usual?</w:t>
      </w:r>
    </w:p>
    <w:p w:rsidR="00FE188E" w:rsidRDefault="0004364F">
      <w:pPr>
        <w:numPr>
          <w:ilvl w:val="0"/>
          <w:numId w:val="6"/>
        </w:numPr>
        <w:rPr>
          <w:rFonts w:ascii="Times New Roman" w:eastAsia="Times New Roman" w:hAnsi="Times New Roman" w:cs="Times New Roman"/>
          <w:sz w:val="20"/>
          <w:szCs w:val="20"/>
        </w:rPr>
      </w:pPr>
      <w:r>
        <w:rPr>
          <w:rFonts w:ascii="Times New Roman" w:eastAsia="Times New Roman" w:hAnsi="Times New Roman" w:cs="Times New Roman"/>
          <w:sz w:val="20"/>
          <w:szCs w:val="20"/>
        </w:rPr>
        <w:t>U.S. Climate Policy: The Future?</w:t>
      </w:r>
    </w:p>
    <w:p w:rsidR="00FE188E" w:rsidRDefault="00FE188E">
      <w:pPr>
        <w:rPr>
          <w:rFonts w:ascii="Times New Roman" w:eastAsia="Times New Roman" w:hAnsi="Times New Roman" w:cs="Times New Roman"/>
          <w:sz w:val="20"/>
          <w:szCs w:val="20"/>
        </w:rPr>
      </w:pPr>
    </w:p>
    <w:p w:rsidR="00FE188E" w:rsidRDefault="0004364F">
      <w:pPr>
        <w:pStyle w:val="Heading2"/>
        <w:spacing w:before="0" w:after="0"/>
        <w:jc w:val="center"/>
        <w:rPr>
          <w:rFonts w:ascii="Times New Roman" w:eastAsia="Times New Roman" w:hAnsi="Times New Roman" w:cs="Times New Roman"/>
          <w:sz w:val="24"/>
          <w:szCs w:val="24"/>
        </w:rPr>
      </w:pPr>
      <w:bookmarkStart w:id="13" w:name="_kpweiidkwmk3" w:colFirst="0" w:colLast="0"/>
      <w:bookmarkEnd w:id="13"/>
      <w:r>
        <w:rPr>
          <w:rFonts w:ascii="Times New Roman" w:eastAsia="Times New Roman" w:hAnsi="Times New Roman" w:cs="Times New Roman"/>
          <w:sz w:val="24"/>
          <w:szCs w:val="24"/>
        </w:rPr>
        <w:lastRenderedPageBreak/>
        <w:t>Climate Change Regulation Under the Clean Air Act</w:t>
      </w:r>
    </w:p>
    <w:p w:rsidR="00FE188E" w:rsidRDefault="0004364F">
      <w:pPr>
        <w:numPr>
          <w:ilvl w:val="0"/>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Introduction</w:t>
      </w:r>
    </w:p>
    <w:p w:rsidR="00FE188E" w:rsidRDefault="0004364F">
      <w:pPr>
        <w:numPr>
          <w:ilvl w:val="0"/>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Overview of the CAA</w:t>
      </w:r>
    </w:p>
    <w:p w:rsidR="00FE188E" w:rsidRDefault="0004364F">
      <w:pPr>
        <w:numPr>
          <w:ilvl w:val="1"/>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National Ambient Air Quality Standards (NAAQS)</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EPA must list pollutants as “criteria pollutants” any air pollutant which may cause or contr</w:t>
      </w:r>
      <w:r>
        <w:rPr>
          <w:rFonts w:ascii="Times New Roman" w:eastAsia="Times New Roman" w:hAnsi="Times New Roman" w:cs="Times New Roman"/>
          <w:sz w:val="20"/>
          <w:szCs w:val="20"/>
        </w:rPr>
        <w:t>ibute to an endangerment to public health (human health) or welfare (includes “climate,” more broadly the environment)</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For each criteria pollutant EPA must establish NAAQs </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Primary NAAQs – protect public health with adequate margin of safety</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Secondary NAAQ</w:t>
      </w:r>
      <w:r>
        <w:rPr>
          <w:rFonts w:ascii="Times New Roman" w:eastAsia="Times New Roman" w:hAnsi="Times New Roman" w:cs="Times New Roman"/>
          <w:sz w:val="20"/>
          <w:szCs w:val="20"/>
        </w:rPr>
        <w:t>S – protect public welfare (note, no “with adequate margin of safety)</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Once NAAQs set, all regions of the country must meet them, each airshed designated as in attainment, nonattainment (requiring stringent requirements, limits on new development, possible </w:t>
      </w:r>
      <w:r>
        <w:rPr>
          <w:rFonts w:ascii="Times New Roman" w:eastAsia="Times New Roman" w:hAnsi="Times New Roman" w:cs="Times New Roman"/>
          <w:sz w:val="20"/>
          <w:szCs w:val="20"/>
        </w:rPr>
        <w:t>fines and sanctions), unclassifiable, maintenance (interim after being in nonattainment)</w:t>
      </w:r>
    </w:p>
    <w:p w:rsidR="00FE188E" w:rsidRDefault="0004364F">
      <w:pPr>
        <w:numPr>
          <w:ilvl w:val="1"/>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State Implementation Plans (SIPs) – states have the primary responsibility to meet the NAAQS through SIPs</w:t>
      </w:r>
    </w:p>
    <w:p w:rsidR="00FE188E" w:rsidRDefault="0004364F">
      <w:pPr>
        <w:numPr>
          <w:ilvl w:val="1"/>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Stationary Source Emissions Standards or Limitations</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New Sour</w:t>
      </w:r>
      <w:r>
        <w:rPr>
          <w:rFonts w:ascii="Times New Roman" w:eastAsia="Times New Roman" w:hAnsi="Times New Roman" w:cs="Times New Roman"/>
          <w:sz w:val="20"/>
          <w:szCs w:val="20"/>
        </w:rPr>
        <w:t>ce Performance Standards</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Applies to categories and classes of sources for new and modified facilities  </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EPA develops the standards on national level based on Best Adequately Demonstrated Technology (BADT)</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For some pollutants, EPA must establish standards f</w:t>
      </w:r>
      <w:r>
        <w:rPr>
          <w:rFonts w:ascii="Times New Roman" w:eastAsia="Times New Roman" w:hAnsi="Times New Roman" w:cs="Times New Roman"/>
          <w:sz w:val="20"/>
          <w:szCs w:val="20"/>
        </w:rPr>
        <w:t>or existing sources – e.g. Clean Power Plan (§ 111(d)) – existing source standards for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emissions from power plants</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New Source Review: Prevention of Significant Deterioration</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Applies to “major sources” (100 tpy for 28 listed categories/250 tpy for non-listed categories)</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Requires: Preconstruction permit, compliance with emissions limitations (Best Available Control Technology (BACT)) set case-by-case not categorically, protect a</w:t>
      </w:r>
      <w:r>
        <w:rPr>
          <w:rFonts w:ascii="Times New Roman" w:eastAsia="Times New Roman" w:hAnsi="Times New Roman" w:cs="Times New Roman"/>
          <w:sz w:val="20"/>
          <w:szCs w:val="20"/>
        </w:rPr>
        <w:t>ir quality</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National Emissions Standards for Hazardous Air Pollutants</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Title IV Acid Rain Program</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Title V Permits</w:t>
      </w:r>
    </w:p>
    <w:p w:rsidR="00FE188E" w:rsidRDefault="0004364F">
      <w:pPr>
        <w:numPr>
          <w:ilvl w:val="1"/>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Mobile Source Emissions Standards (i.e. vehicles)</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Standards apply to pollutants that, in EPA’s judgment, “cause or contribute” to an endangerment of public health or welfare – tech-based controls </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EPA has primary, preemptive authority to establish vehicle emissions standards for vehicles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California ma</w:t>
      </w:r>
      <w:r>
        <w:rPr>
          <w:rFonts w:ascii="Times New Roman" w:eastAsia="Times New Roman" w:hAnsi="Times New Roman" w:cs="Times New Roman"/>
          <w:sz w:val="20"/>
          <w:szCs w:val="20"/>
        </w:rPr>
        <w:t>y develop its own standards if it gets a waiver and other states then get to pick between California standards and federal standards</w:t>
      </w:r>
    </w:p>
    <w:p w:rsidR="00FE188E" w:rsidRDefault="0004364F">
      <w:pPr>
        <w:numPr>
          <w:ilvl w:val="0"/>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Massachusetts v. EPA: The Authority to Regulate</w:t>
      </w:r>
    </w:p>
    <w:p w:rsidR="00FE188E" w:rsidRDefault="0004364F">
      <w:pPr>
        <w:numPr>
          <w:ilvl w:val="1"/>
          <w:numId w:val="4"/>
        </w:numPr>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Massachusetts v. Environmental Protection Agency</w:t>
      </w:r>
      <w:r>
        <w:rPr>
          <w:rFonts w:ascii="Times New Roman" w:eastAsia="Times New Roman" w:hAnsi="Times New Roman" w:cs="Times New Roman"/>
          <w:sz w:val="20"/>
          <w:szCs w:val="20"/>
          <w:shd w:val="clear" w:color="auto" w:fill="FFF2CC"/>
        </w:rPr>
        <w:t xml:space="preserve"> (S. Ct., 2007)</w:t>
      </w:r>
    </w:p>
    <w:p w:rsidR="00FE188E" w:rsidRDefault="0004364F">
      <w:pPr>
        <w:ind w:left="144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F/PH:</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sz w:val="20"/>
          <w:szCs w:val="20"/>
        </w:rPr>
        <w:t>Petit</w:t>
      </w:r>
      <w:r>
        <w:rPr>
          <w:rFonts w:ascii="Times New Roman" w:eastAsia="Times New Roman" w:hAnsi="Times New Roman" w:cs="Times New Roman"/>
          <w:sz w:val="20"/>
          <w:szCs w:val="20"/>
        </w:rPr>
        <w:t xml:space="preserve">ion EPA to regulate GHGs as pollutants from new motor vehicles under Title II of the CAA (re endangerment finding – “...Administrator shall by regulation prescribe… standards applicable to the emission of any air pollutant from any class or classes of new </w:t>
      </w:r>
      <w:r>
        <w:rPr>
          <w:rFonts w:ascii="Times New Roman" w:eastAsia="Times New Roman" w:hAnsi="Times New Roman" w:cs="Times New Roman"/>
          <w:sz w:val="20"/>
          <w:szCs w:val="20"/>
        </w:rPr>
        <w:t>motor vehicles or new motor vehicle engines, which in [her] judgment cause, or contribute to, air pollution which may reasonably be anticipated to endanger public health of welfare”; “air pollutant” – Act defines to include “any air pollution agent or comb</w:t>
      </w:r>
      <w:r>
        <w:rPr>
          <w:rFonts w:ascii="Times New Roman" w:eastAsia="Times New Roman" w:hAnsi="Times New Roman" w:cs="Times New Roman"/>
          <w:sz w:val="20"/>
          <w:szCs w:val="20"/>
        </w:rPr>
        <w:t>ination of such agents, including any physical, chemical, biological, radioactive... substance or matter which is emitted into or otherwise enters the ambient air”). EPA denied petition alleging (1) the CAA does not authorize EPA to regulate GHGs as air po</w:t>
      </w:r>
      <w:r>
        <w:rPr>
          <w:rFonts w:ascii="Times New Roman" w:eastAsia="Times New Roman" w:hAnsi="Times New Roman" w:cs="Times New Roman"/>
          <w:sz w:val="20"/>
          <w:szCs w:val="20"/>
        </w:rPr>
        <w:t xml:space="preserve">llutants and (2) even if it does, it would be unwise to do so at this time, e.g. internationally, presidential politics. </w:t>
      </w:r>
    </w:p>
    <w:p w:rsidR="00FE188E" w:rsidRDefault="0004364F">
      <w:pPr>
        <w:ind w:left="144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EPA: </w:t>
      </w:r>
      <w:r>
        <w:rPr>
          <w:rFonts w:ascii="Times New Roman" w:eastAsia="Times New Roman" w:hAnsi="Times New Roman" w:cs="Times New Roman"/>
          <w:sz w:val="20"/>
          <w:szCs w:val="20"/>
        </w:rPr>
        <w:t>^, also DOT is delegated implementation of CAFE standards and Congress didn’t care about climate change in the 1970s when the CAA</w:t>
      </w:r>
      <w:r>
        <w:rPr>
          <w:rFonts w:ascii="Times New Roman" w:eastAsia="Times New Roman" w:hAnsi="Times New Roman" w:cs="Times New Roman"/>
          <w:sz w:val="20"/>
          <w:szCs w:val="20"/>
        </w:rPr>
        <w:t xml:space="preserve"> enacted</w:t>
      </w:r>
    </w:p>
    <w:p w:rsidR="00FE188E" w:rsidRDefault="0004364F">
      <w:pPr>
        <w:ind w:left="720" w:firstLine="72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I:</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(1) Are GHGs air pollutants under the CAA? (2) If yes, can EPA regulate GHGs? </w:t>
      </w:r>
    </w:p>
    <w:p w:rsidR="00FE188E" w:rsidRDefault="0004364F">
      <w:pPr>
        <w:ind w:left="1440"/>
        <w:rPr>
          <w:rFonts w:ascii="Times New Roman" w:eastAsia="Times New Roman" w:hAnsi="Times New Roman" w:cs="Times New Roman"/>
          <w:b/>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(1) Yes, </w:t>
      </w:r>
      <w:r>
        <w:rPr>
          <w:rFonts w:ascii="Times New Roman" w:eastAsia="Times New Roman" w:hAnsi="Times New Roman" w:cs="Times New Roman"/>
          <w:i/>
          <w:sz w:val="20"/>
          <w:szCs w:val="20"/>
        </w:rPr>
        <w:t>any</w:t>
      </w:r>
      <w:r>
        <w:rPr>
          <w:rFonts w:ascii="Times New Roman" w:eastAsia="Times New Roman" w:hAnsi="Times New Roman" w:cs="Times New Roman"/>
          <w:sz w:val="20"/>
          <w:szCs w:val="20"/>
        </w:rPr>
        <w:t xml:space="preserve"> and canons prompt broad interpretation, focus on the second half of the Act’s definition, broad definition intentional to include new pollutants as scientific understanding evolves; (2) does not compel to regulate but compels EPA to make endangerment find</w:t>
      </w:r>
      <w:r>
        <w:rPr>
          <w:rFonts w:ascii="Times New Roman" w:eastAsia="Times New Roman" w:hAnsi="Times New Roman" w:cs="Times New Roman"/>
          <w:sz w:val="20"/>
          <w:szCs w:val="20"/>
        </w:rPr>
        <w:t xml:space="preserve">ing pursuant to the Act to determine </w:t>
      </w:r>
      <w:r>
        <w:rPr>
          <w:rFonts w:ascii="Times New Roman" w:eastAsia="Times New Roman" w:hAnsi="Times New Roman" w:cs="Times New Roman"/>
          <w:sz w:val="20"/>
          <w:szCs w:val="20"/>
        </w:rPr>
        <w:lastRenderedPageBreak/>
        <w:t>whether or not to regulate, if decides not to regulate, must show science does not support such a finding (or Court says could provide sound policy reasons, but the Court then struck all of these down), cannot simply de</w:t>
      </w:r>
      <w:r>
        <w:rPr>
          <w:rFonts w:ascii="Times New Roman" w:eastAsia="Times New Roman" w:hAnsi="Times New Roman" w:cs="Times New Roman"/>
          <w:sz w:val="20"/>
          <w:szCs w:val="20"/>
        </w:rPr>
        <w:t>ny because “unwise to do so,” not permitted by the Act’s mandate</w:t>
      </w:r>
    </w:p>
    <w:p w:rsidR="00FE188E" w:rsidRDefault="0004364F">
      <w:pPr>
        <w:ind w:left="1440"/>
        <w:rPr>
          <w:rFonts w:ascii="Times New Roman" w:eastAsia="Times New Roman" w:hAnsi="Times New Roman" w:cs="Times New Roman"/>
          <w:b/>
          <w:sz w:val="20"/>
          <w:szCs w:val="20"/>
        </w:rPr>
      </w:pPr>
      <w:r>
        <w:rPr>
          <w:rFonts w:ascii="Times New Roman" w:eastAsia="Times New Roman" w:hAnsi="Times New Roman" w:cs="Times New Roman"/>
          <w:b/>
          <w:color w:val="FF0000"/>
          <w:sz w:val="20"/>
          <w:szCs w:val="20"/>
        </w:rPr>
        <w:t xml:space="preserve">D </w:t>
      </w:r>
      <w:r>
        <w:rPr>
          <w:rFonts w:ascii="Times New Roman" w:eastAsia="Times New Roman" w:hAnsi="Times New Roman" w:cs="Times New Roman"/>
          <w:color w:val="FF0000"/>
          <w:sz w:val="20"/>
          <w:szCs w:val="20"/>
        </w:rPr>
        <w:t>(Scalia):</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(1) No, looks to dictionary from 1949, ambiguity in statute so </w:t>
      </w:r>
      <w:r>
        <w:rPr>
          <w:rFonts w:ascii="Times New Roman" w:eastAsia="Times New Roman" w:hAnsi="Times New Roman" w:cs="Times New Roman"/>
          <w:i/>
          <w:sz w:val="20"/>
          <w:szCs w:val="20"/>
        </w:rPr>
        <w:t>Chevron</w:t>
      </w:r>
      <w:r>
        <w:rPr>
          <w:rFonts w:ascii="Times New Roman" w:eastAsia="Times New Roman" w:hAnsi="Times New Roman" w:cs="Times New Roman"/>
          <w:sz w:val="20"/>
          <w:szCs w:val="20"/>
        </w:rPr>
        <w:t xml:space="preserve"> deference to EPA, if Congress wanted to address GHGs under the CAA it would have done so (re ozone); (2) no,</w:t>
      </w:r>
      <w:r>
        <w:rPr>
          <w:rFonts w:ascii="Times New Roman" w:eastAsia="Times New Roman" w:hAnsi="Times New Roman" w:cs="Times New Roman"/>
          <w:sz w:val="20"/>
          <w:szCs w:val="20"/>
        </w:rPr>
        <w:t xml:space="preserve"> EPA does not even have to make endangerment finding, may do nothing as it tried here</w:t>
      </w:r>
    </w:p>
    <w:p w:rsidR="00FE188E" w:rsidRDefault="0004364F">
      <w:pPr>
        <w:numPr>
          <w:ilvl w:val="1"/>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What EPA must do on remand – make an endangerment finding (note, it may avoid taking further action only if it finds GHGs do not contribute to climate change), provide so</w:t>
      </w:r>
      <w:r>
        <w:rPr>
          <w:rFonts w:ascii="Times New Roman" w:eastAsia="Times New Roman" w:hAnsi="Times New Roman" w:cs="Times New Roman"/>
          <w:sz w:val="20"/>
          <w:szCs w:val="20"/>
        </w:rPr>
        <w:t>me reasonable explanation as it why it will not exercise its discretion (not reasonable – domestic policy/voluntary actions, developing nations negotiation, concerns about piecemeal regulation) (if scientific uncertainty is so profound that EPA cannot make</w:t>
      </w:r>
      <w:r>
        <w:rPr>
          <w:rFonts w:ascii="Times New Roman" w:eastAsia="Times New Roman" w:hAnsi="Times New Roman" w:cs="Times New Roman"/>
          <w:sz w:val="20"/>
          <w:szCs w:val="20"/>
        </w:rPr>
        <w:t xml:space="preserve"> reasoned judgment, EPA must say so)</w:t>
      </w:r>
    </w:p>
    <w:p w:rsidR="00FE188E" w:rsidRDefault="0004364F">
      <w:pPr>
        <w:numPr>
          <w:ilvl w:val="1"/>
          <w:numId w:val="4"/>
        </w:numPr>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But </w:t>
      </w:r>
      <w:r>
        <w:rPr>
          <w:rFonts w:ascii="Times New Roman" w:eastAsia="Times New Roman" w:hAnsi="Times New Roman" w:cs="Times New Roman"/>
          <w:sz w:val="20"/>
          <w:szCs w:val="20"/>
        </w:rPr>
        <w:t>where/how to regulate GHGs under the CAA?</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Vehicles – federal standards with endangerment finding prerequisite, state standards with California waiver or adoption of California’s standards, integration with CAFE stan</w:t>
      </w:r>
      <w:r>
        <w:rPr>
          <w:rFonts w:ascii="Times New Roman" w:eastAsia="Times New Roman" w:hAnsi="Times New Roman" w:cs="Times New Roman"/>
          <w:sz w:val="20"/>
          <w:szCs w:val="20"/>
        </w:rPr>
        <w:t>dards</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Stationary sources </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NSPS – EPA standards apply on categorical basis with endangerment finding prerequisite</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PSD – case-by-case requirements apply to each facility </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NAAQS</w:t>
      </w:r>
    </w:p>
    <w:p w:rsidR="00FE188E" w:rsidRDefault="0004364F">
      <w:pPr>
        <w:numPr>
          <w:ilvl w:val="0"/>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Regulation of Vehicle Emissions</w:t>
      </w:r>
    </w:p>
    <w:p w:rsidR="00FE188E" w:rsidRDefault="0004364F">
      <w:pPr>
        <w:rPr>
          <w:rFonts w:ascii="Times New Roman" w:eastAsia="Times New Roman" w:hAnsi="Times New Roman" w:cs="Times New Roman"/>
          <w:sz w:val="20"/>
          <w:szCs w:val="20"/>
        </w:rPr>
      </w:pPr>
      <w:r>
        <w:rPr>
          <w:rFonts w:ascii="Times New Roman" w:eastAsia="Times New Roman" w:hAnsi="Times New Roman" w:cs="Times New Roman"/>
          <w:sz w:val="20"/>
          <w:szCs w:val="20"/>
        </w:rPr>
        <w:tab/>
      </w:r>
    </w:p>
    <w:tbl>
      <w:tblPr>
        <w:tblStyle w:val="a"/>
        <w:tblW w:w="1008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40"/>
        <w:gridCol w:w="5040"/>
      </w:tblGrid>
      <w:tr w:rsidR="00FE188E">
        <w:trPr>
          <w:trHeight w:val="380"/>
        </w:trPr>
        <w:tc>
          <w:tcPr>
            <w:tcW w:w="5040" w:type="dxa"/>
            <w:shd w:val="clear" w:color="auto" w:fill="auto"/>
            <w:tcMar>
              <w:top w:w="100" w:type="dxa"/>
              <w:left w:w="100" w:type="dxa"/>
              <w:bottom w:w="100" w:type="dxa"/>
              <w:right w:w="100" w:type="dxa"/>
            </w:tcMar>
          </w:tcPr>
          <w:p w:rsidR="00FE188E" w:rsidRDefault="0004364F">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Federal Standards (§ 202)</w:t>
            </w:r>
          </w:p>
        </w:tc>
        <w:tc>
          <w:tcPr>
            <w:tcW w:w="5040" w:type="dxa"/>
            <w:shd w:val="clear" w:color="auto" w:fill="auto"/>
            <w:tcMar>
              <w:top w:w="100" w:type="dxa"/>
              <w:left w:w="100" w:type="dxa"/>
              <w:bottom w:w="100" w:type="dxa"/>
              <w:right w:w="100" w:type="dxa"/>
            </w:tcMar>
          </w:tcPr>
          <w:p w:rsidR="00FE188E" w:rsidRDefault="0004364F">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California Standards (§§ 209, 177)</w:t>
            </w:r>
          </w:p>
        </w:tc>
      </w:tr>
      <w:tr w:rsidR="00FE188E">
        <w:tc>
          <w:tcPr>
            <w:tcW w:w="5040" w:type="dxa"/>
            <w:shd w:val="clear" w:color="auto" w:fill="auto"/>
            <w:tcMar>
              <w:top w:w="100" w:type="dxa"/>
              <w:left w:w="100" w:type="dxa"/>
              <w:bottom w:w="100" w:type="dxa"/>
              <w:right w:w="100" w:type="dxa"/>
            </w:tcMar>
          </w:tcPr>
          <w:p w:rsidR="00FE188E" w:rsidRDefault="0004364F">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Requires Endangerment + cause and contribute finding</w:t>
            </w:r>
          </w:p>
        </w:tc>
        <w:tc>
          <w:tcPr>
            <w:tcW w:w="5040" w:type="dxa"/>
            <w:shd w:val="clear" w:color="auto" w:fill="auto"/>
            <w:tcMar>
              <w:top w:w="100" w:type="dxa"/>
              <w:left w:w="100" w:type="dxa"/>
              <w:bottom w:w="100" w:type="dxa"/>
              <w:right w:w="100" w:type="dxa"/>
            </w:tcMar>
          </w:tcPr>
          <w:p w:rsidR="00FE188E" w:rsidRDefault="0004364F">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States preempted unless California waiver</w:t>
            </w:r>
          </w:p>
        </w:tc>
      </w:tr>
      <w:tr w:rsidR="00FE188E">
        <w:tc>
          <w:tcPr>
            <w:tcW w:w="5040" w:type="dxa"/>
            <w:shd w:val="clear" w:color="auto" w:fill="auto"/>
            <w:tcMar>
              <w:top w:w="100" w:type="dxa"/>
              <w:left w:w="100" w:type="dxa"/>
              <w:bottom w:w="100" w:type="dxa"/>
              <w:right w:w="100" w:type="dxa"/>
            </w:tcMar>
          </w:tcPr>
          <w:p w:rsidR="00FE188E" w:rsidRDefault="0004364F">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Technology-based standards, “giving appropriate consideration to the cost of compliance”</w:t>
            </w:r>
          </w:p>
        </w:tc>
        <w:tc>
          <w:tcPr>
            <w:tcW w:w="5040" w:type="dxa"/>
            <w:shd w:val="clear" w:color="auto" w:fill="auto"/>
            <w:tcMar>
              <w:top w:w="100" w:type="dxa"/>
              <w:left w:w="100" w:type="dxa"/>
              <w:bottom w:w="100" w:type="dxa"/>
              <w:right w:w="100" w:type="dxa"/>
            </w:tcMar>
          </w:tcPr>
          <w:p w:rsidR="00FE188E" w:rsidRDefault="0004364F">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Waiver if “state determines that th</w:t>
            </w:r>
            <w:r>
              <w:rPr>
                <w:rFonts w:ascii="Times New Roman" w:eastAsia="Times New Roman" w:hAnsi="Times New Roman" w:cs="Times New Roman"/>
                <w:sz w:val="20"/>
                <w:szCs w:val="20"/>
              </w:rPr>
              <w:t>e state standards will be, in the aggregate, at least as protective of public health and welfare as applicable Federal standards”; waiver denial criteria (see below)</w:t>
            </w:r>
          </w:p>
        </w:tc>
      </w:tr>
    </w:tbl>
    <w:p w:rsidR="00FE188E" w:rsidRDefault="00FE188E">
      <w:pPr>
        <w:rPr>
          <w:rFonts w:ascii="Times New Roman" w:eastAsia="Times New Roman" w:hAnsi="Times New Roman" w:cs="Times New Roman"/>
          <w:sz w:val="20"/>
          <w:szCs w:val="20"/>
        </w:rPr>
      </w:pPr>
    </w:p>
    <w:p w:rsidR="00FE188E" w:rsidRDefault="0004364F">
      <w:pPr>
        <w:numPr>
          <w:ilvl w:val="1"/>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Endangerment Finding </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Dec. 2009 – EPA finalized its “endangerment finding”</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Endangerment to public health (impacts on human health) and welfare (broader – climate, environment, etc.)</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Cause and contribute – China, US, Russia, India, </w:t>
      </w:r>
      <w:r>
        <w:rPr>
          <w:rFonts w:ascii="Times New Roman" w:eastAsia="Times New Roman" w:hAnsi="Times New Roman" w:cs="Times New Roman"/>
          <w:i/>
          <w:sz w:val="20"/>
          <w:szCs w:val="20"/>
        </w:rPr>
        <w:t>US transportation</w:t>
      </w:r>
      <w:r>
        <w:rPr>
          <w:rFonts w:ascii="Times New Roman" w:eastAsia="Times New Roman" w:hAnsi="Times New Roman" w:cs="Times New Roman"/>
          <w:sz w:val="20"/>
          <w:szCs w:val="20"/>
        </w:rPr>
        <w:t>, Japan, Brazil, Germany, everyone else</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Note, air pollutant being regulated is the well-mixed GHGs</w:t>
      </w:r>
    </w:p>
    <w:p w:rsidR="00FE188E" w:rsidRDefault="0004364F">
      <w:pPr>
        <w:numPr>
          <w:ilvl w:val="1"/>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Tailpipe Rule – emissions standards for future model years, limit emissions (measured in grams/mile), linked to fuel economy standards (mpg)</w:t>
      </w:r>
    </w:p>
    <w:p w:rsidR="00FE188E" w:rsidRDefault="0004364F">
      <w:pPr>
        <w:numPr>
          <w:ilvl w:val="2"/>
          <w:numId w:val="4"/>
        </w:numPr>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Coalition for Responsible Regulation v. EPA</w:t>
      </w:r>
      <w:r>
        <w:rPr>
          <w:rFonts w:ascii="Times New Roman" w:eastAsia="Times New Roman" w:hAnsi="Times New Roman" w:cs="Times New Roman"/>
          <w:sz w:val="20"/>
          <w:szCs w:val="20"/>
          <w:shd w:val="clear" w:color="auto" w:fill="FFF2CC"/>
        </w:rPr>
        <w:t xml:space="preserve"> (D.C. Cir., </w:t>
      </w:r>
      <w:r>
        <w:rPr>
          <w:rFonts w:ascii="Times New Roman" w:eastAsia="Times New Roman" w:hAnsi="Times New Roman" w:cs="Times New Roman"/>
          <w:sz w:val="20"/>
          <w:szCs w:val="20"/>
          <w:shd w:val="clear" w:color="auto" w:fill="FFF2CC"/>
        </w:rPr>
        <w:t>2012)</w:t>
      </w:r>
    </w:p>
    <w:p w:rsidR="00FE188E" w:rsidRDefault="0004364F">
      <w:pPr>
        <w:ind w:left="216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Note: </w:t>
      </w:r>
      <w:r>
        <w:rPr>
          <w:rFonts w:ascii="Times New Roman" w:eastAsia="Times New Roman" w:hAnsi="Times New Roman" w:cs="Times New Roman"/>
          <w:sz w:val="20"/>
          <w:szCs w:val="20"/>
        </w:rPr>
        <w:t>Petitioners more concerned with stationary sources (e.g. regulation under the PSD program) than the regulation of mobile sources</w:t>
      </w:r>
    </w:p>
    <w:p w:rsidR="00FE188E" w:rsidRDefault="0004364F">
      <w:pPr>
        <w:ind w:left="216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I: </w:t>
      </w:r>
      <w:r>
        <w:rPr>
          <w:rFonts w:ascii="Times New Roman" w:eastAsia="Times New Roman" w:hAnsi="Times New Roman" w:cs="Times New Roman"/>
          <w:sz w:val="20"/>
          <w:szCs w:val="20"/>
        </w:rPr>
        <w:t xml:space="preserve">(1) Endangerment finding (petitioners alleging (a) the same policy arguments as in </w:t>
      </w:r>
      <w:r>
        <w:rPr>
          <w:rFonts w:ascii="Times New Roman" w:eastAsia="Times New Roman" w:hAnsi="Times New Roman" w:cs="Times New Roman"/>
          <w:i/>
          <w:sz w:val="20"/>
          <w:szCs w:val="20"/>
        </w:rPr>
        <w:t>Mass v. EPA</w:t>
      </w:r>
      <w:r>
        <w:rPr>
          <w:rFonts w:ascii="Times New Roman" w:eastAsia="Times New Roman" w:hAnsi="Times New Roman" w:cs="Times New Roman"/>
          <w:sz w:val="20"/>
          <w:szCs w:val="20"/>
        </w:rPr>
        <w:t xml:space="preserve"> – should consider</w:t>
      </w:r>
      <w:r>
        <w:rPr>
          <w:rFonts w:ascii="Times New Roman" w:eastAsia="Times New Roman" w:hAnsi="Times New Roman" w:cs="Times New Roman"/>
          <w:sz w:val="20"/>
          <w:szCs w:val="20"/>
        </w:rPr>
        <w:t xml:space="preserve"> costs, not a good time to regulate GHGs and (b) that too much scientific uncertainty, challenging the adequacy of the record (re Climategate)), (2) tailpipe rule (petitioners alleging (a) that even if make endangerment finding, don’t have to regulate, (b)</w:t>
      </w:r>
      <w:r>
        <w:rPr>
          <w:rFonts w:ascii="Times New Roman" w:eastAsia="Times New Roman" w:hAnsi="Times New Roman" w:cs="Times New Roman"/>
          <w:sz w:val="20"/>
          <w:szCs w:val="20"/>
        </w:rPr>
        <w:t xml:space="preserve"> that can’t regulate unless can mitigate across the board, and (c) that must consider the costs to stationary sources)</w:t>
      </w:r>
    </w:p>
    <w:p w:rsidR="00FE188E" w:rsidRDefault="0004364F">
      <w:pPr>
        <w:ind w:left="2160"/>
        <w:rPr>
          <w:rFonts w:ascii="Times New Roman" w:eastAsia="Times New Roman" w:hAnsi="Times New Roman" w:cs="Times New Roman"/>
          <w:sz w:val="20"/>
          <w:szCs w:val="20"/>
          <w:shd w:val="clear" w:color="auto" w:fill="FFF2CC"/>
        </w:rPr>
      </w:pPr>
      <w:r>
        <w:rPr>
          <w:rFonts w:ascii="Times New Roman" w:eastAsia="Times New Roman" w:hAnsi="Times New Roman" w:cs="Times New Roman"/>
          <w:b/>
          <w:color w:val="FF0000"/>
          <w:sz w:val="20"/>
          <w:szCs w:val="20"/>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(1)(a) Affirmed EPA’s endangerment finding that GHGs cause climate change (likely foreclosing the issue altogether; EPA likely will no</w:t>
      </w:r>
      <w:r>
        <w:rPr>
          <w:rFonts w:ascii="Times New Roman" w:eastAsia="Times New Roman" w:hAnsi="Times New Roman" w:cs="Times New Roman"/>
          <w:sz w:val="20"/>
          <w:szCs w:val="20"/>
        </w:rPr>
        <w:t>t have to prove again in endangerment context but will have to prove sector by sector that those emissions cause or contribute to GHG emissions) and held that required scientific judgment only (no cost considerations) and (b) deferred to EPA as they’re the</w:t>
      </w:r>
      <w:r>
        <w:rPr>
          <w:rFonts w:ascii="Times New Roman" w:eastAsia="Times New Roman" w:hAnsi="Times New Roman" w:cs="Times New Roman"/>
          <w:sz w:val="20"/>
          <w:szCs w:val="20"/>
        </w:rPr>
        <w:t xml:space="preserve"> experts and agencies receive an extreme degree of deference when dealing with issues of pure science (the courts don’t have that expertise); (2) Affirms EPA’s rule, (a) “shall” compels EPA to regulate once there’s an endangerment finding (non-discretionar</w:t>
      </w:r>
      <w:r>
        <w:rPr>
          <w:rFonts w:ascii="Times New Roman" w:eastAsia="Times New Roman" w:hAnsi="Times New Roman" w:cs="Times New Roman"/>
          <w:sz w:val="20"/>
          <w:szCs w:val="20"/>
        </w:rPr>
        <w:t xml:space="preserve">y, requirement), (b) don’t </w:t>
      </w:r>
      <w:r>
        <w:rPr>
          <w:rFonts w:ascii="Times New Roman" w:eastAsia="Times New Roman" w:hAnsi="Times New Roman" w:cs="Times New Roman"/>
          <w:sz w:val="20"/>
          <w:szCs w:val="20"/>
        </w:rPr>
        <w:lastRenderedPageBreak/>
        <w:t xml:space="preserve">have to mitigate entirely, just must show that reducing GHG emissions, and (c) concerned here with vehicles only, the statute does not mandate consideration of other CAA programs  </w:t>
      </w:r>
    </w:p>
    <w:p w:rsidR="00FE188E" w:rsidRDefault="0004364F">
      <w:pPr>
        <w:numPr>
          <w:ilvl w:val="1"/>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EPA’s discretion? In both </w:t>
      </w:r>
      <w:r>
        <w:rPr>
          <w:rFonts w:ascii="Times New Roman" w:eastAsia="Times New Roman" w:hAnsi="Times New Roman" w:cs="Times New Roman"/>
          <w:i/>
          <w:sz w:val="20"/>
          <w:szCs w:val="20"/>
        </w:rPr>
        <w:t xml:space="preserve">Mass v. EPA </w:t>
      </w:r>
      <w:r>
        <w:rPr>
          <w:rFonts w:ascii="Times New Roman" w:eastAsia="Times New Roman" w:hAnsi="Times New Roman" w:cs="Times New Roman"/>
          <w:sz w:val="20"/>
          <w:szCs w:val="20"/>
        </w:rPr>
        <w:t xml:space="preserve">and </w:t>
      </w:r>
      <w:r>
        <w:rPr>
          <w:rFonts w:ascii="Times New Roman" w:eastAsia="Times New Roman" w:hAnsi="Times New Roman" w:cs="Times New Roman"/>
          <w:i/>
          <w:sz w:val="20"/>
          <w:szCs w:val="20"/>
        </w:rPr>
        <w:t>Coalit</w:t>
      </w:r>
      <w:r>
        <w:rPr>
          <w:rFonts w:ascii="Times New Roman" w:eastAsia="Times New Roman" w:hAnsi="Times New Roman" w:cs="Times New Roman"/>
          <w:i/>
          <w:sz w:val="20"/>
          <w:szCs w:val="20"/>
        </w:rPr>
        <w:t>ion for Responsible Regulation v. EPA</w:t>
      </w:r>
      <w:r>
        <w:rPr>
          <w:rFonts w:ascii="Times New Roman" w:eastAsia="Times New Roman" w:hAnsi="Times New Roman" w:cs="Times New Roman"/>
          <w:sz w:val="20"/>
          <w:szCs w:val="20"/>
        </w:rPr>
        <w:t>, EPA likely could have argued that lacked the time or resources as this is always a valid agency argument in administrative law</w:t>
      </w:r>
    </w:p>
    <w:p w:rsidR="00FE188E" w:rsidRDefault="0004364F">
      <w:pPr>
        <w:numPr>
          <w:ilvl w:val="1"/>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California’s Waiver under the Clean Air Act for Vehicle Emissions Standards</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209(a) – no </w:t>
      </w:r>
      <w:r>
        <w:rPr>
          <w:rFonts w:ascii="Times New Roman" w:eastAsia="Times New Roman" w:hAnsi="Times New Roman" w:cs="Times New Roman"/>
          <w:sz w:val="20"/>
          <w:szCs w:val="20"/>
        </w:rPr>
        <w:t xml:space="preserve">state or any political subdivision thereof shall adopt or attempt to enforce any standard relating to the control of emissions from new motor vehicles or new motor vehicle engines subject to this part </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209(b)(1) – essentially says (without explicitly say</w:t>
      </w:r>
      <w:r>
        <w:rPr>
          <w:rFonts w:ascii="Times New Roman" w:eastAsia="Times New Roman" w:hAnsi="Times New Roman" w:cs="Times New Roman"/>
          <w:sz w:val="20"/>
          <w:szCs w:val="20"/>
        </w:rPr>
        <w:t xml:space="preserve">ing) California may set its own state standards </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209(b)(1) – no such waiver ^ shall be granted if the Administrator finds that (A) the determination of the state is arbitrary and capricious, (B) such state does not need such state standards to meet compe</w:t>
      </w:r>
      <w:r>
        <w:rPr>
          <w:rFonts w:ascii="Times New Roman" w:eastAsia="Times New Roman" w:hAnsi="Times New Roman" w:cs="Times New Roman"/>
          <w:sz w:val="20"/>
          <w:szCs w:val="20"/>
        </w:rPr>
        <w:t>lling and extraordinary conditions, or (C) such state standards and accompanying enforcement procedures are not consistent with § 202(a) (vehicle emissions standards)</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177 – if California’s waiver is approved, then other states which have nonattainment pl</w:t>
      </w:r>
      <w:r>
        <w:rPr>
          <w:rFonts w:ascii="Times New Roman" w:eastAsia="Times New Roman" w:hAnsi="Times New Roman" w:cs="Times New Roman"/>
          <w:sz w:val="20"/>
          <w:szCs w:val="20"/>
        </w:rPr>
        <w:t xml:space="preserve">ans approved may adopt either the federal standards or the California standards </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Past waiver cases – strong deference to California, burden on opponent to show California has not met the requirement for the waiver   </w:t>
      </w:r>
    </w:p>
    <w:p w:rsidR="00FE188E" w:rsidRDefault="0004364F">
      <w:pPr>
        <w:numPr>
          <w:ilvl w:val="2"/>
          <w:numId w:val="4"/>
        </w:numPr>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California State Motor Vehicle Pollution Control Standards; Notice of Decision Granting a Waiver of Clean Air Act Preemption for California’s 2009 and Subsequent Model Year Greenhouse Gas Emission Standards for New Motor Vehicles</w:t>
      </w:r>
      <w:r>
        <w:rPr>
          <w:rFonts w:ascii="Times New Roman" w:eastAsia="Times New Roman" w:hAnsi="Times New Roman" w:cs="Times New Roman"/>
          <w:sz w:val="20"/>
          <w:szCs w:val="20"/>
          <w:shd w:val="clear" w:color="auto" w:fill="FFF2CC"/>
        </w:rPr>
        <w:t xml:space="preserve"> (2009)</w:t>
      </w:r>
    </w:p>
    <w:p w:rsidR="00FE188E" w:rsidRDefault="0004364F">
      <w:pPr>
        <w:ind w:left="216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“I”: </w:t>
      </w:r>
      <w:r>
        <w:rPr>
          <w:rFonts w:ascii="Times New Roman" w:eastAsia="Times New Roman" w:hAnsi="Times New Roman" w:cs="Times New Roman"/>
          <w:sz w:val="20"/>
          <w:szCs w:val="20"/>
        </w:rPr>
        <w:t>(1) Is Califor</w:t>
      </w:r>
      <w:r>
        <w:rPr>
          <w:rFonts w:ascii="Times New Roman" w:eastAsia="Times New Roman" w:hAnsi="Times New Roman" w:cs="Times New Roman"/>
          <w:sz w:val="20"/>
          <w:szCs w:val="20"/>
        </w:rPr>
        <w:t xml:space="preserve">nia’s protectiveness determination arbitrary and capricious? (2) Does California need its standards to meet compelling and extraordinary conditions? (3) Whether consistent with EPA’s technical feasibility? </w:t>
      </w:r>
    </w:p>
    <w:p w:rsidR="00FE188E" w:rsidRDefault="0004364F">
      <w:pPr>
        <w:ind w:left="216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sz w:val="20"/>
          <w:szCs w:val="20"/>
        </w:rPr>
        <w:t>(1) No, (a) EPA’s traditional analysis is to</w:t>
      </w:r>
      <w:r>
        <w:rPr>
          <w:rFonts w:ascii="Times New Roman" w:eastAsia="Times New Roman" w:hAnsi="Times New Roman" w:cs="Times New Roman"/>
          <w:sz w:val="20"/>
          <w:szCs w:val="20"/>
        </w:rPr>
        <w:t xml:space="preserve"> evaluate California’s protectiveness determination by comparing the new California standards to applicable EPA emission standards for the same pollutants, in the GHG context, the federal program is zero standard and California’s standard is clearly more p</w:t>
      </w:r>
      <w:r>
        <w:rPr>
          <w:rFonts w:ascii="Times New Roman" w:eastAsia="Times New Roman" w:hAnsi="Times New Roman" w:cs="Times New Roman"/>
          <w:sz w:val="20"/>
          <w:szCs w:val="20"/>
        </w:rPr>
        <w:t>rotected than zero emissions standards, (b) delayed scrappage has a negligible effect, and (c) any rebound effect in increased efficiency would not offset the benefits; (2) yes, traditional approach to look at California’s geography and culture, in 2008 lo</w:t>
      </w:r>
      <w:r>
        <w:rPr>
          <w:rFonts w:ascii="Times New Roman" w:eastAsia="Times New Roman" w:hAnsi="Times New Roman" w:cs="Times New Roman"/>
          <w:sz w:val="20"/>
          <w:szCs w:val="20"/>
        </w:rPr>
        <w:t>oked instead to local conditions v. global conditions but in here, 2009, went back to traditional approach and held yes because geography and culture in California is still the same; (3) yes</w:t>
      </w:r>
    </w:p>
    <w:p w:rsidR="00FE188E" w:rsidRDefault="0004364F">
      <w:pPr>
        <w:ind w:left="216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PH:</w:t>
      </w:r>
      <w:r>
        <w:rPr>
          <w:rFonts w:ascii="Times New Roman" w:eastAsia="Times New Roman" w:hAnsi="Times New Roman" w:cs="Times New Roman"/>
          <w:sz w:val="20"/>
          <w:szCs w:val="20"/>
        </w:rPr>
        <w:t xml:space="preserve"> Challenge reached DC Cir. but dismissed for lack of standing </w:t>
      </w:r>
      <w:r>
        <w:rPr>
          <w:rFonts w:ascii="Times New Roman" w:eastAsia="Times New Roman" w:hAnsi="Times New Roman" w:cs="Times New Roman"/>
          <w:sz w:val="20"/>
          <w:szCs w:val="20"/>
        </w:rPr>
        <w:t>(could not show injury because of unique circumstances relating to the auto industry bailout, see below)</w:t>
      </w:r>
    </w:p>
    <w:p w:rsidR="00FE188E" w:rsidRDefault="0004364F">
      <w:pPr>
        <w:numPr>
          <w:ilvl w:val="1"/>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Waiver Challenge</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Federal standards finalized in Jan. 2011 (35.5 mpg), California standards (36.5 mpg) in place but agreed to apply federal standards fo</w:t>
      </w:r>
      <w:r>
        <w:rPr>
          <w:rFonts w:ascii="Times New Roman" w:eastAsia="Times New Roman" w:hAnsi="Times New Roman" w:cs="Times New Roman"/>
          <w:sz w:val="20"/>
          <w:szCs w:val="20"/>
        </w:rPr>
        <w:t>r MY 2012-2016, in settlement between EPA, California, and vehicle manufacturers, automakers agreed not to challenge federal or California standards; Next round of standards up to 54.5 mpg</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Chamber of Commerce and auto dealers (not makers) sued in DC Cir. –</w:t>
      </w:r>
      <w:r>
        <w:rPr>
          <w:rFonts w:ascii="Times New Roman" w:eastAsia="Times New Roman" w:hAnsi="Times New Roman" w:cs="Times New Roman"/>
          <w:sz w:val="20"/>
          <w:szCs w:val="20"/>
        </w:rPr>
        <w:t xml:space="preserve"> found no standing because could not identify dealer who could show injury from the California standards, which were in place for very short time before federal standards superseded (under auto bailout deal), then the federal standards effectively mooted t</w:t>
      </w:r>
      <w:r>
        <w:rPr>
          <w:rFonts w:ascii="Times New Roman" w:eastAsia="Times New Roman" w:hAnsi="Times New Roman" w:cs="Times New Roman"/>
          <w:sz w:val="20"/>
          <w:szCs w:val="20"/>
        </w:rPr>
        <w:t>he state ones</w:t>
      </w:r>
    </w:p>
    <w:p w:rsidR="00FE188E" w:rsidRDefault="0004364F">
      <w:pPr>
        <w:numPr>
          <w:ilvl w:val="0"/>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Regulation of Greenhouse Gas Emissions from Stationary Sources</w:t>
      </w:r>
    </w:p>
    <w:p w:rsidR="00FE188E" w:rsidRDefault="0004364F">
      <w:pPr>
        <w:numPr>
          <w:ilvl w:val="1"/>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Regulation of Greenhouse Gases under the PSD Program</w:t>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PSD Regulation of Greenhouse Gases: Regulated Air Pollutants</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PDS generally applies to all major new or modified sources </w:t>
      </w:r>
    </w:p>
    <w:p w:rsidR="00FE188E" w:rsidRDefault="0004364F">
      <w:pPr>
        <w:numPr>
          <w:ilvl w:val="4"/>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“Modi</w:t>
      </w:r>
      <w:r>
        <w:rPr>
          <w:rFonts w:ascii="Times New Roman" w:eastAsia="Times New Roman" w:hAnsi="Times New Roman" w:cs="Times New Roman"/>
          <w:sz w:val="20"/>
          <w:szCs w:val="20"/>
        </w:rPr>
        <w:t>fied” requires (1) a physical or operational change and (2) an increase in emissions above the baseline emissions (incremental change) that meets or exceeds the SER (promulgated by regulations)</w:t>
      </w:r>
    </w:p>
    <w:p w:rsidR="00FE188E" w:rsidRDefault="0004364F">
      <w:pPr>
        <w:numPr>
          <w:ilvl w:val="4"/>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PSD applies for areas in attainment or unclassified only and a</w:t>
      </w:r>
      <w:r>
        <w:rPr>
          <w:rFonts w:ascii="Times New Roman" w:eastAsia="Times New Roman" w:hAnsi="Times New Roman" w:cs="Times New Roman"/>
          <w:sz w:val="20"/>
          <w:szCs w:val="20"/>
        </w:rPr>
        <w:t xml:space="preserve">pplies to non-NAAQS pollutants also (whereas NNSR (for nonattainment) applies only to </w:t>
      </w:r>
      <w:r>
        <w:rPr>
          <w:rFonts w:ascii="Times New Roman" w:eastAsia="Times New Roman" w:hAnsi="Times New Roman" w:cs="Times New Roman"/>
          <w:sz w:val="20"/>
          <w:szCs w:val="20"/>
        </w:rPr>
        <w:lastRenderedPageBreak/>
        <w:t>NAAQS and since GHGs/CO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not a criteria pollutant under the NAAQS its inapplicable)</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“Regulated air pollutant” – need to be to even trigger PSD regulation of that air poll</w:t>
      </w:r>
      <w:r>
        <w:rPr>
          <w:rFonts w:ascii="Times New Roman" w:eastAsia="Times New Roman" w:hAnsi="Times New Roman" w:cs="Times New Roman"/>
          <w:sz w:val="20"/>
          <w:szCs w:val="20"/>
        </w:rPr>
        <w:t>utant; “any pollutant that is otherwise subject to regulation under the CAA”</w:t>
      </w:r>
    </w:p>
    <w:p w:rsidR="00FE188E" w:rsidRDefault="0004364F">
      <w:pPr>
        <w:numPr>
          <w:ilvl w:val="4"/>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Environmental groups – means subject to any regulation, including reporting and monitoring</w:t>
      </w:r>
    </w:p>
    <w:p w:rsidR="00FE188E" w:rsidRDefault="0004364F">
      <w:pPr>
        <w:numPr>
          <w:ilvl w:val="4"/>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EPA – means subject to controls or limits, </w:t>
      </w:r>
      <w:r>
        <w:rPr>
          <w:rFonts w:ascii="Times New Roman" w:eastAsia="Times New Roman" w:hAnsi="Times New Roman" w:cs="Times New Roman"/>
          <w:i/>
          <w:sz w:val="20"/>
          <w:szCs w:val="20"/>
        </w:rPr>
        <w:t>including vehicles emissions standards</w:t>
      </w:r>
    </w:p>
    <w:p w:rsidR="00FE188E" w:rsidRDefault="0004364F">
      <w:pPr>
        <w:numPr>
          <w:ilvl w:val="4"/>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Indust</w:t>
      </w:r>
      <w:r>
        <w:rPr>
          <w:rFonts w:ascii="Times New Roman" w:eastAsia="Times New Roman" w:hAnsi="Times New Roman" w:cs="Times New Roman"/>
          <w:sz w:val="20"/>
          <w:szCs w:val="20"/>
        </w:rPr>
        <w:t>ry – does not include GHGs</w:t>
      </w:r>
    </w:p>
    <w:p w:rsidR="00FE188E" w:rsidRDefault="0004364F">
      <w:pPr>
        <w:numPr>
          <w:ilvl w:val="4"/>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Because subject to regulation under Title II per the Tailpipe rule, subject PSD regulation ^</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Triggering PDS regulation requires – obtaining a permit, treating according to BACT (emissions limitation based on maximum degree of reduction, taking into account energy, environment, economics; set on case-by-case basis), must assess alternatives to proj</w:t>
      </w:r>
      <w:r>
        <w:rPr>
          <w:rFonts w:ascii="Times New Roman" w:eastAsia="Times New Roman" w:hAnsi="Times New Roman" w:cs="Times New Roman"/>
          <w:sz w:val="20"/>
          <w:szCs w:val="20"/>
        </w:rPr>
        <w:t>ect, must meet air quality requirements</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PSD Analysis: (1) Is the source “major” (both pre-change and post-change emissions can make a source “major”)? (2) Has the change resulted in an emissions increase that exceeds the SER? – the “air pollutant” being re</w:t>
      </w:r>
      <w:r>
        <w:rPr>
          <w:rFonts w:ascii="Times New Roman" w:eastAsia="Times New Roman" w:hAnsi="Times New Roman" w:cs="Times New Roman"/>
          <w:sz w:val="20"/>
          <w:szCs w:val="20"/>
        </w:rPr>
        <w:t>gulated under the Act is the well-mixed GHGs, meaning that if more than one GHG in the analysis, you must convert all GHGs to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eq and add together</w:t>
      </w:r>
    </w:p>
    <w:p w:rsidR="00FE188E" w:rsidRDefault="0004364F">
      <w:pPr>
        <w:numPr>
          <w:ilvl w:val="4"/>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Major source is not the trigger, it’s the incremental change exceeding the SER that triggers PSD regulation</w:t>
      </w:r>
      <w:r>
        <w:rPr>
          <w:rFonts w:ascii="Times New Roman" w:eastAsia="Times New Roman" w:hAnsi="Times New Roman" w:cs="Times New Roman"/>
          <w:sz w:val="20"/>
          <w:szCs w:val="20"/>
        </w:rPr>
        <w:t xml:space="preserve"> requiring BACT</w:t>
      </w:r>
    </w:p>
    <w:p w:rsidR="00FE188E" w:rsidRDefault="0004364F">
      <w:pPr>
        <w:numPr>
          <w:ilvl w:val="4"/>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GHGs may be regulated under PSD where “anyway source” – facilities that need a PSD permit anyway (i.e. major source and exceeds SER for another pollutant; unclear whether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itself can trigger if already major but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only pollutant to exc</w:t>
      </w:r>
      <w:r>
        <w:rPr>
          <w:rFonts w:ascii="Times New Roman" w:eastAsia="Times New Roman" w:hAnsi="Times New Roman" w:cs="Times New Roman"/>
          <w:sz w:val="20"/>
          <w:szCs w:val="20"/>
        </w:rPr>
        <w:t xml:space="preserve">eed its SER because the court called “anyway source”)  </w:t>
      </w:r>
    </w:p>
    <w:p w:rsidR="00FE188E" w:rsidRDefault="0004364F">
      <w:pPr>
        <w:numPr>
          <w:ilvl w:val="2"/>
          <w:numId w:val="4"/>
        </w:numPr>
        <w:ind w:left="2880"/>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Utility Air Regulatory Group v. EPA</w:t>
      </w:r>
      <w:r>
        <w:rPr>
          <w:rFonts w:ascii="Times New Roman" w:eastAsia="Times New Roman" w:hAnsi="Times New Roman" w:cs="Times New Roman"/>
          <w:sz w:val="20"/>
          <w:szCs w:val="20"/>
          <w:shd w:val="clear" w:color="auto" w:fill="FFF2CC"/>
        </w:rPr>
        <w:t xml:space="preserve"> (S. Ct., 2014)</w:t>
      </w:r>
    </w:p>
    <w:p w:rsidR="00FE188E" w:rsidRDefault="0004364F">
      <w:pPr>
        <w:ind w:left="288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Tailoring Rule: </w:t>
      </w:r>
      <w:r>
        <w:rPr>
          <w:rFonts w:ascii="Times New Roman" w:eastAsia="Times New Roman" w:hAnsi="Times New Roman" w:cs="Times New Roman"/>
          <w:sz w:val="20"/>
          <w:szCs w:val="20"/>
          <w:u w:val="single"/>
        </w:rPr>
        <w:t>For new</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u w:val="single"/>
        </w:rPr>
        <w:t>sources</w:t>
      </w:r>
      <w:r>
        <w:rPr>
          <w:rFonts w:ascii="Times New Roman" w:eastAsia="Times New Roman" w:hAnsi="Times New Roman" w:cs="Times New Roman"/>
          <w:sz w:val="20"/>
          <w:szCs w:val="20"/>
        </w:rPr>
        <w:t xml:space="preserve"> – </w:t>
      </w:r>
      <w:r>
        <w:rPr>
          <w:rFonts w:ascii="Times New Roman" w:eastAsia="Times New Roman" w:hAnsi="Times New Roman" w:cs="Times New Roman"/>
          <w:strike/>
          <w:sz w:val="20"/>
          <w:szCs w:val="20"/>
        </w:rPr>
        <w:t>(1) major source for GHGs if 100 tpy + 100,000 tpy CO</w:t>
      </w:r>
      <w:r>
        <w:rPr>
          <w:rFonts w:ascii="Times New Roman" w:eastAsia="Times New Roman" w:hAnsi="Times New Roman" w:cs="Times New Roman"/>
          <w:strike/>
          <w:sz w:val="20"/>
          <w:szCs w:val="20"/>
          <w:vertAlign w:val="subscript"/>
        </w:rPr>
        <w:t>2</w:t>
      </w:r>
      <w:r>
        <w:rPr>
          <w:rFonts w:ascii="Times New Roman" w:eastAsia="Times New Roman" w:hAnsi="Times New Roman" w:cs="Times New Roman"/>
          <w:strike/>
          <w:sz w:val="20"/>
          <w:szCs w:val="20"/>
        </w:rPr>
        <w:t xml:space="preserve">eq </w:t>
      </w:r>
      <w:r>
        <w:rPr>
          <w:rFonts w:ascii="Times New Roman" w:eastAsia="Times New Roman" w:hAnsi="Times New Roman" w:cs="Times New Roman"/>
          <w:sz w:val="20"/>
          <w:szCs w:val="20"/>
        </w:rPr>
        <w:t>(held unreasonable here) (must know GWP to calculate, for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 1), (2) if already major for non-GHG pollutant, regulate GHG if 0 tpy + 75,000 tpy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eq in </w:t>
      </w:r>
      <w:r>
        <w:rPr>
          <w:rFonts w:ascii="Times New Roman" w:eastAsia="Times New Roman" w:hAnsi="Times New Roman" w:cs="Times New Roman"/>
          <w:i/>
          <w:sz w:val="20"/>
          <w:szCs w:val="20"/>
        </w:rPr>
        <w:t>incremental increases</w:t>
      </w:r>
      <w:r>
        <w:rPr>
          <w:rFonts w:ascii="Times New Roman" w:eastAsia="Times New Roman" w:hAnsi="Times New Roman" w:cs="Times New Roman"/>
          <w:sz w:val="20"/>
          <w:szCs w:val="20"/>
        </w:rPr>
        <w:t xml:space="preserve"> (must know GWP to calculate, for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 1); </w:t>
      </w:r>
      <w:r>
        <w:rPr>
          <w:rFonts w:ascii="Times New Roman" w:eastAsia="Times New Roman" w:hAnsi="Times New Roman" w:cs="Times New Roman"/>
          <w:sz w:val="20"/>
          <w:szCs w:val="20"/>
          <w:u w:val="single"/>
        </w:rPr>
        <w:t>for modified sources</w:t>
      </w:r>
      <w:r>
        <w:rPr>
          <w:rFonts w:ascii="Times New Roman" w:eastAsia="Times New Roman" w:hAnsi="Times New Roman" w:cs="Times New Roman"/>
          <w:sz w:val="20"/>
          <w:szCs w:val="20"/>
        </w:rPr>
        <w:t xml:space="preserve"> – must be modi</w:t>
      </w:r>
      <w:r>
        <w:rPr>
          <w:rFonts w:ascii="Times New Roman" w:eastAsia="Times New Roman" w:hAnsi="Times New Roman" w:cs="Times New Roman"/>
          <w:sz w:val="20"/>
          <w:szCs w:val="20"/>
        </w:rPr>
        <w:t xml:space="preserve">fied for major non-GHG (post </w:t>
      </w:r>
      <w:r>
        <w:rPr>
          <w:rFonts w:ascii="Times New Roman" w:eastAsia="Times New Roman" w:hAnsi="Times New Roman" w:cs="Times New Roman"/>
          <w:i/>
          <w:sz w:val="20"/>
          <w:szCs w:val="20"/>
        </w:rPr>
        <w:t>UARG</w:t>
      </w:r>
      <w:r>
        <w:rPr>
          <w:rFonts w:ascii="Times New Roman" w:eastAsia="Times New Roman" w:hAnsi="Times New Roman" w:cs="Times New Roman"/>
          <w:sz w:val="20"/>
          <w:szCs w:val="20"/>
        </w:rPr>
        <w:t>) with an increase in GHG emissions equal/above the SER (already major for non-GHG pollutant) regulate GHG if 0 tpy + 75,000 tpy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eq in </w:t>
      </w:r>
      <w:r>
        <w:rPr>
          <w:rFonts w:ascii="Times New Roman" w:eastAsia="Times New Roman" w:hAnsi="Times New Roman" w:cs="Times New Roman"/>
          <w:i/>
          <w:sz w:val="20"/>
          <w:szCs w:val="20"/>
        </w:rPr>
        <w:t>incremental increases</w:t>
      </w:r>
      <w:r>
        <w:rPr>
          <w:rFonts w:ascii="Times New Roman" w:eastAsia="Times New Roman" w:hAnsi="Times New Roman" w:cs="Times New Roman"/>
          <w:sz w:val="20"/>
          <w:szCs w:val="20"/>
        </w:rPr>
        <w:t xml:space="preserve"> (must know GWP to calculate, for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 1); Note, air pollutant </w:t>
      </w:r>
      <w:r>
        <w:rPr>
          <w:rFonts w:ascii="Times New Roman" w:eastAsia="Times New Roman" w:hAnsi="Times New Roman" w:cs="Times New Roman"/>
          <w:sz w:val="20"/>
          <w:szCs w:val="20"/>
        </w:rPr>
        <w:t>being regulated under the Act are the well-mixed GHGs, meaning that in the analysis you must convert to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eq and add together</w:t>
      </w:r>
    </w:p>
    <w:p w:rsidR="00FE188E" w:rsidRDefault="0004364F">
      <w:pPr>
        <w:ind w:left="288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I: </w:t>
      </w:r>
      <w:r>
        <w:rPr>
          <w:rFonts w:ascii="Times New Roman" w:eastAsia="Times New Roman" w:hAnsi="Times New Roman" w:cs="Times New Roman"/>
          <w:sz w:val="20"/>
          <w:szCs w:val="20"/>
        </w:rPr>
        <w:t>(1) EPA’s rule regulating GHGs making stationary sources major? (2) EPA’s rule regulating GHGs from anyway sources, new or mod</w:t>
      </w:r>
      <w:r>
        <w:rPr>
          <w:rFonts w:ascii="Times New Roman" w:eastAsia="Times New Roman" w:hAnsi="Times New Roman" w:cs="Times New Roman"/>
          <w:sz w:val="20"/>
          <w:szCs w:val="20"/>
        </w:rPr>
        <w:t xml:space="preserve">ified sources major for non-GHG air pollutant also emitting GHGs beyond SER? </w:t>
      </w:r>
    </w:p>
    <w:p w:rsidR="00FE188E" w:rsidRDefault="0004364F">
      <w:pPr>
        <w:ind w:left="288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EPA:</w:t>
      </w:r>
      <w:r>
        <w:rPr>
          <w:rFonts w:ascii="Times New Roman" w:eastAsia="Times New Roman" w:hAnsi="Times New Roman" w:cs="Times New Roman"/>
          <w:sz w:val="20"/>
          <w:szCs w:val="20"/>
        </w:rPr>
        <w:t xml:space="preserve"> (1) Compels regulation of all pollutants if exceeds this 100/250 tpy threshold but if apply literal language to GHGs, would yield absurd results – would result in increasing</w:t>
      </w:r>
      <w:r>
        <w:rPr>
          <w:rFonts w:ascii="Times New Roman" w:eastAsia="Times New Roman" w:hAnsi="Times New Roman" w:cs="Times New Roman"/>
          <w:sz w:val="20"/>
          <w:szCs w:val="20"/>
        </w:rPr>
        <w:t xml:space="preserve"> the number of PSD permits issued from 800 to 82,000 per year, requiring many more resources, so instead “tailors” to GHGs; argues absurd results doctrine ^, one step at a time doctrine, and administrative necessity doctrine</w:t>
      </w:r>
    </w:p>
    <w:p w:rsidR="00FE188E" w:rsidRDefault="0004364F">
      <w:pPr>
        <w:ind w:left="288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(1) No, does not literally m</w:t>
      </w:r>
      <w:r>
        <w:rPr>
          <w:rFonts w:ascii="Times New Roman" w:eastAsia="Times New Roman" w:hAnsi="Times New Roman" w:cs="Times New Roman"/>
          <w:sz w:val="20"/>
          <w:szCs w:val="20"/>
        </w:rPr>
        <w:t>ean a</w:t>
      </w:r>
      <w:r>
        <w:rPr>
          <w:rFonts w:ascii="Times New Roman" w:eastAsia="Times New Roman" w:hAnsi="Times New Roman" w:cs="Times New Roman"/>
          <w:i/>
          <w:sz w:val="20"/>
          <w:szCs w:val="20"/>
        </w:rPr>
        <w:t>ny air pollutant</w:t>
      </w:r>
      <w:r>
        <w:rPr>
          <w:rFonts w:ascii="Times New Roman" w:eastAsia="Times New Roman" w:hAnsi="Times New Roman" w:cs="Times New Roman"/>
          <w:sz w:val="20"/>
          <w:szCs w:val="20"/>
        </w:rPr>
        <w:t xml:space="preserve">, limited to the context, ambiguous (despite EPA’s unambiguous argument) triggering </w:t>
      </w:r>
      <w:r>
        <w:rPr>
          <w:rFonts w:ascii="Times New Roman" w:eastAsia="Times New Roman" w:hAnsi="Times New Roman" w:cs="Times New Roman"/>
          <w:i/>
          <w:sz w:val="20"/>
          <w:szCs w:val="20"/>
        </w:rPr>
        <w:t>Chevron</w:t>
      </w:r>
      <w:r>
        <w:rPr>
          <w:rFonts w:ascii="Times New Roman" w:eastAsia="Times New Roman" w:hAnsi="Times New Roman" w:cs="Times New Roman"/>
          <w:sz w:val="20"/>
          <w:szCs w:val="20"/>
        </w:rPr>
        <w:t xml:space="preserve">, but the Court rules EPA’s interpretation is unreasonable (failing step 2 of </w:t>
      </w:r>
      <w:r>
        <w:rPr>
          <w:rFonts w:ascii="Times New Roman" w:eastAsia="Times New Roman" w:hAnsi="Times New Roman" w:cs="Times New Roman"/>
          <w:i/>
          <w:sz w:val="20"/>
          <w:szCs w:val="20"/>
        </w:rPr>
        <w:t xml:space="preserve">Chevron </w:t>
      </w:r>
      <w:r>
        <w:rPr>
          <w:rFonts w:ascii="Times New Roman" w:eastAsia="Times New Roman" w:hAnsi="Times New Roman" w:cs="Times New Roman"/>
          <w:sz w:val="20"/>
          <w:szCs w:val="20"/>
        </w:rPr>
        <w:t>analysis) because it would greatly expand EPA’s power to r</w:t>
      </w:r>
      <w:r>
        <w:rPr>
          <w:rFonts w:ascii="Times New Roman" w:eastAsia="Times New Roman" w:hAnsi="Times New Roman" w:cs="Times New Roman"/>
          <w:sz w:val="20"/>
          <w:szCs w:val="20"/>
        </w:rPr>
        <w:t xml:space="preserve">egulate without express Congressional authority to do so – GHGs themselves cannot be the source for making a stationary source major; (2) Yes, may regulate so long as not regulating </w:t>
      </w:r>
      <w:r>
        <w:rPr>
          <w:rFonts w:ascii="Times New Roman" w:eastAsia="Times New Roman" w:hAnsi="Times New Roman" w:cs="Times New Roman"/>
          <w:i/>
          <w:sz w:val="20"/>
          <w:szCs w:val="20"/>
        </w:rPr>
        <w:t>de minimis</w:t>
      </w:r>
      <w:r>
        <w:rPr>
          <w:rFonts w:ascii="Times New Roman" w:eastAsia="Times New Roman" w:hAnsi="Times New Roman" w:cs="Times New Roman"/>
          <w:sz w:val="20"/>
          <w:szCs w:val="20"/>
        </w:rPr>
        <w:t xml:space="preserve"> emissions (re 0 + 75,000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eq interpretation ok)</w:t>
      </w:r>
    </w:p>
    <w:p w:rsidR="00FE188E" w:rsidRDefault="0004364F">
      <w:pPr>
        <w:ind w:left="288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lastRenderedPageBreak/>
        <w:t>D:</w:t>
      </w:r>
      <w:r>
        <w:rPr>
          <w:rFonts w:ascii="Times New Roman" w:eastAsia="Times New Roman" w:hAnsi="Times New Roman" w:cs="Times New Roman"/>
          <w:sz w:val="20"/>
          <w:szCs w:val="20"/>
        </w:rPr>
        <w:t xml:space="preserve"> (1) Clear </w:t>
      </w:r>
      <w:r>
        <w:rPr>
          <w:rFonts w:ascii="Times New Roman" w:eastAsia="Times New Roman" w:hAnsi="Times New Roman" w:cs="Times New Roman"/>
          <w:sz w:val="20"/>
          <w:szCs w:val="20"/>
        </w:rPr>
        <w:t xml:space="preserve">statutory mandate to regulate </w:t>
      </w:r>
      <w:r>
        <w:rPr>
          <w:rFonts w:ascii="Times New Roman" w:eastAsia="Times New Roman" w:hAnsi="Times New Roman" w:cs="Times New Roman"/>
          <w:i/>
          <w:sz w:val="20"/>
          <w:szCs w:val="20"/>
        </w:rPr>
        <w:t>any</w:t>
      </w:r>
      <w:r>
        <w:rPr>
          <w:rFonts w:ascii="Times New Roman" w:eastAsia="Times New Roman" w:hAnsi="Times New Roman" w:cs="Times New Roman"/>
          <w:sz w:val="20"/>
          <w:szCs w:val="20"/>
        </w:rPr>
        <w:t xml:space="preserve"> pollutant from </w:t>
      </w:r>
      <w:r>
        <w:rPr>
          <w:rFonts w:ascii="Times New Roman" w:eastAsia="Times New Roman" w:hAnsi="Times New Roman" w:cs="Times New Roman"/>
          <w:i/>
          <w:sz w:val="20"/>
          <w:szCs w:val="20"/>
        </w:rPr>
        <w:t>any</w:t>
      </w:r>
      <w:r>
        <w:rPr>
          <w:rFonts w:ascii="Times New Roman" w:eastAsia="Times New Roman" w:hAnsi="Times New Roman" w:cs="Times New Roman"/>
          <w:sz w:val="20"/>
          <w:szCs w:val="20"/>
        </w:rPr>
        <w:t xml:space="preserve"> facility beyond 100/250 thresholds, meaning EPA has two options, either to not regulate all pollutants (e.g. not GHGs) or to not regulate all facilities (EPA’s proposed rule)</w:t>
      </w:r>
    </w:p>
    <w:p w:rsidR="00FE188E" w:rsidRDefault="0004364F">
      <w:pPr>
        <w:ind w:left="2880"/>
        <w:rPr>
          <w:rFonts w:ascii="Times New Roman" w:eastAsia="Times New Roman" w:hAnsi="Times New Roman" w:cs="Times New Roman"/>
          <w:sz w:val="20"/>
          <w:szCs w:val="20"/>
        </w:rPr>
      </w:pPr>
      <w:r>
        <w:rPr>
          <w:noProof/>
        </w:rPr>
        <w:drawing>
          <wp:anchor distT="114300" distB="114300" distL="114300" distR="114300" simplePos="0" relativeHeight="251658240" behindDoc="0" locked="0" layoutInCell="1" hidden="0" allowOverlap="1">
            <wp:simplePos x="0" y="0"/>
            <wp:positionH relativeFrom="margin">
              <wp:posOffset>1047750</wp:posOffset>
            </wp:positionH>
            <wp:positionV relativeFrom="paragraph">
              <wp:posOffset>133350</wp:posOffset>
            </wp:positionV>
            <wp:extent cx="3948113" cy="2409683"/>
            <wp:effectExtent l="0" t="0" r="0" b="0"/>
            <wp:wrapTopAndBottom distT="114300" distB="11430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3948113" cy="2409683"/>
                    </a:xfrm>
                    <a:prstGeom prst="rect">
                      <a:avLst/>
                    </a:prstGeom>
                    <a:ln/>
                  </pic:spPr>
                </pic:pic>
              </a:graphicData>
            </a:graphic>
          </wp:anchor>
        </w:drawing>
      </w:r>
    </w:p>
    <w:p w:rsidR="00FE188E" w:rsidRDefault="0004364F">
      <w:pPr>
        <w:numPr>
          <w:ilvl w:val="2"/>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What is BACT for Greenhouse Gas Emissions?</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EPA has said certain innovative technologies, i.e. IGCC, is not BACT because it would redefine the source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see below where EPA ordered facility proposing IGCC to consider natural gas instead)</w:t>
      </w:r>
    </w:p>
    <w:p w:rsidR="00FE188E" w:rsidRDefault="0004364F">
      <w:pPr>
        <w:numPr>
          <w:ilvl w:val="4"/>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Question of wheth</w:t>
      </w:r>
      <w:r>
        <w:rPr>
          <w:rFonts w:ascii="Times New Roman" w:eastAsia="Times New Roman" w:hAnsi="Times New Roman" w:cs="Times New Roman"/>
          <w:sz w:val="20"/>
          <w:szCs w:val="20"/>
        </w:rPr>
        <w:t>er a coal plant is a coal plant and that permitting agencies can consider all types of coal plant technology or if permitting agency is constrained from directing construction of a different type of coal plant</w:t>
      </w:r>
    </w:p>
    <w:p w:rsidR="00FE188E" w:rsidRDefault="0004364F">
      <w:pPr>
        <w:numPr>
          <w:ilvl w:val="3"/>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Five-step top down approach – </w:t>
      </w:r>
    </w:p>
    <w:p w:rsidR="00FE188E" w:rsidRDefault="0004364F">
      <w:pPr>
        <w:numPr>
          <w:ilvl w:val="4"/>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Identify all av</w:t>
      </w:r>
      <w:r>
        <w:rPr>
          <w:rFonts w:ascii="Times New Roman" w:eastAsia="Times New Roman" w:hAnsi="Times New Roman" w:cs="Times New Roman"/>
          <w:sz w:val="20"/>
          <w:szCs w:val="20"/>
        </w:rPr>
        <w:t>ailable control technologies</w:t>
      </w:r>
    </w:p>
    <w:p w:rsidR="00FE188E" w:rsidRDefault="0004364F">
      <w:pPr>
        <w:numPr>
          <w:ilvl w:val="5"/>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Three categories – inherently lower-emitting processes, practices, designs; add-on controls; combination of two</w:t>
      </w:r>
    </w:p>
    <w:p w:rsidR="00FE188E" w:rsidRDefault="0004364F">
      <w:pPr>
        <w:numPr>
          <w:ilvl w:val="5"/>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If NSPS in place, that will be “available”</w:t>
      </w:r>
    </w:p>
    <w:p w:rsidR="00FE188E" w:rsidRDefault="0004364F">
      <w:pPr>
        <w:numPr>
          <w:ilvl w:val="5"/>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Question – what types of technologies “redefine the source?” – If it’s a</w:t>
      </w:r>
      <w:r>
        <w:rPr>
          <w:rFonts w:ascii="Times New Roman" w:eastAsia="Times New Roman" w:hAnsi="Times New Roman" w:cs="Times New Roman"/>
          <w:sz w:val="20"/>
          <w:szCs w:val="20"/>
        </w:rPr>
        <w:t xml:space="preserve"> pulverized coal boiler (inefficient) can a permitting agency order something better like IGCC? If facility proposes to burn coal, may a permitting agency order natural gas instead? How about wind?</w:t>
      </w:r>
    </w:p>
    <w:p w:rsidR="00FE188E" w:rsidRDefault="0004364F">
      <w:pPr>
        <w:numPr>
          <w:ilvl w:val="6"/>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Start by considering goals, objective, purpose, or basic d</w:t>
      </w:r>
      <w:r>
        <w:rPr>
          <w:rFonts w:ascii="Times New Roman" w:eastAsia="Times New Roman" w:hAnsi="Times New Roman" w:cs="Times New Roman"/>
          <w:sz w:val="20"/>
          <w:szCs w:val="20"/>
        </w:rPr>
        <w:t>esign for proposed facility – hard look at design to determine which elements are inherent; not supposed to alter purpose (e.g. baseload v. peak-load); but ok to make significant changes to design</w:t>
      </w:r>
    </w:p>
    <w:p w:rsidR="00FE188E" w:rsidRDefault="0004364F">
      <w:pPr>
        <w:numPr>
          <w:ilvl w:val="6"/>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Question of degree</w:t>
      </w:r>
    </w:p>
    <w:p w:rsidR="00FE188E" w:rsidRDefault="0004364F">
      <w:pPr>
        <w:numPr>
          <w:ilvl w:val="5"/>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Clean fuels – must be considered but not</w:t>
      </w:r>
      <w:r>
        <w:rPr>
          <w:rFonts w:ascii="Times New Roman" w:eastAsia="Times New Roman" w:hAnsi="Times New Roman" w:cs="Times New Roman"/>
          <w:sz w:val="20"/>
          <w:szCs w:val="20"/>
        </w:rPr>
        <w:t xml:space="preserve"> if will redefine source – in most cases requiring natural gas to replace coal would probably fundamentally redefine but permitting authority has discretion to decide, EPA recently ordered facility proposing IGCC to consider natural gas instead; if fuel al</w:t>
      </w:r>
      <w:r>
        <w:rPr>
          <w:rFonts w:ascii="Times New Roman" w:eastAsia="Times New Roman" w:hAnsi="Times New Roman" w:cs="Times New Roman"/>
          <w:sz w:val="20"/>
          <w:szCs w:val="20"/>
        </w:rPr>
        <w:t>ready used for part of the plant, e.g. startup, then can probably be used in rest of it</w:t>
      </w:r>
    </w:p>
    <w:p w:rsidR="00FE188E" w:rsidRDefault="0004364F">
      <w:pPr>
        <w:numPr>
          <w:ilvl w:val="5"/>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GHG specifications – energy efficiency is key especially because there are no well-developed add-on controls, means that more efficient combustion processes require con</w:t>
      </w:r>
      <w:r>
        <w:rPr>
          <w:rFonts w:ascii="Times New Roman" w:eastAsia="Times New Roman" w:hAnsi="Times New Roman" w:cs="Times New Roman"/>
          <w:sz w:val="20"/>
          <w:szCs w:val="20"/>
        </w:rPr>
        <w:t>sideration – IGCC (supercritical and ultra-supercritical), unless will disrupt application’s basic or fundamental business purpose</w:t>
      </w:r>
    </w:p>
    <w:p w:rsidR="00FE188E" w:rsidRDefault="0004364F">
      <w:pPr>
        <w:numPr>
          <w:ilvl w:val="4"/>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Eliminate technically infeasible options</w:t>
      </w:r>
    </w:p>
    <w:p w:rsidR="00FE188E" w:rsidRDefault="0004364F">
      <w:pPr>
        <w:numPr>
          <w:ilvl w:val="5"/>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Must show technology will not work due to physical, chemical, or engineering princip</w:t>
      </w:r>
      <w:r>
        <w:rPr>
          <w:rFonts w:ascii="Times New Roman" w:eastAsia="Times New Roman" w:hAnsi="Times New Roman" w:cs="Times New Roman"/>
          <w:sz w:val="20"/>
          <w:szCs w:val="20"/>
        </w:rPr>
        <w:t>les</w:t>
      </w:r>
    </w:p>
    <w:p w:rsidR="00FE188E" w:rsidRDefault="0004364F">
      <w:pPr>
        <w:numPr>
          <w:ilvl w:val="5"/>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If demonstrated in practice or available and applicable to source type, then is technically feasible</w:t>
      </w:r>
    </w:p>
    <w:p w:rsidR="00FE188E" w:rsidRDefault="0004364F">
      <w:pPr>
        <w:numPr>
          <w:ilvl w:val="6"/>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Demonstrated in practice – same type of source</w:t>
      </w:r>
    </w:p>
    <w:p w:rsidR="00FE188E" w:rsidRDefault="0004364F">
      <w:pPr>
        <w:numPr>
          <w:ilvl w:val="6"/>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Available/applicable – similar even if not same industry; available means obtained in commerce; applicab</w:t>
      </w:r>
      <w:r>
        <w:rPr>
          <w:rFonts w:ascii="Times New Roman" w:eastAsia="Times New Roman" w:hAnsi="Times New Roman" w:cs="Times New Roman"/>
          <w:sz w:val="20"/>
          <w:szCs w:val="20"/>
        </w:rPr>
        <w:t>le means can be installed on source type; tech transfer issue</w:t>
      </w:r>
    </w:p>
    <w:p w:rsidR="00FE188E" w:rsidRDefault="0004364F">
      <w:pPr>
        <w:numPr>
          <w:ilvl w:val="5"/>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GHG concentrations – CCS relevant at step 2 as technologies develop; lack of commercial guarantee is not by itself determinative of technological feasibility </w:t>
      </w:r>
    </w:p>
    <w:p w:rsidR="00FE188E" w:rsidRDefault="0004364F">
      <w:pPr>
        <w:numPr>
          <w:ilvl w:val="4"/>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Rank remand control technologies – </w:t>
      </w:r>
      <w:r>
        <w:rPr>
          <w:rFonts w:ascii="Times New Roman" w:eastAsia="Times New Roman" w:hAnsi="Times New Roman" w:cs="Times New Roman"/>
          <w:sz w:val="20"/>
          <w:szCs w:val="20"/>
        </w:rPr>
        <w:t>which will achieve lower emissions levels, based on efficiency, emission rate, and expected emissions reduction</w:t>
      </w:r>
    </w:p>
    <w:p w:rsidR="00FE188E" w:rsidRDefault="0004364F">
      <w:pPr>
        <w:numPr>
          <w:ilvl w:val="4"/>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Evaluate most effective control based on economic, energy, and environmental impacts (with documentation) – basic idea that the cost impacts and</w:t>
      </w:r>
      <w:r>
        <w:rPr>
          <w:rFonts w:ascii="Times New Roman" w:eastAsia="Times New Roman" w:hAnsi="Times New Roman" w:cs="Times New Roman"/>
          <w:sz w:val="20"/>
          <w:szCs w:val="20"/>
        </w:rPr>
        <w:t xml:space="preserve"> unintended consequences of different technologies may make a technically feasible option unworkable</w:t>
      </w:r>
    </w:p>
    <w:p w:rsidR="00FE188E" w:rsidRDefault="0004364F">
      <w:pPr>
        <w:numPr>
          <w:ilvl w:val="5"/>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Too expensive – must be direct economic impacts, cost relative to amount of pollutant removed (must be disproportionately high)</w:t>
      </w:r>
    </w:p>
    <w:p w:rsidR="00FE188E" w:rsidRDefault="0004364F">
      <w:pPr>
        <w:numPr>
          <w:ilvl w:val="5"/>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Unacceptable environmental implications</w:t>
      </w:r>
    </w:p>
    <w:p w:rsidR="00FE188E" w:rsidRDefault="0004364F">
      <w:pPr>
        <w:numPr>
          <w:ilvl w:val="5"/>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Increased energy use from operating pollution control</w:t>
      </w:r>
    </w:p>
    <w:p w:rsidR="00FE188E" w:rsidRDefault="0004364F">
      <w:pPr>
        <w:numPr>
          <w:ilvl w:val="4"/>
          <w:numId w:val="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Select BACT – most effective control option left after the elimination process of step 4 </w:t>
      </w:r>
    </w:p>
    <w:p w:rsidR="00FE188E" w:rsidRDefault="00FE188E">
      <w:pPr>
        <w:rPr>
          <w:rFonts w:ascii="Times New Roman" w:eastAsia="Times New Roman" w:hAnsi="Times New Roman" w:cs="Times New Roman"/>
          <w:sz w:val="20"/>
          <w:szCs w:val="20"/>
        </w:rPr>
      </w:pPr>
    </w:p>
    <w:p w:rsidR="00FE188E" w:rsidRDefault="0004364F">
      <w:pPr>
        <w:pStyle w:val="Heading2"/>
        <w:spacing w:before="0" w:after="0"/>
        <w:jc w:val="center"/>
        <w:rPr>
          <w:rFonts w:ascii="Times New Roman" w:eastAsia="Times New Roman" w:hAnsi="Times New Roman" w:cs="Times New Roman"/>
          <w:sz w:val="20"/>
          <w:szCs w:val="20"/>
        </w:rPr>
      </w:pPr>
      <w:bookmarkStart w:id="14" w:name="_8i5j487d1e8c" w:colFirst="0" w:colLast="0"/>
      <w:bookmarkEnd w:id="14"/>
      <w:r>
        <w:rPr>
          <w:rFonts w:ascii="Times New Roman" w:eastAsia="Times New Roman" w:hAnsi="Times New Roman" w:cs="Times New Roman"/>
          <w:sz w:val="24"/>
          <w:szCs w:val="24"/>
        </w:rPr>
        <w:t>U.S. Law and Policy: Transportation</w:t>
      </w:r>
    </w:p>
    <w:p w:rsidR="00FE188E" w:rsidRDefault="0004364F">
      <w:pPr>
        <w:numPr>
          <w:ilvl w:val="0"/>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Automobile Fuel Efficiency Standard</w:t>
      </w:r>
      <w:r>
        <w:rPr>
          <w:rFonts w:ascii="Times New Roman" w:eastAsia="Times New Roman" w:hAnsi="Times New Roman" w:cs="Times New Roman"/>
          <w:sz w:val="20"/>
          <w:szCs w:val="20"/>
        </w:rPr>
        <w:t>s</w:t>
      </w:r>
    </w:p>
    <w:p w:rsidR="00FE188E" w:rsidRDefault="0004364F">
      <w:pPr>
        <w:numPr>
          <w:ilvl w:val="1"/>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CAFE Program’s Rise and Retreat</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Corporate Average Fuel Economy (CAFE) standards – fleetwide average fuel economy standards in mpg, based on Maximum Feasible Average Fuel Economy level achievable in each MY – considers (1) technological feasibility, (</w:t>
      </w:r>
      <w:r>
        <w:rPr>
          <w:rFonts w:ascii="Times New Roman" w:eastAsia="Times New Roman" w:hAnsi="Times New Roman" w:cs="Times New Roman"/>
          <w:sz w:val="20"/>
          <w:szCs w:val="20"/>
        </w:rPr>
        <w:t>2) economic practicability, (3) effect of other federal standards on fuel economy, (4) need of nation to conserve energy</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Fleet – passenger vehicles, non-passenger vehicles, and work trucks</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Passenger vehicles – does not include off-road vehicles that the Se</w:t>
      </w:r>
      <w:r>
        <w:rPr>
          <w:rFonts w:ascii="Times New Roman" w:eastAsia="Times New Roman" w:hAnsi="Times New Roman" w:cs="Times New Roman"/>
          <w:sz w:val="20"/>
          <w:szCs w:val="20"/>
        </w:rPr>
        <w:t>c’y decides has another feature (not 4WD) designed for off-highway transport and is 4WD or more than 6,000 lbs</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Non-passenger vehicles – not passenger and not work trucks</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Work trucks – not designed for transport and between 8,500-10,000 lbs</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Fleetwide standa</w:t>
      </w:r>
      <w:r>
        <w:rPr>
          <w:rFonts w:ascii="Times New Roman" w:eastAsia="Times New Roman" w:hAnsi="Times New Roman" w:cs="Times New Roman"/>
          <w:sz w:val="20"/>
          <w:szCs w:val="20"/>
        </w:rPr>
        <w:t>rds – average per fleet, implications – if a car company wants to produce inefficient cars, will need to improve efficiency of other cars, if wants to sell more inefficient cars, will need to sell more efficient ones</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Implications </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Cars designed for off-roa</w:t>
      </w:r>
      <w:r>
        <w:rPr>
          <w:rFonts w:ascii="Times New Roman" w:eastAsia="Times New Roman" w:hAnsi="Times New Roman" w:cs="Times New Roman"/>
          <w:sz w:val="20"/>
          <w:szCs w:val="20"/>
        </w:rPr>
        <w:t>d use due to additional features and are either 4WD or heavier than 6,000 lbs are considered “non-passenger” vehicles</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NHTSA has discretion regarding whether to set standards and at what level</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Non-passenger standards are not affected by passenger vehicle fleet standards</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Overtime, non-passenger fleet dominates</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Standards over timeline of program: </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MY 1978 – 18.5 mpg</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MY 1985 – 27.5 mpg</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MY 1987 – 26.2 mpg</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MY 1999 – 23.8 mpg</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The SUV Loophole ^ – NHTSA has discretion to set standards and it treated various vehicles as “non-passenger cars”</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Early Case Law and the Deference to NHTSA</w:t>
      </w:r>
    </w:p>
    <w:p w:rsidR="00FE188E" w:rsidRDefault="0004364F">
      <w:pPr>
        <w:numPr>
          <w:ilvl w:val="3"/>
          <w:numId w:val="14"/>
        </w:numPr>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Center for Auto Safety v. National Highway Traffic Safety Admin.</w:t>
      </w:r>
      <w:r>
        <w:rPr>
          <w:rFonts w:ascii="Times New Roman" w:eastAsia="Times New Roman" w:hAnsi="Times New Roman" w:cs="Times New Roman"/>
          <w:sz w:val="20"/>
          <w:szCs w:val="20"/>
          <w:shd w:val="clear" w:color="auto" w:fill="FFF2CC"/>
        </w:rPr>
        <w:t xml:space="preserve"> (D.C. Cir., 1986)</w:t>
      </w:r>
    </w:p>
    <w:p w:rsidR="00FE188E" w:rsidRDefault="0004364F">
      <w:pPr>
        <w:ind w:left="2880"/>
        <w:rPr>
          <w:rFonts w:ascii="Times New Roman" w:eastAsia="Times New Roman" w:hAnsi="Times New Roman" w:cs="Times New Roman"/>
          <w:sz w:val="20"/>
          <w:szCs w:val="20"/>
          <w:shd w:val="clear" w:color="auto" w:fill="FFF2CC"/>
        </w:rPr>
      </w:pPr>
      <w:r>
        <w:rPr>
          <w:rFonts w:ascii="Times New Roman" w:eastAsia="Times New Roman" w:hAnsi="Times New Roman" w:cs="Times New Roman"/>
          <w:b/>
          <w:color w:val="FF0000"/>
          <w:sz w:val="20"/>
          <w:szCs w:val="20"/>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The Court uph</w:t>
      </w:r>
      <w:r>
        <w:rPr>
          <w:rFonts w:ascii="Times New Roman" w:eastAsia="Times New Roman" w:hAnsi="Times New Roman" w:cs="Times New Roman"/>
          <w:sz w:val="20"/>
          <w:szCs w:val="20"/>
        </w:rPr>
        <w:t xml:space="preserve">eld NHTSA’s lowered 1985-1986 light-truck fuel economy standards based on Ford’s inability to meet more aggressive standards due to consumer demand, dismissing plaintiff’s argument that consumer demand is not a specifically designated consideration factor </w:t>
      </w:r>
      <w:r>
        <w:rPr>
          <w:rFonts w:ascii="Times New Roman" w:eastAsia="Times New Roman" w:hAnsi="Times New Roman" w:cs="Times New Roman"/>
          <w:sz w:val="20"/>
          <w:szCs w:val="20"/>
        </w:rPr>
        <w:t>for setting standards. The court reasoned that the factors did not exclude consideration of consumer demand as both technological feasibility and economic practicability are each both broad enough to encompass and the Congressional intent and legislative h</w:t>
      </w:r>
      <w:r>
        <w:rPr>
          <w:rFonts w:ascii="Times New Roman" w:eastAsia="Times New Roman" w:hAnsi="Times New Roman" w:cs="Times New Roman"/>
          <w:sz w:val="20"/>
          <w:szCs w:val="20"/>
        </w:rPr>
        <w:t xml:space="preserve">istory are unilluminating on this issue.  </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i/>
          <w:sz w:val="20"/>
          <w:szCs w:val="20"/>
        </w:rPr>
        <w:t>Competitive Enterprise Institute v. Nat’l Highway Traffic Safety Admin.</w:t>
      </w:r>
      <w:r>
        <w:rPr>
          <w:rFonts w:ascii="Times New Roman" w:eastAsia="Times New Roman" w:hAnsi="Times New Roman" w:cs="Times New Roman"/>
          <w:sz w:val="20"/>
          <w:szCs w:val="20"/>
        </w:rPr>
        <w:t xml:space="preserve"> (D.C. Cir., 1992) (</w:t>
      </w:r>
      <w:r>
        <w:rPr>
          <w:rFonts w:ascii="Times New Roman" w:eastAsia="Times New Roman" w:hAnsi="Times New Roman" w:cs="Times New Roman"/>
          <w:i/>
          <w:sz w:val="20"/>
          <w:szCs w:val="20"/>
        </w:rPr>
        <w:t>CEI I</w:t>
      </w:r>
      <w:r>
        <w:rPr>
          <w:rFonts w:ascii="Times New Roman" w:eastAsia="Times New Roman" w:hAnsi="Times New Roman" w:cs="Times New Roman"/>
          <w:sz w:val="20"/>
          <w:szCs w:val="20"/>
        </w:rPr>
        <w:t xml:space="preserve">) and </w:t>
      </w:r>
      <w:r>
        <w:rPr>
          <w:rFonts w:ascii="Times New Roman" w:eastAsia="Times New Roman" w:hAnsi="Times New Roman" w:cs="Times New Roman"/>
          <w:i/>
          <w:sz w:val="20"/>
          <w:szCs w:val="20"/>
        </w:rPr>
        <w:t>CEI II</w:t>
      </w:r>
      <w:r>
        <w:rPr>
          <w:rFonts w:ascii="Times New Roman" w:eastAsia="Times New Roman" w:hAnsi="Times New Roman" w:cs="Times New Roman"/>
          <w:sz w:val="20"/>
          <w:szCs w:val="20"/>
        </w:rPr>
        <w:t xml:space="preserve"> (D.C. Cir., 1995) – </w:t>
      </w:r>
      <w:r>
        <w:rPr>
          <w:rFonts w:ascii="Times New Roman" w:eastAsia="Times New Roman" w:hAnsi="Times New Roman" w:cs="Times New Roman"/>
          <w:b/>
          <w:sz w:val="20"/>
          <w:szCs w:val="20"/>
        </w:rPr>
        <w:t>H:</w:t>
      </w:r>
      <w:r>
        <w:rPr>
          <w:rFonts w:ascii="Times New Roman" w:eastAsia="Times New Roman" w:hAnsi="Times New Roman" w:cs="Times New Roman"/>
          <w:sz w:val="20"/>
          <w:szCs w:val="20"/>
        </w:rPr>
        <w:t xml:space="preserve"> Remanded (</w:t>
      </w:r>
      <w:r>
        <w:rPr>
          <w:rFonts w:ascii="Times New Roman" w:eastAsia="Times New Roman" w:hAnsi="Times New Roman" w:cs="Times New Roman"/>
          <w:i/>
          <w:sz w:val="20"/>
          <w:szCs w:val="20"/>
        </w:rPr>
        <w:t>CEI I</w:t>
      </w:r>
      <w:r>
        <w:rPr>
          <w:rFonts w:ascii="Times New Roman" w:eastAsia="Times New Roman" w:hAnsi="Times New Roman" w:cs="Times New Roman"/>
          <w:sz w:val="20"/>
          <w:szCs w:val="20"/>
        </w:rPr>
        <w:t>) then surprisingly upheld (</w:t>
      </w:r>
      <w:r>
        <w:rPr>
          <w:rFonts w:ascii="Times New Roman" w:eastAsia="Times New Roman" w:hAnsi="Times New Roman" w:cs="Times New Roman"/>
          <w:i/>
          <w:sz w:val="20"/>
          <w:szCs w:val="20"/>
        </w:rPr>
        <w:t>CEI II</w:t>
      </w:r>
      <w:r>
        <w:rPr>
          <w:rFonts w:ascii="Times New Roman" w:eastAsia="Times New Roman" w:hAnsi="Times New Roman" w:cs="Times New Roman"/>
          <w:sz w:val="20"/>
          <w:szCs w:val="20"/>
        </w:rPr>
        <w:t xml:space="preserve">) standards for NHTSA’s failure </w:t>
      </w:r>
      <w:r>
        <w:rPr>
          <w:rFonts w:ascii="Times New Roman" w:eastAsia="Times New Roman" w:hAnsi="Times New Roman" w:cs="Times New Roman"/>
          <w:sz w:val="20"/>
          <w:szCs w:val="20"/>
        </w:rPr>
        <w:t>to consider vehicle safety under technological feasibility consideration, there the contention was that the standard would force carmakers to produce smaller, less safe cars, thus making it more difficult and expensive for consumers to buy larger, safer ca</w:t>
      </w:r>
      <w:r>
        <w:rPr>
          <w:rFonts w:ascii="Times New Roman" w:eastAsia="Times New Roman" w:hAnsi="Times New Roman" w:cs="Times New Roman"/>
          <w:sz w:val="20"/>
          <w:szCs w:val="20"/>
        </w:rPr>
        <w:t>rs; on remand (</w:t>
      </w:r>
      <w:r>
        <w:rPr>
          <w:rFonts w:ascii="Times New Roman" w:eastAsia="Times New Roman" w:hAnsi="Times New Roman" w:cs="Times New Roman"/>
          <w:i/>
          <w:sz w:val="20"/>
          <w:szCs w:val="20"/>
        </w:rPr>
        <w:t>CEI II</w:t>
      </w:r>
      <w:r>
        <w:rPr>
          <w:rFonts w:ascii="Times New Roman" w:eastAsia="Times New Roman" w:hAnsi="Times New Roman" w:cs="Times New Roman"/>
          <w:sz w:val="20"/>
          <w:szCs w:val="20"/>
        </w:rPr>
        <w:t>) the court emphasized and NHTSA appeared to concede that large cars are safer than small cars, which influenced CAFE standards for several years after</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Idea that small cars are less safe than big ones (since proven untrue) but lower fuel economy often achieved through reducing car size</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Initial approach in sum </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“Fleetwide approach” – average standard for all cars in a category (e.g. passenger, non-passenge</w:t>
      </w:r>
      <w:r>
        <w:rPr>
          <w:rFonts w:ascii="Times New Roman" w:eastAsia="Times New Roman" w:hAnsi="Times New Roman" w:cs="Times New Roman"/>
          <w:sz w:val="20"/>
          <w:szCs w:val="20"/>
        </w:rPr>
        <w:t xml:space="preserve">r), </w:t>
      </w:r>
      <w:r>
        <w:rPr>
          <w:rFonts w:ascii="Times New Roman" w:eastAsia="Times New Roman" w:hAnsi="Times New Roman" w:cs="Times New Roman"/>
          <w:i/>
          <w:sz w:val="20"/>
          <w:szCs w:val="20"/>
        </w:rPr>
        <w:t xml:space="preserve">within each category </w:t>
      </w:r>
      <w:r>
        <w:rPr>
          <w:rFonts w:ascii="Times New Roman" w:eastAsia="Times New Roman" w:hAnsi="Times New Roman" w:cs="Times New Roman"/>
          <w:sz w:val="20"/>
          <w:szCs w:val="20"/>
        </w:rPr>
        <w:t>may produce cars that do not meet the required standard so long as produce cars that do better than required too, meaning that if no one wants to buy one car type, then overall standard could go down – if everyone wants type 2, typ</w:t>
      </w:r>
      <w:r>
        <w:rPr>
          <w:rFonts w:ascii="Times New Roman" w:eastAsia="Times New Roman" w:hAnsi="Times New Roman" w:cs="Times New Roman"/>
          <w:sz w:val="20"/>
          <w:szCs w:val="20"/>
        </w:rPr>
        <w:t>e 2 will create the fleet (two fleets not averaged together, no absolute minimum standard)</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Effect of consumer demand (re </w:t>
      </w:r>
      <w:r>
        <w:rPr>
          <w:rFonts w:ascii="Times New Roman" w:eastAsia="Times New Roman" w:hAnsi="Times New Roman" w:cs="Times New Roman"/>
          <w:i/>
          <w:sz w:val="20"/>
          <w:szCs w:val="20"/>
        </w:rPr>
        <w:t>CAS v. NHTSA</w:t>
      </w:r>
      <w:r>
        <w:rPr>
          <w:rFonts w:ascii="Times New Roman" w:eastAsia="Times New Roman" w:hAnsi="Times New Roman" w:cs="Times New Roman"/>
          <w:sz w:val="20"/>
          <w:szCs w:val="20"/>
        </w:rPr>
        <w:t xml:space="preserve"> ^) – Average fuel economy in non-passenger cars kept declining as people wanted bigger SUVs especially from domestic produ</w:t>
      </w:r>
      <w:r>
        <w:rPr>
          <w:rFonts w:ascii="Times New Roman" w:eastAsia="Times New Roman" w:hAnsi="Times New Roman" w:cs="Times New Roman"/>
          <w:sz w:val="20"/>
          <w:szCs w:val="20"/>
        </w:rPr>
        <w:t xml:space="preserve">cers, since courts allowed agency to factor in consumer choice (re </w:t>
      </w:r>
      <w:r>
        <w:rPr>
          <w:rFonts w:ascii="Times New Roman" w:eastAsia="Times New Roman" w:hAnsi="Times New Roman" w:cs="Times New Roman"/>
          <w:i/>
          <w:sz w:val="20"/>
          <w:szCs w:val="20"/>
        </w:rPr>
        <w:t>CAS v. NHTSA</w:t>
      </w:r>
      <w:r>
        <w:rPr>
          <w:rFonts w:ascii="Times New Roman" w:eastAsia="Times New Roman" w:hAnsi="Times New Roman" w:cs="Times New Roman"/>
          <w:sz w:val="20"/>
          <w:szCs w:val="20"/>
        </w:rPr>
        <w:t xml:space="preserve"> ), fleet average continued to decline (e.g. more “Grand Cherokees, fewer Jeep Cherokees)</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Effect of fleet average – some cars can avoid standards altogether – it’s ok to manufac</w:t>
      </w:r>
      <w:r>
        <w:rPr>
          <w:rFonts w:ascii="Times New Roman" w:eastAsia="Times New Roman" w:hAnsi="Times New Roman" w:cs="Times New Roman"/>
          <w:sz w:val="20"/>
          <w:szCs w:val="20"/>
        </w:rPr>
        <w:t>ture cars that get 10 mph so long as fleet average offsets the inefficient ones</w:t>
      </w:r>
    </w:p>
    <w:p w:rsidR="00FE188E" w:rsidRDefault="0004364F">
      <w:pPr>
        <w:numPr>
          <w:ilvl w:val="5"/>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Note, penalties and gas guzzler tax ineffective</w:t>
      </w:r>
    </w:p>
    <w:p w:rsidR="00FE188E" w:rsidRDefault="0004364F">
      <w:pPr>
        <w:numPr>
          <w:ilvl w:val="1"/>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New Era of the CAFE Program</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CAFE Moratorium – due to need for studies about safety (by NAS), rebound effect, etc., efforts b</w:t>
      </w:r>
      <w:r>
        <w:rPr>
          <w:rFonts w:ascii="Times New Roman" w:eastAsia="Times New Roman" w:hAnsi="Times New Roman" w:cs="Times New Roman"/>
          <w:sz w:val="20"/>
          <w:szCs w:val="20"/>
        </w:rPr>
        <w:t>y NHTSA to increase standards, and that no money to revise standards</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NAS proposal to NHTSA – change cost/benefits to consider long-term benefits, consider reformed (vehicle attribute) approach (see below), don’t worry too much about the rebound effect</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Refo</w:t>
      </w:r>
      <w:r>
        <w:rPr>
          <w:rFonts w:ascii="Times New Roman" w:eastAsia="Times New Roman" w:hAnsi="Times New Roman" w:cs="Times New Roman"/>
          <w:sz w:val="20"/>
          <w:szCs w:val="20"/>
        </w:rPr>
        <w:t>rmed CAFE and Light Trucks</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Minimum set by EISA – 35 mpg by 2020</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Vehicle attribute approach – set standards based on vehicle attributes, such as car weight, size, load carrying capacity, footprint (size across and size front-to-back)</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Maintain fleetwide requ</w:t>
      </w:r>
      <w:r>
        <w:rPr>
          <w:rFonts w:ascii="Times New Roman" w:eastAsia="Times New Roman" w:hAnsi="Times New Roman" w:cs="Times New Roman"/>
          <w:sz w:val="20"/>
          <w:szCs w:val="20"/>
        </w:rPr>
        <w:t>irement but avoids giving carmakers the option to have extremely inefficient vehicles</w:t>
      </w:r>
    </w:p>
    <w:p w:rsidR="00FE188E" w:rsidRDefault="0004364F">
      <w:pPr>
        <w:numPr>
          <w:ilvl w:val="3"/>
          <w:numId w:val="14"/>
        </w:numPr>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Center for Biological Diversity v. National Highway Traffic Safety Admin.</w:t>
      </w:r>
      <w:r>
        <w:rPr>
          <w:rFonts w:ascii="Times New Roman" w:eastAsia="Times New Roman" w:hAnsi="Times New Roman" w:cs="Times New Roman"/>
          <w:sz w:val="20"/>
          <w:szCs w:val="20"/>
          <w:shd w:val="clear" w:color="auto" w:fill="FFF2CC"/>
        </w:rPr>
        <w:t xml:space="preserve"> (9th Cir., 2007)</w:t>
      </w:r>
    </w:p>
    <w:p w:rsidR="00FE188E" w:rsidRDefault="0004364F">
      <w:pPr>
        <w:ind w:left="288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I: </w:t>
      </w:r>
      <w:r>
        <w:rPr>
          <w:rFonts w:ascii="Times New Roman" w:eastAsia="Times New Roman" w:hAnsi="Times New Roman" w:cs="Times New Roman"/>
          <w:sz w:val="20"/>
          <w:szCs w:val="20"/>
        </w:rPr>
        <w:t>Plaintiffs  challenged to NHTSA’s MY 2008-2011 standards, alleging (1)/(2) f</w:t>
      </w:r>
      <w:r>
        <w:rPr>
          <w:rFonts w:ascii="Times New Roman" w:eastAsia="Times New Roman" w:hAnsi="Times New Roman" w:cs="Times New Roman"/>
          <w:sz w:val="20"/>
          <w:szCs w:val="20"/>
        </w:rPr>
        <w:t>ailure to include a backstop (fleet-wide average) (argued nothing to prohibit manufacturers from only producing large vehicles), (3) failure to monetize the benefits of GHG emissions reductions, and (4) failure to close the SUV loophole by changing the def</w:t>
      </w:r>
      <w:r>
        <w:rPr>
          <w:rFonts w:ascii="Times New Roman" w:eastAsia="Times New Roman" w:hAnsi="Times New Roman" w:cs="Times New Roman"/>
          <w:sz w:val="20"/>
          <w:szCs w:val="20"/>
        </w:rPr>
        <w:t xml:space="preserve">initions of passenger and non-passenger vehicles </w:t>
      </w:r>
    </w:p>
    <w:p w:rsidR="00FE188E" w:rsidRDefault="0004364F">
      <w:pPr>
        <w:ind w:left="288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lastRenderedPageBreak/>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The court agrees with the plaintiffs, finding all four of these failures by NHTSA arbitrary and capricious – (1)/(2) will incentivize manufacturers to produce only large vehicles in contrast to the fundamental purpose of the statute to increase energy cons</w:t>
      </w:r>
      <w:r>
        <w:rPr>
          <w:rFonts w:ascii="Times New Roman" w:eastAsia="Times New Roman" w:hAnsi="Times New Roman" w:cs="Times New Roman"/>
          <w:sz w:val="20"/>
          <w:szCs w:val="20"/>
        </w:rPr>
        <w:t>ervation (court does not hold backstop mandated, as plaintiffs alleged); (3) the marginal benefit of GHG emissions reductions are surely not zero and because marginal benefits = marginal costs an underestimation of the price of carbon would lead to lower C</w:t>
      </w:r>
      <w:r>
        <w:rPr>
          <w:rFonts w:ascii="Times New Roman" w:eastAsia="Times New Roman" w:hAnsi="Times New Roman" w:cs="Times New Roman"/>
          <w:sz w:val="20"/>
          <w:szCs w:val="20"/>
        </w:rPr>
        <w:t xml:space="preserve">AFE standards than necessary; (4) NHTSA overlooked that many “non-passenger” vehicles are being used primarily to transport passengers and thereby should instead be classified as such (otherwise incentivizing addition of unnecessary features to avoid CAFE </w:t>
      </w:r>
      <w:r>
        <w:rPr>
          <w:rFonts w:ascii="Times New Roman" w:eastAsia="Times New Roman" w:hAnsi="Times New Roman" w:cs="Times New Roman"/>
          <w:sz w:val="20"/>
          <w:szCs w:val="20"/>
        </w:rPr>
        <w:t>standards)</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Energy Independence and Security Act (EISA) </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by 2020 “at least 35” (hard minimum), after 2021 requires “maximum feasible average”</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Total fleet includes passenger and non-passenger, by MY 2025 fuel economy for combined fleets (cas and light-du</w:t>
      </w:r>
      <w:r>
        <w:rPr>
          <w:rFonts w:ascii="Times New Roman" w:eastAsia="Times New Roman" w:hAnsi="Times New Roman" w:cs="Times New Roman"/>
          <w:sz w:val="20"/>
          <w:szCs w:val="20"/>
        </w:rPr>
        <w:t>ty trucks) should be 54.5 mpg (combined targets)</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Standards set on vehicle attributes for passenger and non-passenger based on reformed CAFE meaning standards for each size of vehicle (e.g. no more 10 mph unless NHTSA expressly allows it)</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Fleetwide average </w:t>
      </w:r>
      <w:r>
        <w:rPr>
          <w:rFonts w:ascii="Times New Roman" w:eastAsia="Times New Roman" w:hAnsi="Times New Roman" w:cs="Times New Roman"/>
          <w:sz w:val="20"/>
          <w:szCs w:val="20"/>
        </w:rPr>
        <w:t>now for passenger cars – 27.5 minimum or 92% of fleetwide average of all manufacturers (paragraph (b)(4))</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Joint CAFE/Clean Air Act Standards</w:t>
      </w:r>
    </w:p>
    <w:p w:rsidR="00FE188E" w:rsidRDefault="0004364F">
      <w:pPr>
        <w:numPr>
          <w:ilvl w:val="1"/>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Ongoing concerns</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Economic incentives for trucks – higher fuel economy requirements for cars means more technology requirements and trucks may appear cheaper</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Fuel economy standards based on outdated lab tests (re driving practices) – actual mileage about 20% lower (and mayb</w:t>
      </w:r>
      <w:r>
        <w:rPr>
          <w:rFonts w:ascii="Times New Roman" w:eastAsia="Times New Roman" w:hAnsi="Times New Roman" w:cs="Times New Roman"/>
          <w:sz w:val="20"/>
          <w:szCs w:val="20"/>
        </w:rPr>
        <w:t>e even more so?)</w:t>
      </w:r>
    </w:p>
    <w:p w:rsidR="00FE188E" w:rsidRDefault="0004364F">
      <w:pPr>
        <w:numPr>
          <w:ilvl w:val="1"/>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New Opportunities </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Electric vehicles improving and becoming more cost-effective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do we have adequate systems in place to design infrastructure to serve them? EVs emit fewer GHGs when integrated into electricity systems that emit fewer G</w:t>
      </w:r>
      <w:r>
        <w:rPr>
          <w:rFonts w:ascii="Times New Roman" w:eastAsia="Times New Roman" w:hAnsi="Times New Roman" w:cs="Times New Roman"/>
          <w:sz w:val="20"/>
          <w:szCs w:val="20"/>
        </w:rPr>
        <w:t>HGs</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Autonomous vehicles and driving behavior </w:t>
      </w:r>
    </w:p>
    <w:p w:rsidR="00FE188E" w:rsidRDefault="0004364F">
      <w:pPr>
        <w:numPr>
          <w:ilvl w:val="0"/>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Alternative Fuels</w:t>
      </w:r>
    </w:p>
    <w:p w:rsidR="00FE188E" w:rsidRDefault="0004364F">
      <w:pPr>
        <w:numPr>
          <w:ilvl w:val="1"/>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An Overview of Alternative Fuel Production and Use</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Biofuels</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Corn Ethanol – 95% of all biofuels produced in the US</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Agriculture subsidies and tax incentives, ethanol subsidies, fuel blending req</w:t>
      </w:r>
      <w:r>
        <w:rPr>
          <w:rFonts w:ascii="Times New Roman" w:eastAsia="Times New Roman" w:hAnsi="Times New Roman" w:cs="Times New Roman"/>
          <w:sz w:val="20"/>
          <w:szCs w:val="20"/>
        </w:rPr>
        <w:t>uirements, 2005 EPAct created first federal renewable fuel standard (RFS1)</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Biodiesel – dominant biofuel in Europe</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Established or emerging “second-generation” or “advanced” biofuels – sugarcane ethanol (very established), waste vegetable oil, cellulosic bio</w:t>
      </w:r>
      <w:r>
        <w:rPr>
          <w:rFonts w:ascii="Times New Roman" w:eastAsia="Times New Roman" w:hAnsi="Times New Roman" w:cs="Times New Roman"/>
          <w:sz w:val="20"/>
          <w:szCs w:val="20"/>
        </w:rPr>
        <w:t>fuels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questionable how much can scale up), algae (particularly attractive with airplane manufacturers because of its ability to stay liquid at high/low temperatures)</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Compressed Natural Gas (CNG) – in use in many areas but unclear future</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Hydrogen fuel </w:t>
      </w:r>
      <w:r>
        <w:rPr>
          <w:rFonts w:ascii="Times New Roman" w:eastAsia="Times New Roman" w:hAnsi="Times New Roman" w:cs="Times New Roman"/>
          <w:sz w:val="20"/>
          <w:szCs w:val="20"/>
        </w:rPr>
        <w:t>cells – energy-intensive to produce, but if inputs are renewables, may be climate-friendly, high cost</w:t>
      </w:r>
    </w:p>
    <w:p w:rsidR="00FE188E" w:rsidRDefault="0004364F">
      <w:pPr>
        <w:ind w:left="720"/>
        <w:rPr>
          <w:rFonts w:ascii="Times New Roman" w:eastAsia="Times New Roman" w:hAnsi="Times New Roman" w:cs="Times New Roman"/>
          <w:sz w:val="20"/>
          <w:szCs w:val="20"/>
        </w:rPr>
      </w:pPr>
      <w:r>
        <w:rPr>
          <w:noProof/>
        </w:rPr>
        <w:lastRenderedPageBreak/>
        <w:drawing>
          <wp:anchor distT="114300" distB="114300" distL="114300" distR="114300" simplePos="0" relativeHeight="251659264" behindDoc="0" locked="0" layoutInCell="1" hidden="0" allowOverlap="1">
            <wp:simplePos x="0" y="0"/>
            <wp:positionH relativeFrom="margin">
              <wp:posOffset>590550</wp:posOffset>
            </wp:positionH>
            <wp:positionV relativeFrom="paragraph">
              <wp:posOffset>133350</wp:posOffset>
            </wp:positionV>
            <wp:extent cx="4643438" cy="2559050"/>
            <wp:effectExtent l="0" t="0" r="0" b="0"/>
            <wp:wrapTopAndBottom distT="114300" distB="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643438" cy="2559050"/>
                    </a:xfrm>
                    <a:prstGeom prst="rect">
                      <a:avLst/>
                    </a:prstGeom>
                    <a:ln/>
                  </pic:spPr>
                </pic:pic>
              </a:graphicData>
            </a:graphic>
          </wp:anchor>
        </w:drawing>
      </w:r>
    </w:p>
    <w:p w:rsidR="00FE188E" w:rsidRDefault="0004364F">
      <w:pPr>
        <w:numPr>
          <w:ilvl w:val="1"/>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RFS1 (contained in EPAct of 2005) – absolute requirement for renewable fuel blending, two mitigation measures (equivalence values and trading, waiver)</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I</w:t>
      </w:r>
      <w:r>
        <w:rPr>
          <w:rFonts w:ascii="Times New Roman" w:eastAsia="Times New Roman" w:hAnsi="Times New Roman" w:cs="Times New Roman"/>
          <w:sz w:val="20"/>
          <w:szCs w:val="20"/>
        </w:rPr>
        <w:t>mplementation</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Fixed volumetric requirements set by statute – EPA then calculates annually estimated gasoline consumption by “obligated parties” (oil blenders, refiners, importers) and based on this calculation sets percentage mandate for industry and then </w:t>
      </w:r>
      <w:r>
        <w:rPr>
          <w:rFonts w:ascii="Times New Roman" w:eastAsia="Times New Roman" w:hAnsi="Times New Roman" w:cs="Times New Roman"/>
          <w:sz w:val="20"/>
          <w:szCs w:val="20"/>
        </w:rPr>
        <w:t>applies this percentage to individual obligated parties (“renewable volumetric obligation” (RVO))</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Biofuel producers: Pathways – pathways determine whether biofuels meet production and GHG emissions requirements and establish energy content of the fuel, onc</w:t>
      </w:r>
      <w:r>
        <w:rPr>
          <w:rFonts w:ascii="Times New Roman" w:eastAsia="Times New Roman" w:hAnsi="Times New Roman" w:cs="Times New Roman"/>
          <w:sz w:val="20"/>
          <w:szCs w:val="20"/>
        </w:rPr>
        <w:t xml:space="preserve">e certified biofuel producers must continue to comply with the pathways </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Compliance through RINs </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RIN – renewable identification number, i.e. a compliance credit, have different values (e.g. ethanol = 1, others 1.5, 2, 2.5, etc.) based on energy intensity</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Obligated parties must obtain enough RINs within each category (ethanol, advanced, etc.) to comply with their RVOs</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Equivalence values and trading</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Parties can meet RFS requirements by trading credits representing renewable fuel production, each gallon of re</w:t>
      </w:r>
      <w:r>
        <w:rPr>
          <w:rFonts w:ascii="Times New Roman" w:eastAsia="Times New Roman" w:hAnsi="Times New Roman" w:cs="Times New Roman"/>
          <w:sz w:val="20"/>
          <w:szCs w:val="20"/>
        </w:rPr>
        <w:t>newable fuel has a different value (e.g. corn ethanol = 1, cellulosic biofuel = 2.5, everything else in between)</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Theoretically higher equivalence value should spur increased advanced biofuel production </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in reality, cheap corn ethanol RINs mean that equivalence values do not incentivize</w:t>
      </w:r>
    </w:p>
    <w:p w:rsidR="00FE188E" w:rsidRDefault="0004364F">
      <w:pPr>
        <w:numPr>
          <w:ilvl w:val="1"/>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Potential problems with biofuels</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Localized environmental problems, e.g. water, air, land</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Food supply reduction – locally (animal feed) and globally (US grain exports) – heavily disputed issue</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Biofuels and GHG emissions</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Direct emissions v. direct offsets </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Direct emissions – soil tilling, fertilizers, manufacturing emissions (especially if coal-</w:t>
      </w:r>
      <w:r>
        <w:rPr>
          <w:rFonts w:ascii="Times New Roman" w:eastAsia="Times New Roman" w:hAnsi="Times New Roman" w:cs="Times New Roman"/>
          <w:sz w:val="20"/>
          <w:szCs w:val="20"/>
        </w:rPr>
        <w:t>fired ethanol plants)</w:t>
      </w:r>
    </w:p>
    <w:p w:rsidR="00FE188E" w:rsidRDefault="0004364F">
      <w:pPr>
        <w:numPr>
          <w:ilvl w:val="4"/>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Direct offsets – plants uptake CO</w:t>
      </w:r>
      <w:r>
        <w:rPr>
          <w:rFonts w:ascii="Times New Roman" w:eastAsia="Times New Roman" w:hAnsi="Times New Roman" w:cs="Times New Roman"/>
          <w:sz w:val="20"/>
          <w:szCs w:val="20"/>
          <w:vertAlign w:val="subscript"/>
        </w:rPr>
        <w:t>2</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Indirect land use – US and international biofuels policies create food or fuel decision in other countries; if food/fuel production displaces tropical forests and peatlands will lead to increased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N</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O, CH</w:t>
      </w:r>
      <w:r>
        <w:rPr>
          <w:rFonts w:ascii="Times New Roman" w:eastAsia="Times New Roman" w:hAnsi="Times New Roman" w:cs="Times New Roman"/>
          <w:sz w:val="20"/>
          <w:szCs w:val="20"/>
          <w:vertAlign w:val="subscript"/>
        </w:rPr>
        <w:t>4</w:t>
      </w:r>
    </w:p>
    <w:p w:rsidR="00FE188E" w:rsidRDefault="0004364F">
      <w:pPr>
        <w:numPr>
          <w:ilvl w:val="1"/>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RSF2: New Mandates </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After 2016 all new fuel must come from advanced (second generation) biofuel, before 2016 corn ethanol mandates increased along with advanced biofuels</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GHG reduction requirements – 20% reduction from new renewable fuels (includ</w:t>
      </w:r>
      <w:r>
        <w:rPr>
          <w:rFonts w:ascii="Times New Roman" w:eastAsia="Times New Roman" w:hAnsi="Times New Roman" w:cs="Times New Roman"/>
          <w:sz w:val="20"/>
          <w:szCs w:val="20"/>
        </w:rPr>
        <w:t xml:space="preserve">es corn ethanol) produced in facilities for which construction commenced after Dec. 31, 2009, 50% from advanced biofuels (not corn ethanol), 60% from cellulosic biofuels </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All percentages compared to baseline emissions from fossil fuels</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Grandfathered ethano</w:t>
      </w:r>
      <w:r>
        <w:rPr>
          <w:rFonts w:ascii="Times New Roman" w:eastAsia="Times New Roman" w:hAnsi="Times New Roman" w:cs="Times New Roman"/>
          <w:sz w:val="20"/>
          <w:szCs w:val="20"/>
        </w:rPr>
        <w:t>l</w:t>
      </w:r>
    </w:p>
    <w:p w:rsidR="00FE188E" w:rsidRDefault="0004364F">
      <w:pPr>
        <w:numPr>
          <w:ilvl w:val="1"/>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Latest Complications</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Blend wall – cars built before 2001 cannot burn more than 10% ethanol without facing corrosion problems, EPA raised blend wall to 15% but gas stations and consumers don’t want it, infrastructure issues – how many pumps allocated to e</w:t>
      </w:r>
      <w:r>
        <w:rPr>
          <w:rFonts w:ascii="Times New Roman" w:eastAsia="Times New Roman" w:hAnsi="Times New Roman" w:cs="Times New Roman"/>
          <w:sz w:val="20"/>
          <w:szCs w:val="20"/>
        </w:rPr>
        <w:t>thanol blends at different levels</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Declining fuel consumption – due to vehicle emissions standards, CAFE standards, reduced VMT (due to urban liveability/work-live, younger Americans don’t love cars as much, alternative transportation)</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Not enough advanced f</w:t>
      </w:r>
      <w:r>
        <w:rPr>
          <w:rFonts w:ascii="Times New Roman" w:eastAsia="Times New Roman" w:hAnsi="Times New Roman" w:cs="Times New Roman"/>
          <w:sz w:val="20"/>
          <w:szCs w:val="20"/>
        </w:rPr>
        <w:t>uels – inadequate incentives, market uncertainty, foreign exports</w:t>
      </w:r>
    </w:p>
    <w:p w:rsidR="00FE188E" w:rsidRDefault="0004364F">
      <w:pPr>
        <w:numPr>
          <w:ilvl w:val="1"/>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Waiver</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EPA may waive the RFS if “implementation of the requirement would severely harm the economy or environment of a state, region, or the US”</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EPA will only grant waiver if RFS alone is th</w:t>
      </w:r>
      <w:r>
        <w:rPr>
          <w:rFonts w:ascii="Times New Roman" w:eastAsia="Times New Roman" w:hAnsi="Times New Roman" w:cs="Times New Roman"/>
          <w:sz w:val="20"/>
          <w:szCs w:val="20"/>
        </w:rPr>
        <w:t xml:space="preserve">e cause of harm to the economy or environment, resulting is severe and waiving RFS for a year will remedy the harm </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Texas waiver request due – 2008 skyrocketing oil prices leading to high ethanol demand leading to high corn and feed prices leading the dama</w:t>
      </w:r>
      <w:r>
        <w:rPr>
          <w:rFonts w:ascii="Times New Roman" w:eastAsia="Times New Roman" w:hAnsi="Times New Roman" w:cs="Times New Roman"/>
          <w:sz w:val="20"/>
          <w:szCs w:val="20"/>
        </w:rPr>
        <w:t>ge to the cattle industry</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Denied – RFS not sole cause of corn ethanol prices and demand, damage to economy not “severe” ($50M-$900M in $1T state economy)</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Waiver limitations ^ – RFS will never be the sole cause of harm to the environment/economy and severe </w:t>
      </w:r>
      <w:r>
        <w:rPr>
          <w:rFonts w:ascii="Times New Roman" w:eastAsia="Times New Roman" w:hAnsi="Times New Roman" w:cs="Times New Roman"/>
          <w:sz w:val="20"/>
          <w:szCs w:val="20"/>
        </w:rPr>
        <w:t>harm and clear relief through waiver will be extremely difficult to prove</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Alternative Fuels: The Future?</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Major challenges</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Infrastructure – we probably cannot have an “all of the above” approach with most biofuels</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Distinct markets – smaller markets but maybe the future? E.g. liquid biofuels should focus on shipping and air</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Consumer choice</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Technology and finance</w:t>
      </w:r>
    </w:p>
    <w:p w:rsidR="00FE188E" w:rsidRDefault="0004364F">
      <w:pPr>
        <w:numPr>
          <w:ilvl w:val="2"/>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Electric Vehicles (and PHEVs)</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Batteries can go longer (better storage)</w:t>
      </w:r>
    </w:p>
    <w:p w:rsidR="00FE188E" w:rsidRDefault="0004364F">
      <w:pPr>
        <w:numPr>
          <w:ilvl w:val="3"/>
          <w:numId w:val="14"/>
        </w:numPr>
        <w:rPr>
          <w:rFonts w:ascii="Times New Roman" w:eastAsia="Times New Roman" w:hAnsi="Times New Roman" w:cs="Times New Roman"/>
          <w:sz w:val="20"/>
          <w:szCs w:val="20"/>
        </w:rPr>
      </w:pPr>
      <w:r>
        <w:rPr>
          <w:rFonts w:ascii="Times New Roman" w:eastAsia="Times New Roman" w:hAnsi="Times New Roman" w:cs="Times New Roman"/>
          <w:sz w:val="20"/>
          <w:szCs w:val="20"/>
        </w:rPr>
        <w:t>Can integrate into the grid to stor</w:t>
      </w:r>
      <w:r>
        <w:rPr>
          <w:rFonts w:ascii="Times New Roman" w:eastAsia="Times New Roman" w:hAnsi="Times New Roman" w:cs="Times New Roman"/>
          <w:sz w:val="20"/>
          <w:szCs w:val="20"/>
        </w:rPr>
        <w:t>e renewable power</w:t>
      </w:r>
    </w:p>
    <w:p w:rsidR="00FE188E" w:rsidRDefault="00FE188E">
      <w:pPr>
        <w:rPr>
          <w:rFonts w:ascii="Times New Roman" w:eastAsia="Times New Roman" w:hAnsi="Times New Roman" w:cs="Times New Roman"/>
          <w:sz w:val="20"/>
          <w:szCs w:val="20"/>
        </w:rPr>
      </w:pPr>
    </w:p>
    <w:p w:rsidR="00FE188E" w:rsidRDefault="0004364F">
      <w:pPr>
        <w:pStyle w:val="Heading2"/>
        <w:spacing w:before="0" w:after="0"/>
        <w:jc w:val="center"/>
        <w:rPr>
          <w:rFonts w:ascii="Times New Roman" w:eastAsia="Times New Roman" w:hAnsi="Times New Roman" w:cs="Times New Roman"/>
          <w:sz w:val="24"/>
          <w:szCs w:val="24"/>
        </w:rPr>
      </w:pPr>
      <w:bookmarkStart w:id="15" w:name="_x18ghpmozrh5" w:colFirst="0" w:colLast="0"/>
      <w:bookmarkEnd w:id="15"/>
      <w:r>
        <w:rPr>
          <w:rFonts w:ascii="Times New Roman" w:eastAsia="Times New Roman" w:hAnsi="Times New Roman" w:cs="Times New Roman"/>
          <w:sz w:val="24"/>
          <w:szCs w:val="24"/>
        </w:rPr>
        <w:t>U.S. Law and Policy: Energy</w:t>
      </w:r>
    </w:p>
    <w:p w:rsidR="00FE188E" w:rsidRDefault="0004364F">
      <w:pPr>
        <w:numPr>
          <w:ilvl w:val="0"/>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Introduction</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traditional electricity system, features – large power plants, long-distance transmission lines, investor-owned utilities (IOUs) which are monopolies, public utility commissions (PUCs) regulate IOUs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PUCs – responsible for procurement and authorization </w:t>
      </w:r>
      <w:r>
        <w:rPr>
          <w:rFonts w:ascii="Times New Roman" w:eastAsia="Times New Roman" w:hAnsi="Times New Roman" w:cs="Times New Roman"/>
          <w:sz w:val="20"/>
          <w:szCs w:val="20"/>
        </w:rPr>
        <w:t>to build, reliability, ratemaking</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Generation</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Baseload plants – operate continuously to meet consumer demand, high capital costs, low operating expenses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Peak-load plants – operate when energy demand rises or “peaks,” e.g. dinner time until bedtime, sunrise </w:t>
      </w:r>
      <w:r>
        <w:rPr>
          <w:rFonts w:ascii="Times New Roman" w:eastAsia="Times New Roman" w:hAnsi="Times New Roman" w:cs="Times New Roman"/>
          <w:sz w:val="20"/>
          <w:szCs w:val="20"/>
        </w:rPr>
        <w:t>until morning commute, lower capital costs, high operating costs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About ¾ of all utility generation comes from IOUs – vertically integrated monopolies that earn a “rate of return” for their investors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IPPs – independent power producers – non-utility generato</w:t>
      </w:r>
      <w:r>
        <w:rPr>
          <w:rFonts w:ascii="Times New Roman" w:eastAsia="Times New Roman" w:hAnsi="Times New Roman" w:cs="Times New Roman"/>
          <w:sz w:val="20"/>
          <w:szCs w:val="20"/>
        </w:rPr>
        <w:t>rs that own power plants and sell “wholesale” electricity to others</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Transmission</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High-voltage, long-distance delivery of electricity over power lines – storage is difficult so need real-time balance between supply and demand</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Connected power lines (“the gri</w:t>
      </w:r>
      <w:r>
        <w:rPr>
          <w:rFonts w:ascii="Times New Roman" w:eastAsia="Times New Roman" w:hAnsi="Times New Roman" w:cs="Times New Roman"/>
          <w:sz w:val="20"/>
          <w:szCs w:val="20"/>
        </w:rPr>
        <w:t xml:space="preserve">d”) – came together haphazardly, management can be poor, congestion is a problem </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 US there are three main “grids” called interconnections</w:t>
      </w:r>
    </w:p>
    <w:p w:rsidR="00FE188E" w:rsidRDefault="0004364F">
      <w:pPr>
        <w:ind w:left="144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noProof/>
        </w:rPr>
        <w:drawing>
          <wp:anchor distT="114300" distB="114300" distL="114300" distR="114300" simplePos="0" relativeHeight="251660288" behindDoc="0" locked="0" layoutInCell="1" hidden="0" allowOverlap="1">
            <wp:simplePos x="0" y="0"/>
            <wp:positionH relativeFrom="margin">
              <wp:posOffset>1047750</wp:posOffset>
            </wp:positionH>
            <wp:positionV relativeFrom="paragraph">
              <wp:posOffset>133350</wp:posOffset>
            </wp:positionV>
            <wp:extent cx="3914775" cy="3000375"/>
            <wp:effectExtent l="0" t="0" r="0" b="0"/>
            <wp:wrapTopAndBottom distT="114300" distB="11430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3914775" cy="3000375"/>
                    </a:xfrm>
                    <a:prstGeom prst="rect">
                      <a:avLst/>
                    </a:prstGeom>
                    <a:ln/>
                  </pic:spPr>
                </pic:pic>
              </a:graphicData>
            </a:graphic>
          </wp:anchor>
        </w:drawing>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Sales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Wholesale sales – sales of electricity to entity other than the end user, e.g. from IPP to utility to cons</w:t>
      </w:r>
      <w:r>
        <w:rPr>
          <w:rFonts w:ascii="Times New Roman" w:eastAsia="Times New Roman" w:hAnsi="Times New Roman" w:cs="Times New Roman"/>
          <w:sz w:val="20"/>
          <w:szCs w:val="20"/>
        </w:rPr>
        <w:t>umer</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Retail sales – sales to end user, e.g. utility produces electricity and sells to own customers </w:t>
      </w:r>
    </w:p>
    <w:p w:rsidR="00FE188E" w:rsidRDefault="0004364F">
      <w:pPr>
        <w:numPr>
          <w:ilvl w:val="0"/>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Traditional Electricity Regulation and Fossil Fuels</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Utility gets the right to maintain its monopoly</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PUC regulates – types of plants utilities will build, rates utilities can charge customers, rates utilities’ investors will earn from the ratemaking process, among many other things</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Ratemaking – fair and reasonable rates</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Overall objectives of traditional e</w:t>
      </w:r>
      <w:r>
        <w:rPr>
          <w:rFonts w:ascii="Times New Roman" w:eastAsia="Times New Roman" w:hAnsi="Times New Roman" w:cs="Times New Roman"/>
          <w:sz w:val="20"/>
          <w:szCs w:val="20"/>
        </w:rPr>
        <w:t xml:space="preserve">lectricity regulation – cheap, abundant, reliable </w:t>
      </w:r>
    </w:p>
    <w:p w:rsidR="00FE188E" w:rsidRDefault="0004364F">
      <w:pPr>
        <w:numPr>
          <w:ilvl w:val="1"/>
          <w:numId w:val="15"/>
        </w:numPr>
        <w:rPr>
          <w:rFonts w:ascii="Times New Roman" w:eastAsia="Times New Roman" w:hAnsi="Times New Roman" w:cs="Times New Roman"/>
          <w:strike/>
          <w:sz w:val="20"/>
          <w:szCs w:val="20"/>
        </w:rPr>
      </w:pPr>
      <w:r>
        <w:rPr>
          <w:rFonts w:ascii="Times New Roman" w:eastAsia="Times New Roman" w:hAnsi="Times New Roman" w:cs="Times New Roman"/>
          <w:strike/>
          <w:sz w:val="20"/>
          <w:szCs w:val="20"/>
        </w:rPr>
        <w:t xml:space="preserve">A Brief History of Electric Utilities </w:t>
      </w:r>
    </w:p>
    <w:p w:rsidR="00FE188E" w:rsidRDefault="0004364F">
      <w:pPr>
        <w:numPr>
          <w:ilvl w:val="1"/>
          <w:numId w:val="15"/>
        </w:numPr>
        <w:rPr>
          <w:rFonts w:ascii="Times New Roman" w:eastAsia="Times New Roman" w:hAnsi="Times New Roman" w:cs="Times New Roman"/>
          <w:strike/>
          <w:sz w:val="20"/>
          <w:szCs w:val="20"/>
        </w:rPr>
      </w:pPr>
      <w:r>
        <w:rPr>
          <w:rFonts w:ascii="Times New Roman" w:eastAsia="Times New Roman" w:hAnsi="Times New Roman" w:cs="Times New Roman"/>
          <w:strike/>
          <w:sz w:val="20"/>
          <w:szCs w:val="20"/>
        </w:rPr>
        <w:t>Why Regulate Monopolies</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Key Elements of Monopoly Regulation</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Fixed Territories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Procurement</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Service</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Rate Regulation</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R = B*r + O</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R = revenue requirement – the amount the</w:t>
      </w:r>
      <w:r>
        <w:rPr>
          <w:rFonts w:ascii="Times New Roman" w:eastAsia="Times New Roman" w:hAnsi="Times New Roman" w:cs="Times New Roman"/>
          <w:sz w:val="20"/>
          <w:szCs w:val="20"/>
        </w:rPr>
        <w:t xml:space="preserve"> utility needs to recover from its customers</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 = rate base – capital investment in plant and other assets</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r = rate of return – return on investment</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O = operating expenses – variable expenses, including fuel costs, labor costs, etc.</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How utilities make money – </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When PUC sets R, utilities translate it into a price per kwh </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If utility sells more than the revenue requirement it’s entitled to earn, may earn the extra money serving as an incentive to promote consumption</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Electricity Regulati</w:t>
      </w:r>
      <w:r>
        <w:rPr>
          <w:rFonts w:ascii="Times New Roman" w:eastAsia="Times New Roman" w:hAnsi="Times New Roman" w:cs="Times New Roman"/>
          <w:sz w:val="20"/>
          <w:szCs w:val="20"/>
        </w:rPr>
        <w:t>on: Federal and State Jurisdiction</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Federal government (through FERC) – wholesale sales in interstate commerce and in interstate transmission (technically all, but FERC hasn’t asserted authority over most retail transmission)</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State PUCs – retail sales and t</w:t>
      </w:r>
      <w:r>
        <w:rPr>
          <w:rFonts w:ascii="Times New Roman" w:eastAsia="Times New Roman" w:hAnsi="Times New Roman" w:cs="Times New Roman"/>
          <w:sz w:val="20"/>
          <w:szCs w:val="20"/>
        </w:rPr>
        <w:t>ransmission, distribution</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Transmission regulation: Open Access – general rule that utilities/transmission providers must provide non-discriminatory open access to their transmission lines if (1) in interstate commerce (meaning connected to interstate grid)</w:t>
      </w:r>
      <w:r>
        <w:rPr>
          <w:rFonts w:ascii="Times New Roman" w:eastAsia="Times New Roman" w:hAnsi="Times New Roman" w:cs="Times New Roman"/>
          <w:sz w:val="20"/>
          <w:szCs w:val="20"/>
        </w:rPr>
        <w:t>, (2) participate in wholesale market, or (3) FERC otherwise tells them to (and FERC has the authority to do so)</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Utility incentives and limitations</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Because utilities earn a profit on their rate base, incentivizes utilities to build big, expensive facilities</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Limitations – used and useful, prudent investment, integrated resource planning (IRP)</w:t>
      </w:r>
    </w:p>
    <w:p w:rsidR="00FE188E" w:rsidRDefault="0004364F">
      <w:pPr>
        <w:numPr>
          <w:ilvl w:val="5"/>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Prudent – what was known and knowable at time of constructio</w:t>
      </w:r>
      <w:r>
        <w:rPr>
          <w:rFonts w:ascii="Times New Roman" w:eastAsia="Times New Roman" w:hAnsi="Times New Roman" w:cs="Times New Roman"/>
          <w:sz w:val="20"/>
          <w:szCs w:val="20"/>
        </w:rPr>
        <w:t xml:space="preserve">n and through each stage of construction? How does that play out with climate change? </w:t>
      </w:r>
    </w:p>
    <w:p w:rsidR="00FE188E" w:rsidRDefault="0004364F">
      <w:pPr>
        <w:numPr>
          <w:ilvl w:val="5"/>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IRP – advanced planning identifying power resources for the future</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Implications of the ratemaking formula – consideration of costs of future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regulation – since utili</w:t>
      </w:r>
      <w:r>
        <w:rPr>
          <w:rFonts w:ascii="Times New Roman" w:eastAsia="Times New Roman" w:hAnsi="Times New Roman" w:cs="Times New Roman"/>
          <w:sz w:val="20"/>
          <w:szCs w:val="20"/>
        </w:rPr>
        <w:t>ties can pass the cost of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regulation onto their customers, PUCs have responsibility to scrutinize proposals with future carbon costs in mind, see PUC decision below</w:t>
      </w:r>
    </w:p>
    <w:p w:rsidR="00FE188E" w:rsidRDefault="0004364F">
      <w:pPr>
        <w:numPr>
          <w:ilvl w:val="2"/>
          <w:numId w:val="15"/>
        </w:numPr>
        <w:rPr>
          <w:rFonts w:ascii="Times New Roman" w:eastAsia="Times New Roman" w:hAnsi="Times New Roman" w:cs="Times New Roman"/>
          <w:strike/>
          <w:sz w:val="20"/>
          <w:szCs w:val="20"/>
        </w:rPr>
      </w:pPr>
      <w:r>
        <w:rPr>
          <w:rFonts w:ascii="Times New Roman" w:eastAsia="Times New Roman" w:hAnsi="Times New Roman" w:cs="Times New Roman"/>
          <w:strike/>
          <w:sz w:val="20"/>
          <w:szCs w:val="20"/>
        </w:rPr>
        <w:t>The Electricity System</w:t>
      </w:r>
    </w:p>
    <w:p w:rsidR="00FE188E" w:rsidRDefault="0004364F">
      <w:pPr>
        <w:numPr>
          <w:ilvl w:val="2"/>
          <w:numId w:val="15"/>
        </w:numPr>
        <w:rPr>
          <w:rFonts w:ascii="Times New Roman" w:eastAsia="Times New Roman" w:hAnsi="Times New Roman" w:cs="Times New Roman"/>
          <w:strike/>
          <w:sz w:val="20"/>
          <w:szCs w:val="20"/>
        </w:rPr>
      </w:pPr>
      <w:r>
        <w:rPr>
          <w:rFonts w:ascii="Times New Roman" w:eastAsia="Times New Roman" w:hAnsi="Times New Roman" w:cs="Times New Roman"/>
          <w:strike/>
          <w:sz w:val="20"/>
          <w:szCs w:val="20"/>
        </w:rPr>
        <w:t>Federal versus state Jurisdiction under the Federal Power Act</w:t>
      </w:r>
    </w:p>
    <w:p w:rsidR="00FE188E" w:rsidRDefault="0004364F">
      <w:pPr>
        <w:numPr>
          <w:ilvl w:val="3"/>
          <w:numId w:val="15"/>
        </w:numPr>
        <w:rPr>
          <w:rFonts w:ascii="Times New Roman" w:eastAsia="Times New Roman" w:hAnsi="Times New Roman" w:cs="Times New Roman"/>
          <w:strike/>
          <w:sz w:val="20"/>
          <w:szCs w:val="20"/>
        </w:rPr>
      </w:pPr>
      <w:r>
        <w:rPr>
          <w:rFonts w:ascii="Times New Roman" w:eastAsia="Times New Roman" w:hAnsi="Times New Roman" w:cs="Times New Roman"/>
          <w:strike/>
          <w:sz w:val="20"/>
          <w:szCs w:val="20"/>
        </w:rPr>
        <w:t>Re</w:t>
      </w:r>
      <w:r>
        <w:rPr>
          <w:rFonts w:ascii="Times New Roman" w:eastAsia="Times New Roman" w:hAnsi="Times New Roman" w:cs="Times New Roman"/>
          <w:strike/>
          <w:sz w:val="20"/>
          <w:szCs w:val="20"/>
        </w:rPr>
        <w:t>tail v. Wholesale Sales</w:t>
      </w:r>
    </w:p>
    <w:p w:rsidR="00FE188E" w:rsidRDefault="0004364F">
      <w:pPr>
        <w:numPr>
          <w:ilvl w:val="3"/>
          <w:numId w:val="15"/>
        </w:numPr>
        <w:rPr>
          <w:rFonts w:ascii="Times New Roman" w:eastAsia="Times New Roman" w:hAnsi="Times New Roman" w:cs="Times New Roman"/>
          <w:strike/>
          <w:sz w:val="20"/>
          <w:szCs w:val="20"/>
        </w:rPr>
      </w:pPr>
      <w:r>
        <w:rPr>
          <w:rFonts w:ascii="Times New Roman" w:eastAsia="Times New Roman" w:hAnsi="Times New Roman" w:cs="Times New Roman"/>
          <w:strike/>
          <w:sz w:val="20"/>
          <w:szCs w:val="20"/>
        </w:rPr>
        <w:t>Interstate Commerce under the Federal Power Act</w:t>
      </w:r>
    </w:p>
    <w:p w:rsidR="00FE188E" w:rsidRDefault="0004364F">
      <w:pPr>
        <w:numPr>
          <w:ilvl w:val="3"/>
          <w:numId w:val="15"/>
        </w:numPr>
        <w:rPr>
          <w:rFonts w:ascii="Times New Roman" w:eastAsia="Times New Roman" w:hAnsi="Times New Roman" w:cs="Times New Roman"/>
          <w:strike/>
          <w:sz w:val="20"/>
          <w:szCs w:val="20"/>
        </w:rPr>
      </w:pPr>
      <w:r>
        <w:rPr>
          <w:rFonts w:ascii="Times New Roman" w:eastAsia="Times New Roman" w:hAnsi="Times New Roman" w:cs="Times New Roman"/>
          <w:strike/>
          <w:sz w:val="20"/>
          <w:szCs w:val="20"/>
        </w:rPr>
        <w:t>Jurisdiction over Transmission in Interstate Commerce</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Addressing Carbon Dioxide Emissions through Utility Regulation </w:t>
      </w:r>
    </w:p>
    <w:p w:rsidR="00FE188E" w:rsidRDefault="0004364F">
      <w:pPr>
        <w:numPr>
          <w:ilvl w:val="2"/>
          <w:numId w:val="15"/>
        </w:numPr>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In re Petition for Determination of Need for Glades Power Park Uni</w:t>
      </w:r>
      <w:r>
        <w:rPr>
          <w:rFonts w:ascii="Times New Roman" w:eastAsia="Times New Roman" w:hAnsi="Times New Roman" w:cs="Times New Roman"/>
          <w:i/>
          <w:sz w:val="20"/>
          <w:szCs w:val="20"/>
          <w:shd w:val="clear" w:color="auto" w:fill="FFF2CC"/>
        </w:rPr>
        <w:t>ts 1 and 2 Electrical Power Plants in Glades County, by Fla. Power &amp; Light Co., Order Denying Petition for Determination of Need</w:t>
      </w:r>
      <w:r>
        <w:rPr>
          <w:rFonts w:ascii="Times New Roman" w:eastAsia="Times New Roman" w:hAnsi="Times New Roman" w:cs="Times New Roman"/>
          <w:sz w:val="20"/>
          <w:szCs w:val="20"/>
          <w:shd w:val="clear" w:color="auto" w:fill="FFF2CC"/>
        </w:rPr>
        <w:t xml:space="preserve"> (2007)</w:t>
      </w:r>
    </w:p>
    <w:p w:rsidR="00FE188E" w:rsidRDefault="0004364F">
      <w:pPr>
        <w:ind w:left="216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PUC denies FP&amp;L’s proposal to build two ultra-supercritical pulverized coal plants (efficient coal plants), despite FP&amp;L’s reasoning that they are necessary for increasing fuel diversity, finding it in the public interest to deny based on the economic risk</w:t>
      </w:r>
      <w:r>
        <w:rPr>
          <w:rFonts w:ascii="Times New Roman" w:eastAsia="Times New Roman" w:hAnsi="Times New Roman" w:cs="Times New Roman"/>
          <w:sz w:val="20"/>
          <w:szCs w:val="20"/>
        </w:rPr>
        <w:t xml:space="preserve"> of increased regulation of the plants’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and mercury emissions; uncertainty/prospect of greater environmental regulation is greater than the need for fuel diversity</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Other PUC denials </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Oregon – denied proposal for two coal-fired power plants because conc</w:t>
      </w:r>
      <w:r>
        <w:rPr>
          <w:rFonts w:ascii="Times New Roman" w:eastAsia="Times New Roman" w:hAnsi="Times New Roman" w:cs="Times New Roman"/>
          <w:sz w:val="20"/>
          <w:szCs w:val="20"/>
        </w:rPr>
        <w:t xml:space="preserve">erned about costs and inability to sell power into California </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Minnesota – rejected proposed contract that would have put ratepayers on the hook for costs associated with building new IGCC plant </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Texas – limited the costs the plant could pass onto consumer</w:t>
      </w:r>
      <w:r>
        <w:rPr>
          <w:rFonts w:ascii="Times New Roman" w:eastAsia="Times New Roman" w:hAnsi="Times New Roman" w:cs="Times New Roman"/>
          <w:sz w:val="20"/>
          <w:szCs w:val="20"/>
        </w:rPr>
        <w:t>s if carbon credits exceed $28 per ton through 2030</w:t>
      </w:r>
    </w:p>
    <w:p w:rsidR="00FE188E" w:rsidRDefault="0004364F">
      <w:pPr>
        <w:numPr>
          <w:ilvl w:val="0"/>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Revising the Energy Portfolio in the United States: Considering the Resource Options</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Dominance of Fossil Fuels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Why? Endowment effect, highly effective power sources (re abundant, reliable, potent, che</w:t>
      </w:r>
      <w:r>
        <w:rPr>
          <w:rFonts w:ascii="Times New Roman" w:eastAsia="Times New Roman" w:hAnsi="Times New Roman" w:cs="Times New Roman"/>
          <w:sz w:val="20"/>
          <w:szCs w:val="20"/>
        </w:rPr>
        <w:t>ap), infrastructure, subsidies</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Traditional Fuels as Sustainable Energy Sources?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Natural Gas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Carbon, Capture, and Sequestration (CCS) – capture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from power plants/chemical plants, pressurize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so it is in liquid form, inject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into underground storag</w:t>
      </w:r>
      <w:r>
        <w:rPr>
          <w:rFonts w:ascii="Times New Roman" w:eastAsia="Times New Roman" w:hAnsi="Times New Roman" w:cs="Times New Roman"/>
          <w:sz w:val="20"/>
          <w:szCs w:val="20"/>
        </w:rPr>
        <w:t>e area</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Underground storage areas – e.g. natural gas underground reservoirs and oil deposits helps improve recovery of oil and gas, long-term storage in depleted areas unclear, </w:t>
      </w:r>
      <w:r>
        <w:rPr>
          <w:rFonts w:ascii="Times New Roman" w:eastAsia="Times New Roman" w:hAnsi="Times New Roman" w:cs="Times New Roman"/>
          <w:sz w:val="20"/>
          <w:szCs w:val="20"/>
        </w:rPr>
        <w:lastRenderedPageBreak/>
        <w:t>storage in underground aquifers (idea that the pressure and water will keep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in liquid form)</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Benefits – presents option to burn coal in cleaner way, technology opportunities especially with China’s growth and increased coal use, retains baseload source of electricity, favored by some utilities as more management way to meet obligat</w:t>
      </w:r>
      <w:r>
        <w:rPr>
          <w:rFonts w:ascii="Times New Roman" w:eastAsia="Times New Roman" w:hAnsi="Times New Roman" w:cs="Times New Roman"/>
          <w:sz w:val="20"/>
          <w:szCs w:val="20"/>
        </w:rPr>
        <w:t xml:space="preserve">ions especially abundance and reliability </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Concerns/limitations</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Cost – e.g. AEP spent $100M to build plant capable of capturing 20MW stream of exhaust gas (~1.5% of plant’s output) meaning could cost billions for plants, estimates that $1.8B for relative small power plant and that estimate is likely too low</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Energy – CC</w:t>
      </w:r>
      <w:r>
        <w:rPr>
          <w:rFonts w:ascii="Times New Roman" w:eastAsia="Times New Roman" w:hAnsi="Times New Roman" w:cs="Times New Roman"/>
          <w:sz w:val="20"/>
          <w:szCs w:val="20"/>
        </w:rPr>
        <w:t>S will increase energy use by about 25% at each plant</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Capacity for storage sites </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Risks of release – into groundwater (acidic and no longer potable) and air (massive release of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and hypoxia)</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Nuclear Power</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Benefits – no GHG emissions from electricity pla</w:t>
      </w:r>
      <w:r>
        <w:rPr>
          <w:rFonts w:ascii="Times New Roman" w:eastAsia="Times New Roman" w:hAnsi="Times New Roman" w:cs="Times New Roman"/>
          <w:sz w:val="20"/>
          <w:szCs w:val="20"/>
        </w:rPr>
        <w:t>nt, small amount of uranium can produce lots of power, centralized power source meaning lots of baseload power, technology already exists</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Downsides – uranium mining, heat as a pollutant (concern in areas with cold-water species), expensive, waste (no Yucca</w:t>
      </w:r>
      <w:r>
        <w:rPr>
          <w:rFonts w:ascii="Times New Roman" w:eastAsia="Times New Roman" w:hAnsi="Times New Roman" w:cs="Times New Roman"/>
          <w:sz w:val="20"/>
          <w:szCs w:val="20"/>
        </w:rPr>
        <w:t xml:space="preserve"> Mountain; reprocessing limited)</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Renewable Energy Sources </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Wind Power</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Solar Power</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Hydropower and Ocean Energy</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Biomass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Geothermal</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Storage via pumped hydro</w:t>
      </w:r>
    </w:p>
    <w:p w:rsidR="00FE188E" w:rsidRDefault="0004364F">
      <w:pPr>
        <w:numPr>
          <w:ilvl w:val="0"/>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Policies to Promote Renewable Energy</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Tax Credits and Incentives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Investment Tax Credit (ITC) – tax credits based on cost of renewable energy projects</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Credit varies for type of project, e.g. solar, small wind (turbines of 100kw or less) and converted PTC (PV?) = 30%, geothermal = 10%</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Initially facilities must be placed i</w:t>
      </w:r>
      <w:r>
        <w:rPr>
          <w:rFonts w:ascii="Times New Roman" w:eastAsia="Times New Roman" w:hAnsi="Times New Roman" w:cs="Times New Roman"/>
          <w:sz w:val="20"/>
          <w:szCs w:val="20"/>
        </w:rPr>
        <w:t>n service by 12/31/16</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“Tax extenders” – value of ITC drops in 2019 and becomes 10% for everyone in 2023</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Production Tax Credit (PTC) – tax credit based on amount of renewable energy produced</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Covers – wind, biomass, geothermal, small irrigation power, munici</w:t>
      </w:r>
      <w:r>
        <w:rPr>
          <w:rFonts w:ascii="Times New Roman" w:eastAsia="Times New Roman" w:hAnsi="Times New Roman" w:cs="Times New Roman"/>
          <w:sz w:val="20"/>
          <w:szCs w:val="20"/>
        </w:rPr>
        <w:t xml:space="preserve">pal solid waste (landfill gas), some hydropower (new and improved), and hydrokinetic </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1.5 cents/kWh, adjusted by inflation for wind, geothermal, and closed-loop biomass = 2.3 cents/kWh; .75 cents/kWh for others</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Lifespan of credit is 10 years, after placed </w:t>
      </w:r>
      <w:r>
        <w:rPr>
          <w:rFonts w:ascii="Times New Roman" w:eastAsia="Times New Roman" w:hAnsi="Times New Roman" w:cs="Times New Roman"/>
          <w:sz w:val="20"/>
          <w:szCs w:val="20"/>
        </w:rPr>
        <w:t>into service (meaning signed contract and invested 5% of total costs)</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Tax extenders (Dec. 2015) – PTC value will drop 20% per year and become zero starting Jan. 1 2017</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Equity investors (for both ITC and PTC) – need a taxpayer to take advantage of the credit, equity investors are funders that become “owners” of the facilities for the life of the credit</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Treasury grants – direct payments to renewable electricity owners, exp</w:t>
      </w:r>
      <w:r>
        <w:rPr>
          <w:rFonts w:ascii="Times New Roman" w:eastAsia="Times New Roman" w:hAnsi="Times New Roman" w:cs="Times New Roman"/>
          <w:sz w:val="20"/>
          <w:szCs w:val="20"/>
        </w:rPr>
        <w:t>ired</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Renewable Portfolio Standards – mandate for utilities to obtain certain percentage from renewable sources, e.g. California is 33% by 2020 and 25% by 2016, Oregon’s is 25% by 2025</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How renewables defined in RPSs is a matter of state law – usually includ</w:t>
      </w:r>
      <w:r>
        <w:rPr>
          <w:rFonts w:ascii="Times New Roman" w:eastAsia="Times New Roman" w:hAnsi="Times New Roman" w:cs="Times New Roman"/>
          <w:sz w:val="20"/>
          <w:szCs w:val="20"/>
        </w:rPr>
        <w:t xml:space="preserve">es wind, solar, biomass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Pennsylvania’s includes waste coal</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Renewable Energy Credits (RECs) – represent the “greenness” of the electricity resource; show that 1kWh of electricity is a qualifying type of renewable electricity; may be bundled or unbundled</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Bundled RECs – accounting and tracking tool; accompany the electricity itself; means entity cannot transfer the REC without actually also delivering electricity; REC id stays with the source through all the trades; helps ensure facilities aren’t making up</w:t>
      </w:r>
      <w:r>
        <w:rPr>
          <w:rFonts w:ascii="Times New Roman" w:eastAsia="Times New Roman" w:hAnsi="Times New Roman" w:cs="Times New Roman"/>
          <w:sz w:val="20"/>
          <w:szCs w:val="20"/>
        </w:rPr>
        <w:t xml:space="preserve"> RECs or double-counting</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E.g. REC #: 003-001-121010-105 – translates into facility id number - type of power (e.g. 001 is solar) - date of generation (e.g. Dec. 10, 2010) - unit id number (e.g. the 105th kWh or MWh on that date)</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Unbundled RECs – accounting</w:t>
      </w:r>
      <w:r>
        <w:rPr>
          <w:rFonts w:ascii="Times New Roman" w:eastAsia="Times New Roman" w:hAnsi="Times New Roman" w:cs="Times New Roman"/>
          <w:sz w:val="20"/>
          <w:szCs w:val="20"/>
        </w:rPr>
        <w:t>/tracking mechanism – tracking applies to the RECs, electricity is sold as a separate commodity and generally doesn’t matter what happens to the actual electricity; tradable instrument</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Other features – </w:t>
      </w:r>
      <w:r>
        <w:rPr>
          <w:rFonts w:ascii="Times New Roman" w:eastAsia="Times New Roman" w:hAnsi="Times New Roman" w:cs="Times New Roman"/>
          <w:sz w:val="20"/>
          <w:szCs w:val="20"/>
        </w:rPr>
        <w:tab/>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Multipliers – different values for different resourc</w:t>
      </w:r>
      <w:r>
        <w:rPr>
          <w:rFonts w:ascii="Times New Roman" w:eastAsia="Times New Roman" w:hAnsi="Times New Roman" w:cs="Times New Roman"/>
          <w:sz w:val="20"/>
          <w:szCs w:val="20"/>
        </w:rPr>
        <w:t>es, e.g. each kWh of solar is 3 RECs, each wind is 2 RECs, each biomass is 1 REC</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Carve-outs for certain types/sizes of energy, e.g. distributed generation carve-outs </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Is it Time for a National RPS?</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PURPA, utilities must – </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Buy power from qualifying facilit</w:t>
      </w:r>
      <w:r>
        <w:rPr>
          <w:rFonts w:ascii="Times New Roman" w:eastAsia="Times New Roman" w:hAnsi="Times New Roman" w:cs="Times New Roman"/>
          <w:sz w:val="20"/>
          <w:szCs w:val="20"/>
        </w:rPr>
        <w:t>ies (QFs) – small (less than 80 MW) renewable energy facilities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Connect QF to grid and sell them power if they need it</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Pay QFs “avoided cost rates” (ACRs) for their power – the amount the utilities would pay to produce or purchase the power themselves, set</w:t>
      </w:r>
      <w:r>
        <w:rPr>
          <w:rFonts w:ascii="Times New Roman" w:eastAsia="Times New Roman" w:hAnsi="Times New Roman" w:cs="Times New Roman"/>
          <w:sz w:val="20"/>
          <w:szCs w:val="20"/>
        </w:rPr>
        <w:t xml:space="preserve"> by states</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Net Metering – utilities buy their customers’ power, offset the customers’ retail rates (up to point that customers’ production = consumption), possibility that utilities must also buy excess power from customers (pay wholesale rates or ACRs to </w:t>
      </w:r>
      <w:r>
        <w:rPr>
          <w:rFonts w:ascii="Times New Roman" w:eastAsia="Times New Roman" w:hAnsi="Times New Roman" w:cs="Times New Roman"/>
          <w:sz w:val="20"/>
          <w:szCs w:val="20"/>
        </w:rPr>
        <w:t>customers for power beyond their production = consumption)</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Feed-in Tariffs – utilities must buy power from facilities, connect them to the grid, pay them “incentive rates” for power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under the Federal Power Act (FPA) maximum rate = wholesale rate = avo</w:t>
      </w:r>
      <w:r>
        <w:rPr>
          <w:rFonts w:ascii="Times New Roman" w:eastAsia="Times New Roman" w:hAnsi="Times New Roman" w:cs="Times New Roman"/>
          <w:sz w:val="20"/>
          <w:szCs w:val="20"/>
        </w:rPr>
        <w:t>ided cost rate)</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Overall implications ^ – federal law constrains state authority to set rates for wholesale power (tied into market prices), states can mandate that utilities purchase or build certain types of power, but have limited authority (PURPA) to co</w:t>
      </w:r>
      <w:r>
        <w:rPr>
          <w:rFonts w:ascii="Times New Roman" w:eastAsia="Times New Roman" w:hAnsi="Times New Roman" w:cs="Times New Roman"/>
          <w:sz w:val="20"/>
          <w:szCs w:val="20"/>
        </w:rPr>
        <w:t>ntrol market rates</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Questions – </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Should states direct utilities to build/invest in more RE?</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Should the federal government either lift the preemptive price caps or establish federal mandates/incentive rates?</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Distributed Renewable Generation</w:t>
      </w:r>
    </w:p>
    <w:p w:rsidR="00FE188E" w:rsidRDefault="0004364F">
      <w:pPr>
        <w:numPr>
          <w:ilvl w:val="0"/>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Energy Efficiency and Conservation</w:t>
      </w:r>
    </w:p>
    <w:p w:rsidR="00FE188E" w:rsidRDefault="0004364F">
      <w:pPr>
        <w:numPr>
          <w:ilvl w:val="0"/>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Clean Power Plan – refers to existing source performance standards for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emissions from fossil fuel-fired power plants, would require standards of 1,305 lbs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/MWh for fossil fuel-fired electric steam generating un</w:t>
      </w:r>
      <w:r>
        <w:rPr>
          <w:rFonts w:ascii="Times New Roman" w:eastAsia="Times New Roman" w:hAnsi="Times New Roman" w:cs="Times New Roman"/>
          <w:sz w:val="20"/>
          <w:szCs w:val="20"/>
        </w:rPr>
        <w:t>its (EGUs) (i.e. coal and oil-fired power plants) and 771 lbs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/MWh for stationary combustion units (i.e. natural gas plants); three compliance options</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Compliance Option 1 – emissions performance rates are federally enforceable standards, i.e. each unit </w:t>
      </w:r>
      <w:r>
        <w:rPr>
          <w:rFonts w:ascii="Times New Roman" w:eastAsia="Times New Roman" w:hAnsi="Times New Roman" w:cs="Times New Roman"/>
          <w:sz w:val="20"/>
          <w:szCs w:val="20"/>
        </w:rPr>
        <w:t>must meet 1,305 or 771 lbs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/MWh standard, states can just choose to impose these; this is most similar to traditional regulation </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State compliance options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Compliance Option 2 – rate-based or mass-based standards</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Based on weighted average (# of type of power plant (coal/oil) * applicable standard (1,305)) + (# of type of power plant (gas) * applicable standard (771))/total # of plants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Compliance Option 3 – state measures with standards backdrop</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State-specific mass-</w:t>
      </w:r>
      <w:r>
        <w:rPr>
          <w:rFonts w:ascii="Times New Roman" w:eastAsia="Times New Roman" w:hAnsi="Times New Roman" w:cs="Times New Roman"/>
          <w:sz w:val="20"/>
          <w:szCs w:val="20"/>
        </w:rPr>
        <w:t>based goals – overall statewide standard that caps the total annual amount of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emissions each state can emit (complicated process to set), states may just </w:t>
      </w:r>
      <w:r>
        <w:rPr>
          <w:rFonts w:ascii="Times New Roman" w:eastAsia="Times New Roman" w:hAnsi="Times New Roman" w:cs="Times New Roman"/>
          <w:sz w:val="20"/>
          <w:szCs w:val="20"/>
        </w:rPr>
        <w:lastRenderedPageBreak/>
        <w:t>set a cap and then allocate allowable emission among covered sources, may allow emissions trading,</w:t>
      </w:r>
      <w:r>
        <w:rPr>
          <w:rFonts w:ascii="Times New Roman" w:eastAsia="Times New Roman" w:hAnsi="Times New Roman" w:cs="Times New Roman"/>
          <w:sz w:val="20"/>
          <w:szCs w:val="20"/>
        </w:rPr>
        <w:t xml:space="preserve"> and may use “state measures” to implement</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How emissions rates were set – Best System of Emissions Reduction (BSER) – building blocks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BB 1 – reduce carbon intensity of power generation by improving heat rate of existing coal-fired power plants – “inside th</w:t>
      </w:r>
      <w:r>
        <w:rPr>
          <w:rFonts w:ascii="Times New Roman" w:eastAsia="Times New Roman" w:hAnsi="Times New Roman" w:cs="Times New Roman"/>
          <w:sz w:val="20"/>
          <w:szCs w:val="20"/>
        </w:rPr>
        <w:t xml:space="preserve">e fenceline” options such as improved operations and designs to make the plant run more efficiently  </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Best practices, chemical cleaning, software use, equipment upgrades </w:t>
      </w:r>
      <w:r>
        <w:rPr>
          <w:rFonts w:ascii="Times New Roman" w:eastAsia="Times New Roman" w:hAnsi="Times New Roman" w:cs="Times New Roman"/>
          <w:i/>
          <w:sz w:val="20"/>
          <w:szCs w:val="20"/>
        </w:rPr>
        <w:t xml:space="preserve">but </w:t>
      </w:r>
      <w:r>
        <w:rPr>
          <w:rFonts w:ascii="Times New Roman" w:eastAsia="Times New Roman" w:hAnsi="Times New Roman" w:cs="Times New Roman"/>
          <w:sz w:val="20"/>
          <w:szCs w:val="20"/>
        </w:rPr>
        <w:t>pretty low outcomes (2.1-4.3% of emissions)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BB 2 – substitute increased electricit</w:t>
      </w:r>
      <w:r>
        <w:rPr>
          <w:rFonts w:ascii="Times New Roman" w:eastAsia="Times New Roman" w:hAnsi="Times New Roman" w:cs="Times New Roman"/>
          <w:sz w:val="20"/>
          <w:szCs w:val="20"/>
        </w:rPr>
        <w:t>y generation from lower-emitting existing natural gas plants for reduced generation from high-emitting coal-fired power plants</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Less coal, more gas from existing sources, not from new (don’t want to create an incentive to build up the gas fleet)</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BB 3 – subs</w:t>
      </w:r>
      <w:r>
        <w:rPr>
          <w:rFonts w:ascii="Times New Roman" w:eastAsia="Times New Roman" w:hAnsi="Times New Roman" w:cs="Times New Roman"/>
          <w:sz w:val="20"/>
          <w:szCs w:val="20"/>
        </w:rPr>
        <w:t>titute increased electricity generation from new zero-emitting renewable energy sources for reduced generation from higher-emitting coal fired power plants</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More new renewables, not nuclear (new = cost and time, existing = won’t displace EGU generation)</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trike/>
          <w:sz w:val="20"/>
          <w:szCs w:val="20"/>
        </w:rPr>
        <w:t xml:space="preserve">BB </w:t>
      </w:r>
      <w:r>
        <w:rPr>
          <w:rFonts w:ascii="Times New Roman" w:eastAsia="Times New Roman" w:hAnsi="Times New Roman" w:cs="Times New Roman"/>
          <w:strike/>
          <w:sz w:val="20"/>
          <w:szCs w:val="20"/>
        </w:rPr>
        <w:t>4 – demand side energy efficiency</w:t>
      </w:r>
      <w:r>
        <w:rPr>
          <w:rFonts w:ascii="Times New Roman" w:eastAsia="Times New Roman" w:hAnsi="Times New Roman" w:cs="Times New Roman"/>
          <w:sz w:val="20"/>
          <w:szCs w:val="20"/>
        </w:rPr>
        <w:t xml:space="preserve"> – eliminated from final rule likely because thought went too far “beyond the fenceline” (as in nothing to do with the plants themselves but the utilities’ customers)</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Major legal issues – Can EPA regulate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under § 111(d)</w:t>
      </w:r>
      <w:r>
        <w:rPr>
          <w:rFonts w:ascii="Times New Roman" w:eastAsia="Times New Roman" w:hAnsi="Times New Roman" w:cs="Times New Roman"/>
          <w:sz w:val="20"/>
          <w:szCs w:val="20"/>
        </w:rPr>
        <w:t xml:space="preserve"> when EPA has listed EGUs as source categories under § 112 and set NESHAPs for HAPs for them? Can EPA use building blocks to set BSER?</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Authority to Regulate</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House Bill – “EPA shall prescribe regulations . . . which (A) establishes standards of performance </w:t>
      </w:r>
      <w:r>
        <w:rPr>
          <w:rFonts w:ascii="Times New Roman" w:eastAsia="Times New Roman" w:hAnsi="Times New Roman" w:cs="Times New Roman"/>
          <w:sz w:val="20"/>
          <w:szCs w:val="20"/>
        </w:rPr>
        <w:t xml:space="preserve">for any existing source for any air pollutant (i) for which air quality criteria have not been issued or which is not included on a list published under section 7408(a) of this title </w:t>
      </w:r>
      <w:r>
        <w:rPr>
          <w:rFonts w:ascii="Times New Roman" w:eastAsia="Times New Roman" w:hAnsi="Times New Roman" w:cs="Times New Roman"/>
          <w:sz w:val="20"/>
          <w:szCs w:val="20"/>
          <w:u w:val="single"/>
        </w:rPr>
        <w:t>or emitted from a source category</w:t>
      </w:r>
      <w:r>
        <w:rPr>
          <w:rFonts w:ascii="Times New Roman" w:eastAsia="Times New Roman" w:hAnsi="Times New Roman" w:cs="Times New Roman"/>
          <w:sz w:val="20"/>
          <w:szCs w:val="20"/>
        </w:rPr>
        <w:t xml:space="preserve"> which is regulated under section 7412”</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EPA – literal reading too broad, would leave gaps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Senate Bill – “EPA shall prescribe regulations . . . which (A) establishes standards of performance for any existing source for </w:t>
      </w:r>
      <w:r>
        <w:rPr>
          <w:rFonts w:ascii="Times New Roman" w:eastAsia="Times New Roman" w:hAnsi="Times New Roman" w:cs="Times New Roman"/>
          <w:sz w:val="20"/>
          <w:szCs w:val="20"/>
          <w:u w:val="single"/>
        </w:rPr>
        <w:t>any air pollutant</w:t>
      </w:r>
      <w:r>
        <w:rPr>
          <w:rFonts w:ascii="Times New Roman" w:eastAsia="Times New Roman" w:hAnsi="Times New Roman" w:cs="Times New Roman"/>
          <w:sz w:val="20"/>
          <w:szCs w:val="20"/>
        </w:rPr>
        <w:t xml:space="preserve"> (i) for which air quality criteria have not been issued </w:t>
      </w:r>
      <w:r>
        <w:rPr>
          <w:rFonts w:ascii="Times New Roman" w:eastAsia="Times New Roman" w:hAnsi="Times New Roman" w:cs="Times New Roman"/>
          <w:sz w:val="20"/>
          <w:szCs w:val="20"/>
          <w:u w:val="single"/>
        </w:rPr>
        <w:t>or w</w:t>
      </w:r>
      <w:r>
        <w:rPr>
          <w:rFonts w:ascii="Times New Roman" w:eastAsia="Times New Roman" w:hAnsi="Times New Roman" w:cs="Times New Roman"/>
          <w:sz w:val="20"/>
          <w:szCs w:val="20"/>
          <w:u w:val="single"/>
        </w:rPr>
        <w:t>hich is not included on a list</w:t>
      </w:r>
      <w:r>
        <w:rPr>
          <w:rFonts w:ascii="Times New Roman" w:eastAsia="Times New Roman" w:hAnsi="Times New Roman" w:cs="Times New Roman"/>
          <w:sz w:val="20"/>
          <w:szCs w:val="20"/>
        </w:rPr>
        <w:t xml:space="preserve"> published under section 7408(a) of this title or section 7412(b)”</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Plain language – § 111(d) applies if not criteria pollutants and not HAPs</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Structure of the CAA – gap filling?</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Criteria pollutants/NAAQS in §§ 108–110</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HAPs in § 112</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Performance standards in § 111 </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Initially meant to play express gap-filling role </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But § 111(b) (new source standards) applies to criteria pollutants, so there is some overlap </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Legal Framework, § 111(d) – </w:t>
      </w:r>
      <w:r>
        <w:rPr>
          <w:rFonts w:ascii="Times New Roman" w:eastAsia="Times New Roman" w:hAnsi="Times New Roman" w:cs="Times New Roman"/>
          <w:sz w:val="20"/>
          <w:szCs w:val="20"/>
          <w:u w:val="single"/>
        </w:rPr>
        <w:t>EPA “shall prescribe regulations which</w:t>
      </w:r>
      <w:r>
        <w:rPr>
          <w:rFonts w:ascii="Times New Roman" w:eastAsia="Times New Roman" w:hAnsi="Times New Roman" w:cs="Times New Roman"/>
          <w:sz w:val="20"/>
          <w:szCs w:val="20"/>
          <w:u w:val="single"/>
        </w:rPr>
        <w:t xml:space="preserve"> shall establish a procedure </w:t>
      </w:r>
      <w:r>
        <w:rPr>
          <w:rFonts w:ascii="Times New Roman" w:eastAsia="Times New Roman" w:hAnsi="Times New Roman" w:cs="Times New Roman"/>
          <w:sz w:val="20"/>
          <w:szCs w:val="20"/>
        </w:rPr>
        <w:t xml:space="preserve">. . . under which </w:t>
      </w:r>
      <w:r>
        <w:rPr>
          <w:rFonts w:ascii="Times New Roman" w:eastAsia="Times New Roman" w:hAnsi="Times New Roman" w:cs="Times New Roman"/>
          <w:sz w:val="20"/>
          <w:szCs w:val="20"/>
          <w:u w:val="single"/>
        </w:rPr>
        <w:t xml:space="preserve">each state shall submit to [EPA] a plan which (A) establishes standards of performance </w:t>
      </w:r>
      <w:r>
        <w:rPr>
          <w:rFonts w:ascii="Times New Roman" w:eastAsia="Times New Roman" w:hAnsi="Times New Roman" w:cs="Times New Roman"/>
          <w:sz w:val="20"/>
          <w:szCs w:val="20"/>
        </w:rPr>
        <w:t>. . . and (B) provides for the implementation and enforcement of such standards of performance.”</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Standard of performance –</w:t>
      </w:r>
      <w:r>
        <w:rPr>
          <w:rFonts w:ascii="Times New Roman" w:eastAsia="Times New Roman" w:hAnsi="Times New Roman" w:cs="Times New Roman"/>
          <w:sz w:val="20"/>
          <w:szCs w:val="20"/>
        </w:rPr>
        <w:t xml:space="preserve"> “a standard for emissions of air pollutants which reflects the </w:t>
      </w:r>
      <w:r>
        <w:rPr>
          <w:rFonts w:ascii="Times New Roman" w:eastAsia="Times New Roman" w:hAnsi="Times New Roman" w:cs="Times New Roman"/>
          <w:sz w:val="20"/>
          <w:szCs w:val="20"/>
          <w:u w:val="single"/>
        </w:rPr>
        <w:t xml:space="preserve">degree of emission limitation achievable through the application of the best system of emission reduction </w:t>
      </w:r>
      <w:r>
        <w:rPr>
          <w:rFonts w:ascii="Times New Roman" w:eastAsia="Times New Roman" w:hAnsi="Times New Roman" w:cs="Times New Roman"/>
          <w:sz w:val="20"/>
          <w:szCs w:val="20"/>
        </w:rPr>
        <w:t>which (taking into account the cost of achieving such reduction and any non-air qualit</w:t>
      </w:r>
      <w:r>
        <w:rPr>
          <w:rFonts w:ascii="Times New Roman" w:eastAsia="Times New Roman" w:hAnsi="Times New Roman" w:cs="Times New Roman"/>
          <w:sz w:val="20"/>
          <w:szCs w:val="20"/>
        </w:rPr>
        <w:t xml:space="preserve">y health and environmental impact and energy requirements) </w:t>
      </w:r>
      <w:r>
        <w:rPr>
          <w:rFonts w:ascii="Times New Roman" w:eastAsia="Times New Roman" w:hAnsi="Times New Roman" w:cs="Times New Roman"/>
          <w:sz w:val="20"/>
          <w:szCs w:val="20"/>
          <w:u w:val="single"/>
        </w:rPr>
        <w:t>the [EPA] determines has been adequately demonstrated</w:t>
      </w:r>
      <w:r>
        <w:rPr>
          <w:rFonts w:ascii="Times New Roman" w:eastAsia="Times New Roman" w:hAnsi="Times New Roman" w:cs="Times New Roman"/>
          <w:sz w:val="20"/>
          <w:szCs w:val="20"/>
        </w:rPr>
        <w:t>.”</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“BSER” – no defined therefore everyday meaning of the system – set of things or parts forming a complex whole, can have broad meaning as long</w:t>
      </w:r>
      <w:r>
        <w:rPr>
          <w:rFonts w:ascii="Times New Roman" w:eastAsia="Times New Roman" w:hAnsi="Times New Roman" w:cs="Times New Roman"/>
          <w:sz w:val="20"/>
          <w:szCs w:val="20"/>
        </w:rPr>
        <w:t xml:space="preserve"> as can be implemented by the sources themselves (or at least the owners and operators of the sources)</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“Adequately demonstrated” – reasonably reliable, efficient, and expected to serve the interests of pollution control without becoming exorbitant, can expect improved design if have substantial evidence</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“Best” – based on cost (source specific and sector-wid</w:t>
      </w:r>
      <w:r>
        <w:rPr>
          <w:rFonts w:ascii="Times New Roman" w:eastAsia="Times New Roman" w:hAnsi="Times New Roman" w:cs="Times New Roman"/>
          <w:sz w:val="20"/>
          <w:szCs w:val="20"/>
        </w:rPr>
        <w:t>e/regional/nationwide (not plant specific)); non-air health and environmental impacts (cannot do more harm than good); energy considerations; emissions reductions (must consider amount of air pollutant reduction – DC Cir., even if not required within discr</w:t>
      </w:r>
      <w:r>
        <w:rPr>
          <w:rFonts w:ascii="Times New Roman" w:eastAsia="Times New Roman" w:hAnsi="Times New Roman" w:cs="Times New Roman"/>
          <w:sz w:val="20"/>
          <w:szCs w:val="20"/>
        </w:rPr>
        <w:t>etion)</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BSER here –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context (why relevant?), utility power sector context (why relevant?)</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Note, EPA ultimately argues that it gets to choose the interpretation</w:t>
      </w:r>
    </w:p>
    <w:p w:rsidR="00FE188E" w:rsidRDefault="0004364F">
      <w:pPr>
        <w:numPr>
          <w:ilvl w:val="0"/>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Limits on State Energy Regulation: The Dormant Commerce Clause and Preemption</w:t>
      </w:r>
    </w:p>
    <w:p w:rsidR="00FE188E" w:rsidRDefault="0004364F">
      <w:pPr>
        <w:numPr>
          <w:ilvl w:val="1"/>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Does the Commer</w:t>
      </w:r>
      <w:r>
        <w:rPr>
          <w:rFonts w:ascii="Times New Roman" w:eastAsia="Times New Roman" w:hAnsi="Times New Roman" w:cs="Times New Roman"/>
          <w:sz w:val="20"/>
          <w:szCs w:val="20"/>
        </w:rPr>
        <w:t>ce Clause Prohibit Sub-Federal Regulation of Greenhouse Gas Emissions? – Three tests</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Does the State Law Discriminate Against Out-of-State Commerce?</w:t>
      </w:r>
    </w:p>
    <w:p w:rsidR="00FE188E" w:rsidRDefault="0004364F">
      <w:pPr>
        <w:numPr>
          <w:ilvl w:val="3"/>
          <w:numId w:val="15"/>
        </w:numPr>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 xml:space="preserve">State of Philadelphia v. New Jersey </w:t>
      </w:r>
      <w:r>
        <w:rPr>
          <w:rFonts w:ascii="Times New Roman" w:eastAsia="Times New Roman" w:hAnsi="Times New Roman" w:cs="Times New Roman"/>
          <w:sz w:val="20"/>
          <w:szCs w:val="20"/>
          <w:shd w:val="clear" w:color="auto" w:fill="FFF2CC"/>
        </w:rPr>
        <w:t>(S. Ct., 1978)</w:t>
      </w:r>
    </w:p>
    <w:p w:rsidR="00FE188E" w:rsidRDefault="0004364F">
      <w:pPr>
        <w:ind w:left="288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sz w:val="20"/>
          <w:szCs w:val="20"/>
        </w:rPr>
        <w:t>Court invalidated NJ law prohibiting importation of waste originating from outside the state as even assuming the purposes (i.e. “the ends” – environmental protection, preventing landfill exhaustion and wetland destruction, providing time for recycling/new</w:t>
      </w:r>
      <w:r>
        <w:rPr>
          <w:rFonts w:ascii="Times New Roman" w:eastAsia="Times New Roman" w:hAnsi="Times New Roman" w:cs="Times New Roman"/>
          <w:sz w:val="20"/>
          <w:szCs w:val="20"/>
        </w:rPr>
        <w:t xml:space="preserve"> techniques to develop) were legitimate, “the evil of protectionism can reside in legislative </w:t>
      </w:r>
      <w:r>
        <w:rPr>
          <w:rFonts w:ascii="Times New Roman" w:eastAsia="Times New Roman" w:hAnsi="Times New Roman" w:cs="Times New Roman"/>
          <w:i/>
          <w:sz w:val="20"/>
          <w:szCs w:val="20"/>
        </w:rPr>
        <w:t>means</w:t>
      </w:r>
      <w:r>
        <w:rPr>
          <w:rFonts w:ascii="Times New Roman" w:eastAsia="Times New Roman" w:hAnsi="Times New Roman" w:cs="Times New Roman"/>
          <w:sz w:val="20"/>
          <w:szCs w:val="20"/>
        </w:rPr>
        <w:t xml:space="preserve"> as well as legislative ends”</w:t>
      </w:r>
    </w:p>
    <w:p w:rsidR="00FE188E" w:rsidRDefault="0004364F">
      <w:pPr>
        <w:ind w:left="288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Rule:</w:t>
      </w:r>
      <w:r>
        <w:rPr>
          <w:rFonts w:ascii="Times New Roman" w:eastAsia="Times New Roman" w:hAnsi="Times New Roman" w:cs="Times New Roman"/>
          <w:sz w:val="20"/>
          <w:szCs w:val="20"/>
        </w:rPr>
        <w:t xml:space="preserve"> Where simple economic protectionism by state legislation, a virtual </w:t>
      </w:r>
      <w:r>
        <w:rPr>
          <w:rFonts w:ascii="Times New Roman" w:eastAsia="Times New Roman" w:hAnsi="Times New Roman" w:cs="Times New Roman"/>
          <w:i/>
          <w:sz w:val="20"/>
          <w:szCs w:val="20"/>
        </w:rPr>
        <w:t>per se</w:t>
      </w:r>
      <w:r>
        <w:rPr>
          <w:rFonts w:ascii="Times New Roman" w:eastAsia="Times New Roman" w:hAnsi="Times New Roman" w:cs="Times New Roman"/>
          <w:sz w:val="20"/>
          <w:szCs w:val="20"/>
        </w:rPr>
        <w:t xml:space="preserve"> rule of invalidity </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Economic protectionism – w</w:t>
      </w:r>
      <w:r>
        <w:rPr>
          <w:rFonts w:ascii="Times New Roman" w:eastAsia="Times New Roman" w:hAnsi="Times New Roman" w:cs="Times New Roman"/>
          <w:sz w:val="20"/>
          <w:szCs w:val="20"/>
        </w:rPr>
        <w:t>here a law facially discriminates against articles of commerce coming from outside of the state and (here ^) there is no reason apart from their origin to treat the articles differently and (here) the law places the entire burden of dealing with the proble</w:t>
      </w:r>
      <w:r>
        <w:rPr>
          <w:rFonts w:ascii="Times New Roman" w:eastAsia="Times New Roman" w:hAnsi="Times New Roman" w:cs="Times New Roman"/>
          <w:sz w:val="20"/>
          <w:szCs w:val="20"/>
        </w:rPr>
        <w:t xml:space="preserve">m on out of state sources </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Rule ^: Facial discrimination – presumption of invalidity unless a state can show a reason why it would treat in-state/out-of-state commerce differently</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Economic goals are legitimate state interests </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Outright bans may be perfectl</w:t>
      </w:r>
      <w:r>
        <w:rPr>
          <w:rFonts w:ascii="Times New Roman" w:eastAsia="Times New Roman" w:hAnsi="Times New Roman" w:cs="Times New Roman"/>
          <w:sz w:val="20"/>
          <w:szCs w:val="20"/>
        </w:rPr>
        <w:t xml:space="preserve">y ok (v. differential treatment) </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Incidental effect on interstate commerce also ok</w:t>
      </w:r>
    </w:p>
    <w:p w:rsidR="00FE188E" w:rsidRDefault="0004364F">
      <w:pPr>
        <w:numPr>
          <w:ilvl w:val="3"/>
          <w:numId w:val="15"/>
        </w:numPr>
        <w:rPr>
          <w:rFonts w:ascii="Times New Roman" w:eastAsia="Times New Roman" w:hAnsi="Times New Roman" w:cs="Times New Roman"/>
          <w:i/>
          <w:sz w:val="20"/>
          <w:szCs w:val="20"/>
          <w:shd w:val="clear" w:color="auto" w:fill="FFF2CC"/>
        </w:rPr>
      </w:pPr>
      <w:r>
        <w:rPr>
          <w:rFonts w:ascii="Times New Roman" w:eastAsia="Times New Roman" w:hAnsi="Times New Roman" w:cs="Times New Roman"/>
          <w:i/>
          <w:sz w:val="20"/>
          <w:szCs w:val="20"/>
          <w:shd w:val="clear" w:color="auto" w:fill="FFF2CC"/>
        </w:rPr>
        <w:t>Rocky Mountain Farmers Union v. Corey</w:t>
      </w:r>
      <w:r>
        <w:rPr>
          <w:rFonts w:ascii="Times New Roman" w:eastAsia="Times New Roman" w:hAnsi="Times New Roman" w:cs="Times New Roman"/>
          <w:sz w:val="20"/>
          <w:szCs w:val="20"/>
          <w:shd w:val="clear" w:color="auto" w:fill="FFF2CC"/>
        </w:rPr>
        <w:t xml:space="preserve"> (9th Cir., 2013)</w:t>
      </w:r>
    </w:p>
    <w:p w:rsidR="00FE188E" w:rsidRDefault="0004364F">
      <w:pPr>
        <w:ind w:left="288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Plaintiffs: </w:t>
      </w:r>
      <w:r>
        <w:rPr>
          <w:rFonts w:ascii="Times New Roman" w:eastAsia="Times New Roman" w:hAnsi="Times New Roman" w:cs="Times New Roman"/>
          <w:sz w:val="20"/>
          <w:szCs w:val="20"/>
        </w:rPr>
        <w:t>Challenge to California’s Low Carbon Fuel Standard requiring a 10% reduction in carbon intensity of transp</w:t>
      </w:r>
      <w:r>
        <w:rPr>
          <w:rFonts w:ascii="Times New Roman" w:eastAsia="Times New Roman" w:hAnsi="Times New Roman" w:cs="Times New Roman"/>
          <w:sz w:val="20"/>
          <w:szCs w:val="20"/>
        </w:rPr>
        <w:t>ortation fuels achieved through blending in biofuels or using alternatives, carbon intensity values based on lifecycle or well-to-wheels analysis; specifically alleging (1) Considering geographic origin in carbon intensity calculations is facially discrimi</w:t>
      </w:r>
      <w:r>
        <w:rPr>
          <w:rFonts w:ascii="Times New Roman" w:eastAsia="Times New Roman" w:hAnsi="Times New Roman" w:cs="Times New Roman"/>
          <w:sz w:val="20"/>
          <w:szCs w:val="20"/>
        </w:rPr>
        <w:t>natory, (2) table 6 is specifically discriminatory because it overly categorizes by region</w:t>
      </w:r>
    </w:p>
    <w:p w:rsidR="00FE188E" w:rsidRDefault="0004364F">
      <w:pPr>
        <w:ind w:left="2880"/>
        <w:rPr>
          <w:rFonts w:ascii="Times New Roman" w:eastAsia="Times New Roman" w:hAnsi="Times New Roman" w:cs="Times New Roman"/>
          <w:b/>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sz w:val="20"/>
          <w:szCs w:val="20"/>
        </w:rPr>
        <w:t>(1) Not facially discriminatory if the geographic distinctions do have a factual basis (i.e. there are more coal plants in the midwest, transportation of grain in</w:t>
      </w:r>
      <w:r>
        <w:rPr>
          <w:rFonts w:ascii="Times New Roman" w:eastAsia="Times New Roman" w:hAnsi="Times New Roman" w:cs="Times New Roman"/>
          <w:sz w:val="20"/>
          <w:szCs w:val="20"/>
        </w:rPr>
        <w:t>to California is more carbon intensive), (2) also reasonable and parties can use case-specific methodologies if they want</w:t>
      </w:r>
    </w:p>
    <w:p w:rsidR="00FE188E" w:rsidRDefault="0004364F">
      <w:pPr>
        <w:ind w:left="2880"/>
        <w:rPr>
          <w:rFonts w:ascii="Times New Roman" w:eastAsia="Times New Roman" w:hAnsi="Times New Roman" w:cs="Times New Roman"/>
          <w:b/>
          <w:color w:val="FF0000"/>
          <w:sz w:val="20"/>
          <w:szCs w:val="20"/>
        </w:rPr>
      </w:pPr>
      <w:r>
        <w:rPr>
          <w:rFonts w:ascii="Times New Roman" w:eastAsia="Times New Roman" w:hAnsi="Times New Roman" w:cs="Times New Roman"/>
          <w:b/>
          <w:color w:val="FF0000"/>
          <w:sz w:val="20"/>
          <w:szCs w:val="20"/>
        </w:rPr>
        <w:t xml:space="preserve">D: </w:t>
      </w:r>
      <w:r>
        <w:rPr>
          <w:rFonts w:ascii="Times New Roman" w:eastAsia="Times New Roman" w:hAnsi="Times New Roman" w:cs="Times New Roman"/>
          <w:sz w:val="20"/>
          <w:szCs w:val="20"/>
        </w:rPr>
        <w:t>(2) Yes, facial discrimination – even though legitimate local purpose there are less discriminatory means to achieve than the regio</w:t>
      </w:r>
      <w:r>
        <w:rPr>
          <w:rFonts w:ascii="Times New Roman" w:eastAsia="Times New Roman" w:hAnsi="Times New Roman" w:cs="Times New Roman"/>
          <w:sz w:val="20"/>
          <w:szCs w:val="20"/>
        </w:rPr>
        <w:t>nal divisions – California’s decision to provide the short option of table 6 rather than requiring individualized intensity valuables makes the law illegal</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Does the law place an undue burden upon interstate commerce? – even if a state law does not discrimi</w:t>
      </w:r>
      <w:r>
        <w:rPr>
          <w:rFonts w:ascii="Times New Roman" w:eastAsia="Times New Roman" w:hAnsi="Times New Roman" w:cs="Times New Roman"/>
          <w:sz w:val="20"/>
          <w:szCs w:val="20"/>
        </w:rPr>
        <w:t>nate against interstate commerce, it may violate the DCC if it unduly burdens interstate commerce (re not in test 1, check for test 2)</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If statute regulates evenhandedly to effectuate a legitimate local public interest, it will be upheld unless the burden o</w:t>
      </w:r>
      <w:r>
        <w:rPr>
          <w:rFonts w:ascii="Times New Roman" w:eastAsia="Times New Roman" w:hAnsi="Times New Roman" w:cs="Times New Roman"/>
          <w:sz w:val="20"/>
          <w:szCs w:val="20"/>
        </w:rPr>
        <w:t>n commerce is excessive in relation to the local benefits</w:t>
      </w:r>
    </w:p>
    <w:p w:rsidR="00FE188E" w:rsidRDefault="0004364F">
      <w:pPr>
        <w:numPr>
          <w:ilvl w:val="4"/>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Balancing test balancing the nature of local interest v. burden on interstate commerce (and whether can promote interest with a lesser impact)</w:t>
      </w:r>
    </w:p>
    <w:p w:rsidR="00FE188E" w:rsidRDefault="0004364F">
      <w:pPr>
        <w:numPr>
          <w:ilvl w:val="5"/>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Test: (1) Legitimate local public interest (environment</w:t>
      </w:r>
      <w:r>
        <w:rPr>
          <w:rFonts w:ascii="Times New Roman" w:eastAsia="Times New Roman" w:hAnsi="Times New Roman" w:cs="Times New Roman"/>
          <w:sz w:val="20"/>
          <w:szCs w:val="20"/>
        </w:rPr>
        <w:t xml:space="preserve">al/economic ok), (2) measure the burden (even a large burden may be ok if the state interests are strong enough (re </w:t>
      </w:r>
      <w:r>
        <w:rPr>
          <w:rFonts w:ascii="Times New Roman" w:eastAsia="Times New Roman" w:hAnsi="Times New Roman" w:cs="Times New Roman"/>
          <w:i/>
          <w:sz w:val="20"/>
          <w:szCs w:val="20"/>
        </w:rPr>
        <w:t>Clover Creamery</w:t>
      </w:r>
      <w:r>
        <w:rPr>
          <w:rFonts w:ascii="Times New Roman" w:eastAsia="Times New Roman" w:hAnsi="Times New Roman" w:cs="Times New Roman"/>
          <w:sz w:val="20"/>
          <w:szCs w:val="20"/>
        </w:rPr>
        <w:t>)), (3) are alternatives feasible?</w:t>
      </w:r>
    </w:p>
    <w:p w:rsidR="00FE188E" w:rsidRDefault="0004364F">
      <w:pPr>
        <w:numPr>
          <w:ilvl w:val="2"/>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Is the law an attempt to regulate extraterritorily?</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Price affirmation statutes – e.g. state prohibition against selling liquor at different prices out-of-state resources; question of how far doctrine extends</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Arguable whether is really a different test at all</w:t>
      </w:r>
    </w:p>
    <w:p w:rsidR="00FE188E" w:rsidRDefault="0004364F">
      <w:pPr>
        <w:numPr>
          <w:ilvl w:val="3"/>
          <w:numId w:val="15"/>
        </w:numPr>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 xml:space="preserve">Energy and Environment Legal Institute v. EPEL </w:t>
      </w:r>
      <w:r>
        <w:rPr>
          <w:rFonts w:ascii="Times New Roman" w:eastAsia="Times New Roman" w:hAnsi="Times New Roman" w:cs="Times New Roman"/>
          <w:sz w:val="20"/>
          <w:szCs w:val="20"/>
          <w:shd w:val="clear" w:color="auto" w:fill="FFF2CC"/>
        </w:rPr>
        <w:t>(10th Cir., 2015)</w:t>
      </w:r>
    </w:p>
    <w:p w:rsidR="00FE188E" w:rsidRDefault="0004364F">
      <w:pPr>
        <w:ind w:left="2880"/>
        <w:rPr>
          <w:rFonts w:ascii="Times New Roman" w:eastAsia="Times New Roman" w:hAnsi="Times New Roman" w:cs="Times New Roman"/>
          <w:b/>
          <w:color w:val="FF0000"/>
          <w:sz w:val="20"/>
          <w:szCs w:val="20"/>
        </w:rPr>
      </w:pPr>
      <w:r>
        <w:rPr>
          <w:rFonts w:ascii="Times New Roman" w:eastAsia="Times New Roman" w:hAnsi="Times New Roman" w:cs="Times New Roman"/>
          <w:b/>
          <w:color w:val="FF0000"/>
          <w:sz w:val="20"/>
          <w:szCs w:val="20"/>
        </w:rPr>
        <w:t xml:space="preserve">Rule: </w:t>
      </w:r>
      <w:r>
        <w:rPr>
          <w:rFonts w:ascii="Times New Roman" w:eastAsia="Times New Roman" w:hAnsi="Times New Roman" w:cs="Times New Roman"/>
          <w:sz w:val="20"/>
          <w:szCs w:val="20"/>
        </w:rPr>
        <w:t xml:space="preserve">(1) Price control or price affirmation regulation, (2) linking in-state prices to those charged elsewhere (e.g. to sell in this state, have to set same prices as out-of-state), (3) effect raising costs for out-of-state consumers or </w:t>
      </w:r>
      <w:r>
        <w:rPr>
          <w:rFonts w:ascii="Times New Roman" w:eastAsia="Times New Roman" w:hAnsi="Times New Roman" w:cs="Times New Roman"/>
          <w:sz w:val="20"/>
          <w:szCs w:val="20"/>
        </w:rPr>
        <w:t>rival businesses – is this really different test at all?</w:t>
      </w:r>
    </w:p>
    <w:p w:rsidR="00FE188E" w:rsidRDefault="0004364F">
      <w:pPr>
        <w:ind w:left="2880"/>
        <w:rPr>
          <w:rFonts w:ascii="Times New Roman" w:eastAsia="Times New Roman" w:hAnsi="Times New Roman" w:cs="Times New Roman"/>
          <w:sz w:val="20"/>
          <w:szCs w:val="20"/>
          <w:shd w:val="clear" w:color="auto" w:fill="FFF2CC"/>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sz w:val="20"/>
          <w:szCs w:val="20"/>
        </w:rPr>
        <w:t>Court rules against challenge to Colorado’s RPS alleging loss of business to coal producers effectively regulates out-of-state coal production and is therefore extraterritorial regulation. Rationa</w:t>
      </w:r>
      <w:r>
        <w:rPr>
          <w:rFonts w:ascii="Times New Roman" w:eastAsia="Times New Roman" w:hAnsi="Times New Roman" w:cs="Times New Roman"/>
          <w:sz w:val="20"/>
          <w:szCs w:val="20"/>
        </w:rPr>
        <w:t>le that the state RPS does not meet the rule set out (^) by the court and if anything, it will raise prices for in-state consumers and EELI’s argument (that would invalidate state health/safety regulations requiring out-of-state manufacturers to alter labe</w:t>
      </w:r>
      <w:r>
        <w:rPr>
          <w:rFonts w:ascii="Times New Roman" w:eastAsia="Times New Roman" w:hAnsi="Times New Roman" w:cs="Times New Roman"/>
          <w:sz w:val="20"/>
          <w:szCs w:val="20"/>
        </w:rPr>
        <w:t xml:space="preserve">ls/designs) is too broad – no limiting principle, would make extraterritorial legislation doctrine even more power than </w:t>
      </w:r>
      <w:r>
        <w:rPr>
          <w:rFonts w:ascii="Times New Roman" w:eastAsia="Times New Roman" w:hAnsi="Times New Roman" w:cs="Times New Roman"/>
          <w:i/>
          <w:sz w:val="20"/>
          <w:szCs w:val="20"/>
        </w:rPr>
        <w:t xml:space="preserve">Pike </w:t>
      </w:r>
      <w:r>
        <w:rPr>
          <w:rFonts w:ascii="Times New Roman" w:eastAsia="Times New Roman" w:hAnsi="Times New Roman" w:cs="Times New Roman"/>
          <w:sz w:val="20"/>
          <w:szCs w:val="20"/>
        </w:rPr>
        <w:t xml:space="preserve">or </w:t>
      </w:r>
      <w:r>
        <w:rPr>
          <w:rFonts w:ascii="Times New Roman" w:eastAsia="Times New Roman" w:hAnsi="Times New Roman" w:cs="Times New Roman"/>
          <w:i/>
          <w:sz w:val="20"/>
          <w:szCs w:val="20"/>
        </w:rPr>
        <w:t>Philadelphia</w:t>
      </w:r>
    </w:p>
    <w:p w:rsidR="00FE188E" w:rsidRDefault="0004364F">
      <w:pPr>
        <w:numPr>
          <w:ilvl w:val="3"/>
          <w:numId w:val="15"/>
        </w:numPr>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North Dakota v. Heydinger</w:t>
      </w:r>
      <w:r>
        <w:rPr>
          <w:rFonts w:ascii="Times New Roman" w:eastAsia="Times New Roman" w:hAnsi="Times New Roman" w:cs="Times New Roman"/>
          <w:sz w:val="20"/>
          <w:szCs w:val="20"/>
          <w:shd w:val="clear" w:color="auto" w:fill="FFF2CC"/>
        </w:rPr>
        <w:t xml:space="preserve"> (8th Cir., 2016)</w:t>
      </w:r>
    </w:p>
    <w:p w:rsidR="00FE188E" w:rsidRDefault="0004364F">
      <w:pPr>
        <w:ind w:left="288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I: </w:t>
      </w:r>
      <w:r>
        <w:rPr>
          <w:rFonts w:ascii="Times New Roman" w:eastAsia="Times New Roman" w:hAnsi="Times New Roman" w:cs="Times New Roman"/>
          <w:sz w:val="20"/>
          <w:szCs w:val="20"/>
        </w:rPr>
        <w:t>Extraterritorial challenge to Minnesota law prohibiting importation f</w:t>
      </w:r>
      <w:r>
        <w:rPr>
          <w:rFonts w:ascii="Times New Roman" w:eastAsia="Times New Roman" w:hAnsi="Times New Roman" w:cs="Times New Roman"/>
          <w:sz w:val="20"/>
          <w:szCs w:val="20"/>
        </w:rPr>
        <w:t>rom outside state power from new large energy facilities that would contribute to statewide power sector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emissions or entering into new long-term power purchase agreements that would increase statewide power sector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emissions</w:t>
      </w:r>
    </w:p>
    <w:p w:rsidR="00FE188E" w:rsidRDefault="0004364F">
      <w:pPr>
        <w:ind w:left="3600"/>
        <w:rPr>
          <w:rFonts w:ascii="Times New Roman" w:eastAsia="Times New Roman" w:hAnsi="Times New Roman" w:cs="Times New Roman"/>
          <w:sz w:val="20"/>
          <w:szCs w:val="20"/>
          <w:shd w:val="clear" w:color="auto" w:fill="FFF2CC"/>
        </w:rPr>
      </w:pPr>
      <w:r>
        <w:rPr>
          <w:rFonts w:ascii="Times New Roman" w:eastAsia="Times New Roman" w:hAnsi="Times New Roman" w:cs="Times New Roman"/>
          <w:sz w:val="20"/>
          <w:szCs w:val="20"/>
        </w:rPr>
        <w:t>Note, with MISO (or any</w:t>
      </w:r>
      <w:r>
        <w:rPr>
          <w:rFonts w:ascii="Times New Roman" w:eastAsia="Times New Roman" w:hAnsi="Times New Roman" w:cs="Times New Roman"/>
          <w:sz w:val="20"/>
          <w:szCs w:val="20"/>
        </w:rPr>
        <w:t xml:space="preserve"> RTO), once sales negotiated, cannot distinguish between power generators on the grid </w:t>
      </w:r>
    </w:p>
    <w:p w:rsidR="00FE188E" w:rsidRDefault="0004364F">
      <w:pPr>
        <w:ind w:left="2160" w:firstLine="72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sz w:val="20"/>
          <w:szCs w:val="20"/>
        </w:rPr>
        <w:t>Yes, illegal extraterritorial regulation</w:t>
      </w:r>
    </w:p>
    <w:p w:rsidR="00FE188E" w:rsidRDefault="0004364F">
      <w:pPr>
        <w:ind w:left="288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Rule:</w:t>
      </w:r>
      <w:r>
        <w:rPr>
          <w:rFonts w:ascii="Times New Roman" w:eastAsia="Times New Roman" w:hAnsi="Times New Roman" w:cs="Times New Roman"/>
          <w:sz w:val="20"/>
          <w:szCs w:val="20"/>
        </w:rPr>
        <w:t xml:space="preserve"> Doctrine extends where “the practical effect of the regulation is to control conduct beyond the boundaries of the state, 8th Cir. (in </w:t>
      </w:r>
      <w:r>
        <w:rPr>
          <w:rFonts w:ascii="Times New Roman" w:eastAsia="Times New Roman" w:hAnsi="Times New Roman" w:cs="Times New Roman"/>
          <w:i/>
          <w:sz w:val="20"/>
          <w:szCs w:val="20"/>
        </w:rPr>
        <w:t>Cotto Waxo</w:t>
      </w:r>
      <w:r>
        <w:rPr>
          <w:rFonts w:ascii="Times New Roman" w:eastAsia="Times New Roman" w:hAnsi="Times New Roman" w:cs="Times New Roman"/>
          <w:sz w:val="20"/>
          <w:szCs w:val="20"/>
        </w:rPr>
        <w:t>) says it applies where a state law “requires people or businesses to conduct their out-of-state commerce a cer</w:t>
      </w:r>
      <w:r>
        <w:rPr>
          <w:rFonts w:ascii="Times New Roman" w:eastAsia="Times New Roman" w:hAnsi="Times New Roman" w:cs="Times New Roman"/>
          <w:sz w:val="20"/>
          <w:szCs w:val="20"/>
        </w:rPr>
        <w:t>tain way”; dissent seems to agree with this rule</w:t>
      </w:r>
    </w:p>
    <w:p w:rsidR="00FE188E" w:rsidRDefault="0004364F">
      <w:pPr>
        <w:ind w:left="2880"/>
        <w:rPr>
          <w:rFonts w:ascii="Times New Roman" w:eastAsia="Times New Roman" w:hAnsi="Times New Roman" w:cs="Times New Roman"/>
          <w:sz w:val="20"/>
          <w:szCs w:val="20"/>
          <w:shd w:val="clear" w:color="auto" w:fill="FFF2CC"/>
        </w:rPr>
      </w:pPr>
      <w:r>
        <w:rPr>
          <w:rFonts w:ascii="Times New Roman" w:eastAsia="Times New Roman" w:hAnsi="Times New Roman" w:cs="Times New Roman"/>
          <w:b/>
          <w:color w:val="FF0000"/>
          <w:sz w:val="20"/>
          <w:szCs w:val="20"/>
        </w:rPr>
        <w:t xml:space="preserve">D: </w:t>
      </w:r>
      <w:r>
        <w:rPr>
          <w:rFonts w:ascii="Times New Roman" w:eastAsia="Times New Roman" w:hAnsi="Times New Roman" w:cs="Times New Roman"/>
          <w:sz w:val="20"/>
          <w:szCs w:val="20"/>
        </w:rPr>
        <w:t>No, simply prohibits Minnesota buyers from entering into long-term contracts to import power into the state for Minnesota customers</w:t>
      </w:r>
    </w:p>
    <w:p w:rsidR="00FE188E" w:rsidRDefault="0004364F">
      <w:pPr>
        <w:numPr>
          <w:ilvl w:val="3"/>
          <w:numId w:val="15"/>
        </w:numPr>
        <w:rPr>
          <w:rFonts w:ascii="Times New Roman" w:eastAsia="Times New Roman" w:hAnsi="Times New Roman" w:cs="Times New Roman"/>
          <w:sz w:val="20"/>
          <w:szCs w:val="20"/>
        </w:rPr>
      </w:pPr>
      <w:r>
        <w:rPr>
          <w:rFonts w:ascii="Times New Roman" w:eastAsia="Times New Roman" w:hAnsi="Times New Roman" w:cs="Times New Roman"/>
          <w:sz w:val="20"/>
          <w:szCs w:val="20"/>
        </w:rPr>
        <w:t>Implications: Extraterritoriality doctrine is potentially very broad – m</w:t>
      </w:r>
      <w:r>
        <w:rPr>
          <w:rFonts w:ascii="Times New Roman" w:eastAsia="Times New Roman" w:hAnsi="Times New Roman" w:cs="Times New Roman"/>
          <w:sz w:val="20"/>
          <w:szCs w:val="20"/>
        </w:rPr>
        <w:t xml:space="preserve">ay go beyond </w:t>
      </w:r>
      <w:r>
        <w:rPr>
          <w:rFonts w:ascii="Times New Roman" w:eastAsia="Times New Roman" w:hAnsi="Times New Roman" w:cs="Times New Roman"/>
          <w:i/>
          <w:sz w:val="20"/>
          <w:szCs w:val="20"/>
        </w:rPr>
        <w:t>Pike</w:t>
      </w:r>
      <w:r>
        <w:rPr>
          <w:rFonts w:ascii="Times New Roman" w:eastAsia="Times New Roman" w:hAnsi="Times New Roman" w:cs="Times New Roman"/>
          <w:sz w:val="20"/>
          <w:szCs w:val="20"/>
        </w:rPr>
        <w:t xml:space="preserve"> balancing test restrict in-state purchasing preferences, not clear how far the doctrine might extend – many things in interstate commerce are not necessarily capable of easy separation/isolation at the border, but it could be simply an is</w:t>
      </w:r>
      <w:r>
        <w:rPr>
          <w:rFonts w:ascii="Times New Roman" w:eastAsia="Times New Roman" w:hAnsi="Times New Roman" w:cs="Times New Roman"/>
          <w:sz w:val="20"/>
          <w:szCs w:val="20"/>
        </w:rPr>
        <w:t>sue of law drafting that Minnesota could correct (i.e., state utilities may not purchase…)</w:t>
      </w:r>
    </w:p>
    <w:p w:rsidR="00FE188E" w:rsidRDefault="00FE188E">
      <w:pPr>
        <w:rPr>
          <w:rFonts w:ascii="Times New Roman" w:eastAsia="Times New Roman" w:hAnsi="Times New Roman" w:cs="Times New Roman"/>
          <w:sz w:val="20"/>
          <w:szCs w:val="20"/>
          <w:shd w:val="clear" w:color="auto" w:fill="FFF2CC"/>
        </w:rPr>
      </w:pPr>
    </w:p>
    <w:p w:rsidR="00FE188E" w:rsidRDefault="0004364F">
      <w:pPr>
        <w:pStyle w:val="Heading2"/>
        <w:spacing w:before="0" w:after="0"/>
        <w:jc w:val="center"/>
        <w:rPr>
          <w:rFonts w:ascii="Times New Roman" w:eastAsia="Times New Roman" w:hAnsi="Times New Roman" w:cs="Times New Roman"/>
          <w:sz w:val="20"/>
          <w:szCs w:val="20"/>
        </w:rPr>
      </w:pPr>
      <w:bookmarkStart w:id="16" w:name="_mgtc2tiihupj" w:colFirst="0" w:colLast="0"/>
      <w:bookmarkEnd w:id="16"/>
      <w:r>
        <w:rPr>
          <w:rFonts w:ascii="Times New Roman" w:eastAsia="Times New Roman" w:hAnsi="Times New Roman" w:cs="Times New Roman"/>
          <w:sz w:val="24"/>
          <w:szCs w:val="24"/>
        </w:rPr>
        <w:t>Climate Change in the Courts: Jurisdiction and Common Law Litigation</w:t>
      </w:r>
    </w:p>
    <w:p w:rsidR="00FE188E" w:rsidRDefault="0004364F">
      <w:pPr>
        <w:numPr>
          <w:ilvl w:val="0"/>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Art. III Standing – gives the federal courts jurisdiction over “cases and controversies,” meant</w:t>
      </w:r>
      <w:r>
        <w:rPr>
          <w:rFonts w:ascii="Times New Roman" w:eastAsia="Times New Roman" w:hAnsi="Times New Roman" w:cs="Times New Roman"/>
          <w:sz w:val="20"/>
          <w:szCs w:val="20"/>
        </w:rPr>
        <w:t xml:space="preserve"> to prevent courts from issuing “advisory opinions”</w:t>
      </w:r>
    </w:p>
    <w:p w:rsidR="00FE188E" w:rsidRDefault="0004364F">
      <w:pPr>
        <w:numPr>
          <w:ilvl w:val="1"/>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Requirements, three prongs – </w:t>
      </w:r>
    </w:p>
    <w:p w:rsidR="00FE188E" w:rsidRDefault="0004364F">
      <w:pPr>
        <w:numPr>
          <w:ilvl w:val="2"/>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Injury in fact that is – </w:t>
      </w:r>
    </w:p>
    <w:p w:rsidR="00FE188E" w:rsidRDefault="0004364F">
      <w:pPr>
        <w:numPr>
          <w:ilvl w:val="3"/>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Concrete and particularized </w:t>
      </w:r>
      <w:r>
        <w:rPr>
          <w:rFonts w:ascii="Times New Roman" w:eastAsia="Times New Roman" w:hAnsi="Times New Roman" w:cs="Times New Roman"/>
          <w:i/>
          <w:sz w:val="20"/>
          <w:szCs w:val="20"/>
        </w:rPr>
        <w:t>and</w:t>
      </w:r>
      <w:r>
        <w:rPr>
          <w:rFonts w:ascii="Times New Roman" w:eastAsia="Times New Roman" w:hAnsi="Times New Roman" w:cs="Times New Roman"/>
          <w:sz w:val="20"/>
          <w:szCs w:val="20"/>
        </w:rPr>
        <w:t xml:space="preserve"> </w:t>
      </w:r>
    </w:p>
    <w:p w:rsidR="00FE188E" w:rsidRDefault="0004364F">
      <w:pPr>
        <w:numPr>
          <w:ilvl w:val="4"/>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Not a generalized grievance; aesthetic and recreational injuries ok as are proprietary, health, economic, etc.; pla</w:t>
      </w:r>
      <w:r>
        <w:rPr>
          <w:rFonts w:ascii="Times New Roman" w:eastAsia="Times New Roman" w:hAnsi="Times New Roman" w:cs="Times New Roman"/>
          <w:sz w:val="20"/>
          <w:szCs w:val="20"/>
        </w:rPr>
        <w:t>intiff needs to show use of a particular resource and a “reasonable concern” that challenged action will limit plaintiff’s enjoyment of the resources; amount – identifiable trifle v. probabilistic harm</w:t>
      </w:r>
    </w:p>
    <w:p w:rsidR="00FE188E" w:rsidRDefault="0004364F">
      <w:pPr>
        <w:numPr>
          <w:ilvl w:val="3"/>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Actual or imminent not conjectural or hypothetical</w:t>
      </w:r>
    </w:p>
    <w:p w:rsidR="00FE188E" w:rsidRDefault="0004364F">
      <w:pPr>
        <w:numPr>
          <w:ilvl w:val="4"/>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Spe</w:t>
      </w:r>
      <w:r>
        <w:rPr>
          <w:rFonts w:ascii="Times New Roman" w:eastAsia="Times New Roman" w:hAnsi="Times New Roman" w:cs="Times New Roman"/>
          <w:sz w:val="20"/>
          <w:szCs w:val="20"/>
        </w:rPr>
        <w:t xml:space="preserve">culative injuries not ok but absolute certainty not required (although recent case referred to “certainly impending” injuries); cannot involve “some day” injuries or intentions (re </w:t>
      </w:r>
      <w:r>
        <w:rPr>
          <w:rFonts w:ascii="Times New Roman" w:eastAsia="Times New Roman" w:hAnsi="Times New Roman" w:cs="Times New Roman"/>
          <w:i/>
          <w:sz w:val="20"/>
          <w:szCs w:val="20"/>
        </w:rPr>
        <w:t>Lujan v. Defenders</w:t>
      </w:r>
      <w:r>
        <w:rPr>
          <w:rFonts w:ascii="Times New Roman" w:eastAsia="Times New Roman" w:hAnsi="Times New Roman" w:cs="Times New Roman"/>
          <w:sz w:val="20"/>
          <w:szCs w:val="20"/>
        </w:rPr>
        <w:t xml:space="preserve"> and fear of not being able to see wildlife in other coun</w:t>
      </w:r>
      <w:r>
        <w:rPr>
          <w:rFonts w:ascii="Times New Roman" w:eastAsia="Times New Roman" w:hAnsi="Times New Roman" w:cs="Times New Roman"/>
          <w:sz w:val="20"/>
          <w:szCs w:val="20"/>
        </w:rPr>
        <w:t>tries in the future)</w:t>
      </w:r>
    </w:p>
    <w:p w:rsidR="00FE188E" w:rsidRDefault="0004364F">
      <w:pPr>
        <w:numPr>
          <w:ilvl w:val="2"/>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Causation – injury must be fairly traceable to challenged action of the defendant</w:t>
      </w:r>
    </w:p>
    <w:p w:rsidR="00FE188E" w:rsidRDefault="0004364F">
      <w:pPr>
        <w:numPr>
          <w:ilvl w:val="3"/>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Multi-polluters/multi-defendant cases – ok to address only part of the problem as long as the defendant contributes to the problem, plaintiff does not ne</w:t>
      </w:r>
      <w:r>
        <w:rPr>
          <w:rFonts w:ascii="Times New Roman" w:eastAsia="Times New Roman" w:hAnsi="Times New Roman" w:cs="Times New Roman"/>
          <w:sz w:val="20"/>
          <w:szCs w:val="20"/>
        </w:rPr>
        <w:t>ed to show that defendant is the only cause of the problem, e.g. no need to link molecules to defendant</w:t>
      </w:r>
    </w:p>
    <w:p w:rsidR="00FE188E" w:rsidRDefault="0004364F">
      <w:pPr>
        <w:numPr>
          <w:ilvl w:val="2"/>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Redressability – must be likely, not speculative, that a favorable decision will redress injury in part</w:t>
      </w:r>
    </w:p>
    <w:p w:rsidR="00FE188E" w:rsidRDefault="0004364F">
      <w:pPr>
        <w:numPr>
          <w:ilvl w:val="3"/>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Usually the flipside of causation – if defendant is a cause of the harm some type of court decision could provide a remedy; civil penalties (go to the government) can be redress because they deter violations</w:t>
      </w:r>
    </w:p>
    <w:p w:rsidR="00FE188E" w:rsidRDefault="0004364F">
      <w:pPr>
        <w:numPr>
          <w:ilvl w:val="3"/>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Independent third parties before the court – if </w:t>
      </w:r>
      <w:r>
        <w:rPr>
          <w:rFonts w:ascii="Times New Roman" w:eastAsia="Times New Roman" w:hAnsi="Times New Roman" w:cs="Times New Roman"/>
          <w:sz w:val="20"/>
          <w:szCs w:val="20"/>
        </w:rPr>
        <w:t>harm is really the result of someone else and the court’s ruling will not change the other party’s conduct, not redressable, e.g. funding for project done by other party and cannot show that without funding project will not occur; distinguish from multi-po</w:t>
      </w:r>
      <w:r>
        <w:rPr>
          <w:rFonts w:ascii="Times New Roman" w:eastAsia="Times New Roman" w:hAnsi="Times New Roman" w:cs="Times New Roman"/>
          <w:sz w:val="20"/>
          <w:szCs w:val="20"/>
        </w:rPr>
        <w:t>lluter cases?</w:t>
      </w:r>
    </w:p>
    <w:p w:rsidR="00FE188E" w:rsidRDefault="0004364F">
      <w:pPr>
        <w:numPr>
          <w:ilvl w:val="1"/>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Prudential standing? (different from Art. III but should be included in standing analysis) – even if can show Art. III standing, a court may decide it isn’t prudent to hear case</w:t>
      </w:r>
    </w:p>
    <w:p w:rsidR="00FE188E" w:rsidRDefault="0004364F">
      <w:pPr>
        <w:numPr>
          <w:ilvl w:val="2"/>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“Zone of interests” – statute not meant to protect the plaintiff</w:t>
      </w:r>
    </w:p>
    <w:p w:rsidR="00FE188E" w:rsidRDefault="0004364F">
      <w:pPr>
        <w:numPr>
          <w:ilvl w:val="2"/>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Plaintiff must assert own legal rights</w:t>
      </w:r>
    </w:p>
    <w:p w:rsidR="00FE188E" w:rsidRDefault="0004364F">
      <w:pPr>
        <w:numPr>
          <w:ilvl w:val="2"/>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Court should not adjudicate “abstract questions of wide public significance” which amount to “generalized grievances” pervasively shared and most appropriately addressed in the other branches of government</w:t>
      </w:r>
    </w:p>
    <w:p w:rsidR="00FE188E" w:rsidRDefault="0004364F">
      <w:pPr>
        <w:numPr>
          <w:ilvl w:val="1"/>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Injury for</w:t>
      </w:r>
      <w:r>
        <w:rPr>
          <w:rFonts w:ascii="Times New Roman" w:eastAsia="Times New Roman" w:hAnsi="Times New Roman" w:cs="Times New Roman"/>
          <w:sz w:val="20"/>
          <w:szCs w:val="20"/>
        </w:rPr>
        <w:t xml:space="preserve"> all is injury for none? </w:t>
      </w:r>
      <w:r>
        <w:rPr>
          <w:rFonts w:ascii="Times New Roman" w:eastAsia="Times New Roman" w:hAnsi="Times New Roman" w:cs="Times New Roman"/>
          <w:sz w:val="20"/>
          <w:szCs w:val="20"/>
        </w:rPr>
        <w:tab/>
      </w:r>
    </w:p>
    <w:p w:rsidR="00FE188E" w:rsidRDefault="0004364F">
      <w:pPr>
        <w:numPr>
          <w:ilvl w:val="2"/>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“Injury for one is injury for all” so long as one plaintiff has standing, there is a case or controversy, no need to look at other plaintiffs</w:t>
      </w:r>
    </w:p>
    <w:p w:rsidR="00FE188E" w:rsidRDefault="0004364F">
      <w:pPr>
        <w:numPr>
          <w:ilvl w:val="2"/>
          <w:numId w:val="16"/>
        </w:numPr>
        <w:rPr>
          <w:rFonts w:ascii="Times New Roman" w:eastAsia="Times New Roman" w:hAnsi="Times New Roman" w:cs="Times New Roman"/>
          <w:sz w:val="20"/>
          <w:szCs w:val="20"/>
        </w:rPr>
      </w:pP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what about “injury for all is injury for none?” – i.e. do some injuries become so widespread that they become generalized grievances, rather than concrete and particularized injuries?</w:t>
      </w:r>
    </w:p>
    <w:p w:rsidR="00FE188E" w:rsidRDefault="0004364F">
      <w:pPr>
        <w:numPr>
          <w:ilvl w:val="3"/>
          <w:numId w:val="16"/>
        </w:numPr>
        <w:rPr>
          <w:rFonts w:ascii="Times New Roman" w:eastAsia="Times New Roman" w:hAnsi="Times New Roman" w:cs="Times New Roman"/>
          <w:i/>
          <w:sz w:val="20"/>
          <w:szCs w:val="20"/>
        </w:rPr>
      </w:pPr>
      <w:r>
        <w:rPr>
          <w:rFonts w:ascii="Times New Roman" w:eastAsia="Times New Roman" w:hAnsi="Times New Roman" w:cs="Times New Roman"/>
          <w:i/>
          <w:sz w:val="20"/>
          <w:szCs w:val="20"/>
        </w:rPr>
        <w:t>Covington v. Jefferson County</w:t>
      </w:r>
      <w:r>
        <w:rPr>
          <w:rFonts w:ascii="Times New Roman" w:eastAsia="Times New Roman" w:hAnsi="Times New Roman" w:cs="Times New Roman"/>
          <w:sz w:val="20"/>
          <w:szCs w:val="20"/>
        </w:rPr>
        <w:t xml:space="preserve"> (concurrence), </w:t>
      </w:r>
      <w:r>
        <w:rPr>
          <w:rFonts w:ascii="Times New Roman" w:eastAsia="Times New Roman" w:hAnsi="Times New Roman" w:cs="Times New Roman"/>
          <w:i/>
          <w:sz w:val="20"/>
          <w:szCs w:val="20"/>
        </w:rPr>
        <w:t>NEDC v. Owens Corning</w:t>
      </w:r>
      <w:r>
        <w:rPr>
          <w:rFonts w:ascii="Times New Roman" w:eastAsia="Times New Roman" w:hAnsi="Times New Roman" w:cs="Times New Roman"/>
          <w:sz w:val="20"/>
          <w:szCs w:val="20"/>
        </w:rPr>
        <w:t xml:space="preserve"> – no</w:t>
      </w:r>
      <w:r>
        <w:rPr>
          <w:rFonts w:ascii="Times New Roman" w:eastAsia="Times New Roman" w:hAnsi="Times New Roman" w:cs="Times New Roman"/>
          <w:sz w:val="20"/>
          <w:szCs w:val="20"/>
        </w:rPr>
        <w:t xml:space="preserve"> rule that “injury for all is injury to none”</w:t>
      </w:r>
    </w:p>
    <w:p w:rsidR="00FE188E" w:rsidRDefault="0004364F">
      <w:pPr>
        <w:numPr>
          <w:ilvl w:val="1"/>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Standing in Early Climate Change Cases</w:t>
      </w:r>
    </w:p>
    <w:p w:rsidR="00FE188E" w:rsidRDefault="0004364F">
      <w:pPr>
        <w:numPr>
          <w:ilvl w:val="1"/>
          <w:numId w:val="16"/>
        </w:numPr>
        <w:rPr>
          <w:rFonts w:ascii="Times New Roman" w:eastAsia="Times New Roman" w:hAnsi="Times New Roman" w:cs="Times New Roman"/>
          <w:sz w:val="20"/>
          <w:szCs w:val="20"/>
        </w:rPr>
      </w:pPr>
      <w:r>
        <w:rPr>
          <w:rFonts w:ascii="Times New Roman" w:eastAsia="Times New Roman" w:hAnsi="Times New Roman" w:cs="Times New Roman"/>
          <w:i/>
          <w:sz w:val="20"/>
          <w:szCs w:val="20"/>
        </w:rPr>
        <w:t>Massachusetts v. EPA</w:t>
      </w:r>
    </w:p>
    <w:p w:rsidR="00FE188E" w:rsidRDefault="0004364F">
      <w:pPr>
        <w:numPr>
          <w:ilvl w:val="2"/>
          <w:numId w:val="16"/>
        </w:numPr>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 xml:space="preserve">Massachusetts v. EPA </w:t>
      </w:r>
      <w:r>
        <w:rPr>
          <w:rFonts w:ascii="Times New Roman" w:eastAsia="Times New Roman" w:hAnsi="Times New Roman" w:cs="Times New Roman"/>
          <w:sz w:val="20"/>
          <w:szCs w:val="20"/>
          <w:shd w:val="clear" w:color="auto" w:fill="FFF2CC"/>
        </w:rPr>
        <w:t>(S. Ct., 2007)</w:t>
      </w:r>
    </w:p>
    <w:p w:rsidR="00FE188E" w:rsidRDefault="0004364F">
      <w:pPr>
        <w:ind w:left="216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Massachusetts has standing because the Court finds (1) special solicitude in standing analyses for states (</w:t>
      </w:r>
      <w:r>
        <w:rPr>
          <w:rFonts w:ascii="Times New Roman" w:eastAsia="Times New Roman" w:hAnsi="Times New Roman" w:cs="Times New Roman"/>
          <w:i/>
          <w:sz w:val="20"/>
          <w:szCs w:val="20"/>
        </w:rPr>
        <w:t>pare</w:t>
      </w:r>
      <w:r>
        <w:rPr>
          <w:rFonts w:ascii="Times New Roman" w:eastAsia="Times New Roman" w:hAnsi="Times New Roman" w:cs="Times New Roman"/>
          <w:i/>
          <w:sz w:val="20"/>
          <w:szCs w:val="20"/>
        </w:rPr>
        <w:t>ns patriae</w:t>
      </w:r>
      <w:r>
        <w:rPr>
          <w:rFonts w:ascii="Times New Roman" w:eastAsia="Times New Roman" w:hAnsi="Times New Roman" w:cs="Times New Roman"/>
          <w:sz w:val="20"/>
          <w:szCs w:val="20"/>
        </w:rPr>
        <w:t xml:space="preserve"> and quasi-sovereign interests); (2) Congressional authorization in the statute public suits (CAA authorization is “of critical importance to the standing inquiry,” Congress may define injuries and chains of causation); and (3) that Massachusetts</w:t>
      </w:r>
      <w:r>
        <w:rPr>
          <w:rFonts w:ascii="Times New Roman" w:eastAsia="Times New Roman" w:hAnsi="Times New Roman" w:cs="Times New Roman"/>
          <w:sz w:val="20"/>
          <w:szCs w:val="20"/>
        </w:rPr>
        <w:t xml:space="preserve"> owns a great deal of territory to be affected so has a concrete interest (see chart on three prongs)</w:t>
      </w:r>
    </w:p>
    <w:p w:rsidR="00FE188E" w:rsidRDefault="0004364F">
      <w:pPr>
        <w:ind w:left="216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D:</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Parens patrie </w:t>
      </w:r>
      <w:r>
        <w:rPr>
          <w:rFonts w:ascii="Times New Roman" w:eastAsia="Times New Roman" w:hAnsi="Times New Roman" w:cs="Times New Roman"/>
          <w:sz w:val="20"/>
          <w:szCs w:val="20"/>
        </w:rPr>
        <w:t xml:space="preserve">is an additional requirement and no link in M’s analysis between the </w:t>
      </w:r>
      <w:r>
        <w:rPr>
          <w:rFonts w:ascii="Times New Roman" w:eastAsia="Times New Roman" w:hAnsi="Times New Roman" w:cs="Times New Roman"/>
          <w:i/>
          <w:sz w:val="20"/>
          <w:szCs w:val="20"/>
        </w:rPr>
        <w:t xml:space="preserve">parens patriae </w:t>
      </w:r>
      <w:r>
        <w:rPr>
          <w:rFonts w:ascii="Times New Roman" w:eastAsia="Times New Roman" w:hAnsi="Times New Roman" w:cs="Times New Roman"/>
          <w:sz w:val="20"/>
          <w:szCs w:val="20"/>
        </w:rPr>
        <w:t>set-up and the actual standing inquiry (actual injury</w:t>
      </w:r>
      <w:r>
        <w:rPr>
          <w:rFonts w:ascii="Times New Roman" w:eastAsia="Times New Roman" w:hAnsi="Times New Roman" w:cs="Times New Roman"/>
          <w:sz w:val="20"/>
          <w:szCs w:val="20"/>
        </w:rPr>
        <w:t xml:space="preserve"> in M’s analysis based on land ownership) (see chart on three prongs)</w:t>
      </w:r>
    </w:p>
    <w:p w:rsidR="00FE188E" w:rsidRDefault="00FE188E">
      <w:pPr>
        <w:ind w:left="720"/>
        <w:rPr>
          <w:rFonts w:ascii="Times New Roman" w:eastAsia="Times New Roman" w:hAnsi="Times New Roman" w:cs="Times New Roman"/>
          <w:sz w:val="20"/>
          <w:szCs w:val="20"/>
        </w:rPr>
      </w:pPr>
    </w:p>
    <w:p w:rsidR="00FE188E" w:rsidRDefault="0004364F">
      <w:pPr>
        <w:numPr>
          <w:ilvl w:val="3"/>
          <w:numId w:val="16"/>
        </w:numPr>
        <w:rPr>
          <w:rFonts w:ascii="Times New Roman" w:eastAsia="Times New Roman" w:hAnsi="Times New Roman" w:cs="Times New Roman"/>
          <w:sz w:val="20"/>
          <w:szCs w:val="20"/>
        </w:rPr>
      </w:pPr>
      <w:r>
        <w:rPr>
          <w:rFonts w:ascii="Times New Roman" w:eastAsia="Times New Roman" w:hAnsi="Times New Roman" w:cs="Times New Roman"/>
          <w:i/>
          <w:sz w:val="20"/>
          <w:szCs w:val="20"/>
        </w:rPr>
        <w:lastRenderedPageBreak/>
        <w:t>Parens patriae</w:t>
      </w:r>
      <w:r>
        <w:rPr>
          <w:rFonts w:ascii="Times New Roman" w:eastAsia="Times New Roman" w:hAnsi="Times New Roman" w:cs="Times New Roman"/>
          <w:sz w:val="20"/>
          <w:szCs w:val="20"/>
        </w:rPr>
        <w:t xml:space="preserve"> and quasi-sovereign interests v. proprietary interests – states can sue in three capacities in federal court – (1) proprietary suits where state is acting like private pa</w:t>
      </w:r>
      <w:r>
        <w:rPr>
          <w:rFonts w:ascii="Times New Roman" w:eastAsia="Times New Roman" w:hAnsi="Times New Roman" w:cs="Times New Roman"/>
          <w:sz w:val="20"/>
          <w:szCs w:val="20"/>
        </w:rPr>
        <w:t xml:space="preserve">rty suffering direct tangible injury, (2) sovereignty suits, e.g. boundaries and water rights, (3) quasi-sovereign interests – under </w:t>
      </w:r>
      <w:r>
        <w:rPr>
          <w:rFonts w:ascii="Times New Roman" w:eastAsia="Times New Roman" w:hAnsi="Times New Roman" w:cs="Times New Roman"/>
          <w:i/>
          <w:sz w:val="20"/>
          <w:szCs w:val="20"/>
        </w:rPr>
        <w:t>parens patriae</w:t>
      </w:r>
      <w:r>
        <w:rPr>
          <w:rFonts w:ascii="Times New Roman" w:eastAsia="Times New Roman" w:hAnsi="Times New Roman" w:cs="Times New Roman"/>
          <w:sz w:val="20"/>
          <w:szCs w:val="20"/>
        </w:rPr>
        <w:t>, health and comfort/well-being of the state inhabitants</w:t>
      </w:r>
      <w:r>
        <w:rPr>
          <w:noProof/>
        </w:rPr>
        <w:drawing>
          <wp:anchor distT="114300" distB="114300" distL="114300" distR="114300" simplePos="0" relativeHeight="251661312" behindDoc="0" locked="0" layoutInCell="1" hidden="0" allowOverlap="1">
            <wp:simplePos x="0" y="0"/>
            <wp:positionH relativeFrom="margin">
              <wp:posOffset>819150</wp:posOffset>
            </wp:positionH>
            <wp:positionV relativeFrom="paragraph">
              <wp:posOffset>19050</wp:posOffset>
            </wp:positionV>
            <wp:extent cx="4524375" cy="3267075"/>
            <wp:effectExtent l="0" t="0" r="0" b="0"/>
            <wp:wrapTopAndBottom distT="114300" distB="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524375" cy="3267075"/>
                    </a:xfrm>
                    <a:prstGeom prst="rect">
                      <a:avLst/>
                    </a:prstGeom>
                    <a:ln/>
                  </pic:spPr>
                </pic:pic>
              </a:graphicData>
            </a:graphic>
          </wp:anchor>
        </w:drawing>
      </w:r>
    </w:p>
    <w:p w:rsidR="00FE188E" w:rsidRDefault="0004364F">
      <w:pPr>
        <w:numPr>
          <w:ilvl w:val="4"/>
          <w:numId w:val="16"/>
        </w:numPr>
        <w:rPr>
          <w:rFonts w:ascii="Times New Roman" w:eastAsia="Times New Roman" w:hAnsi="Times New Roman" w:cs="Times New Roman"/>
          <w:sz w:val="20"/>
          <w:szCs w:val="20"/>
        </w:rPr>
      </w:pPr>
      <w:r>
        <w:rPr>
          <w:rFonts w:ascii="Times New Roman" w:eastAsia="Times New Roman" w:hAnsi="Times New Roman" w:cs="Times New Roman"/>
          <w:i/>
          <w:sz w:val="20"/>
          <w:szCs w:val="20"/>
        </w:rPr>
        <w:t>Parens patriae</w:t>
      </w:r>
      <w:r>
        <w:rPr>
          <w:rFonts w:ascii="Times New Roman" w:eastAsia="Times New Roman" w:hAnsi="Times New Roman" w:cs="Times New Roman"/>
          <w:sz w:val="20"/>
          <w:szCs w:val="20"/>
        </w:rPr>
        <w:t xml:space="preserve"> may or may not be an extra requirement (cases are mixed)</w:t>
      </w:r>
    </w:p>
    <w:p w:rsidR="00FE188E" w:rsidRDefault="0004364F">
      <w:pPr>
        <w:numPr>
          <w:ilvl w:val="1"/>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Post-</w:t>
      </w:r>
      <w:r>
        <w:rPr>
          <w:rFonts w:ascii="Times New Roman" w:eastAsia="Times New Roman" w:hAnsi="Times New Roman" w:cs="Times New Roman"/>
          <w:i/>
          <w:sz w:val="20"/>
          <w:szCs w:val="20"/>
        </w:rPr>
        <w:t xml:space="preserve">Massachusetts </w:t>
      </w:r>
      <w:r>
        <w:rPr>
          <w:rFonts w:ascii="Times New Roman" w:eastAsia="Times New Roman" w:hAnsi="Times New Roman" w:cs="Times New Roman"/>
          <w:sz w:val="20"/>
          <w:szCs w:val="20"/>
        </w:rPr>
        <w:t>Standing Analysis</w:t>
      </w:r>
    </w:p>
    <w:p w:rsidR="00FE188E" w:rsidRDefault="0004364F">
      <w:pPr>
        <w:numPr>
          <w:ilvl w:val="2"/>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Questions created by </w:t>
      </w:r>
      <w:r>
        <w:rPr>
          <w:rFonts w:ascii="Times New Roman" w:eastAsia="Times New Roman" w:hAnsi="Times New Roman" w:cs="Times New Roman"/>
          <w:i/>
          <w:sz w:val="20"/>
          <w:szCs w:val="20"/>
        </w:rPr>
        <w:t>Massachusetts v. EPA</w:t>
      </w:r>
      <w:r>
        <w:rPr>
          <w:rFonts w:ascii="Times New Roman" w:eastAsia="Times New Roman" w:hAnsi="Times New Roman" w:cs="Times New Roman"/>
          <w:sz w:val="20"/>
          <w:szCs w:val="20"/>
        </w:rPr>
        <w:t xml:space="preserve"> </w:t>
      </w:r>
    </w:p>
    <w:p w:rsidR="00FE188E" w:rsidRDefault="0004364F">
      <w:pPr>
        <w:numPr>
          <w:ilvl w:val="3"/>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How does </w:t>
      </w:r>
      <w:r>
        <w:rPr>
          <w:rFonts w:ascii="Times New Roman" w:eastAsia="Times New Roman" w:hAnsi="Times New Roman" w:cs="Times New Roman"/>
          <w:i/>
          <w:sz w:val="20"/>
          <w:szCs w:val="20"/>
        </w:rPr>
        <w:t xml:space="preserve">parens patriae </w:t>
      </w:r>
      <w:r>
        <w:rPr>
          <w:rFonts w:ascii="Times New Roman" w:eastAsia="Times New Roman" w:hAnsi="Times New Roman" w:cs="Times New Roman"/>
          <w:sz w:val="20"/>
          <w:szCs w:val="20"/>
        </w:rPr>
        <w:t>standing differ, if at all, from Art. III standing?</w:t>
      </w:r>
    </w:p>
    <w:p w:rsidR="00FE188E" w:rsidRDefault="0004364F">
      <w:pPr>
        <w:numPr>
          <w:ilvl w:val="3"/>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Does the “special solicitude” language in </w:t>
      </w:r>
      <w:r>
        <w:rPr>
          <w:rFonts w:ascii="Times New Roman" w:eastAsia="Times New Roman" w:hAnsi="Times New Roman" w:cs="Times New Roman"/>
          <w:i/>
          <w:sz w:val="20"/>
          <w:szCs w:val="20"/>
        </w:rPr>
        <w:t>Massachusetts</w:t>
      </w:r>
      <w:r>
        <w:rPr>
          <w:rFonts w:ascii="Times New Roman" w:eastAsia="Times New Roman" w:hAnsi="Times New Roman" w:cs="Times New Roman"/>
          <w:sz w:val="20"/>
          <w:szCs w:val="20"/>
        </w:rPr>
        <w:t xml:space="preserve"> mean that private parties will not have standing?</w:t>
      </w:r>
    </w:p>
    <w:p w:rsidR="00FE188E" w:rsidRDefault="0004364F">
      <w:pPr>
        <w:numPr>
          <w:ilvl w:val="3"/>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Does standing depend on procedural v. substantive rights?</w:t>
      </w:r>
    </w:p>
    <w:p w:rsidR="00FE188E" w:rsidRDefault="0004364F">
      <w:pPr>
        <w:numPr>
          <w:ilvl w:val="3"/>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Will standing depend on the statute/law at issue?</w:t>
      </w:r>
    </w:p>
    <w:p w:rsidR="00FE188E" w:rsidRDefault="0004364F">
      <w:pPr>
        <w:numPr>
          <w:ilvl w:val="3"/>
          <w:numId w:val="16"/>
        </w:numPr>
        <w:rPr>
          <w:rFonts w:ascii="Times New Roman" w:eastAsia="Times New Roman" w:hAnsi="Times New Roman" w:cs="Times New Roman"/>
          <w:sz w:val="20"/>
          <w:szCs w:val="20"/>
        </w:rPr>
      </w:pPr>
      <w:r>
        <w:rPr>
          <w:rFonts w:ascii="Times New Roman" w:eastAsia="Times New Roman" w:hAnsi="Times New Roman" w:cs="Times New Roman"/>
          <w:sz w:val="20"/>
          <w:szCs w:val="20"/>
        </w:rPr>
        <w:t>Will prudential standing limitations apply to climate change?</w:t>
      </w:r>
    </w:p>
    <w:p w:rsidR="00FE188E" w:rsidRDefault="0004364F">
      <w:pPr>
        <w:numPr>
          <w:ilvl w:val="2"/>
          <w:numId w:val="16"/>
        </w:numPr>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Washington Environmental Council v. Bellon</w:t>
      </w:r>
      <w:r>
        <w:rPr>
          <w:rFonts w:ascii="Times New Roman" w:eastAsia="Times New Roman" w:hAnsi="Times New Roman" w:cs="Times New Roman"/>
          <w:sz w:val="20"/>
          <w:szCs w:val="20"/>
          <w:shd w:val="clear" w:color="auto" w:fill="FFF2CC"/>
        </w:rPr>
        <w:t xml:space="preserve"> (9th Cir., 2013)</w:t>
      </w:r>
    </w:p>
    <w:p w:rsidR="00FE188E" w:rsidRDefault="0004364F">
      <w:pPr>
        <w:ind w:left="216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Standing Issues: </w:t>
      </w:r>
      <w:r>
        <w:rPr>
          <w:rFonts w:ascii="Times New Roman" w:eastAsia="Times New Roman" w:hAnsi="Times New Roman" w:cs="Times New Roman"/>
          <w:sz w:val="20"/>
          <w:szCs w:val="20"/>
        </w:rPr>
        <w:t xml:space="preserve">What does </w:t>
      </w:r>
      <w:r>
        <w:rPr>
          <w:rFonts w:ascii="Times New Roman" w:eastAsia="Times New Roman" w:hAnsi="Times New Roman" w:cs="Times New Roman"/>
          <w:i/>
          <w:sz w:val="20"/>
          <w:szCs w:val="20"/>
        </w:rPr>
        <w:t xml:space="preserve">Massachusetts </w:t>
      </w:r>
      <w:r>
        <w:rPr>
          <w:rFonts w:ascii="Times New Roman" w:eastAsia="Times New Roman" w:hAnsi="Times New Roman" w:cs="Times New Roman"/>
          <w:sz w:val="20"/>
          <w:szCs w:val="20"/>
        </w:rPr>
        <w:t>mean for private litigants? Can a private party show standing? (re post-</w:t>
      </w:r>
      <w:r>
        <w:rPr>
          <w:rFonts w:ascii="Times New Roman" w:eastAsia="Times New Roman" w:hAnsi="Times New Roman" w:cs="Times New Roman"/>
          <w:i/>
          <w:sz w:val="20"/>
          <w:szCs w:val="20"/>
        </w:rPr>
        <w:t>Massachusetts</w:t>
      </w:r>
      <w:r>
        <w:rPr>
          <w:rFonts w:ascii="Times New Roman" w:eastAsia="Times New Roman" w:hAnsi="Times New Roman" w:cs="Times New Roman"/>
          <w:sz w:val="20"/>
          <w:szCs w:val="20"/>
        </w:rPr>
        <w:t xml:space="preserve"> questions ^)</w:t>
      </w:r>
    </w:p>
    <w:p w:rsidR="00FE188E" w:rsidRDefault="0004364F">
      <w:pPr>
        <w:ind w:left="2160"/>
        <w:rPr>
          <w:rFonts w:ascii="Times New Roman" w:eastAsia="Times New Roman" w:hAnsi="Times New Roman" w:cs="Times New Roman"/>
          <w:sz w:val="20"/>
          <w:szCs w:val="20"/>
          <w:shd w:val="clear" w:color="auto" w:fill="FFF2CC"/>
        </w:rPr>
      </w:pPr>
      <w:r>
        <w:rPr>
          <w:rFonts w:ascii="Times New Roman" w:eastAsia="Times New Roman" w:hAnsi="Times New Roman" w:cs="Times New Roman"/>
          <w:b/>
          <w:color w:val="FF0000"/>
          <w:sz w:val="20"/>
          <w:szCs w:val="20"/>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The court finds plaintiffs lack standing where they argue that Washington is mandated to establish GHG limitation in SIP. Though the court finds injury adequate as it is not contested, the court finds that the plaintiffs lacked the causation and redressabi</w:t>
      </w:r>
      <w:r>
        <w:rPr>
          <w:rFonts w:ascii="Times New Roman" w:eastAsia="Times New Roman" w:hAnsi="Times New Roman" w:cs="Times New Roman"/>
          <w:sz w:val="20"/>
          <w:szCs w:val="20"/>
        </w:rPr>
        <w:t xml:space="preserve">lity as they are unable to link on-the-ground impacts/injuries (alike Scalia’s dissent in </w:t>
      </w:r>
      <w:r>
        <w:rPr>
          <w:rFonts w:ascii="Times New Roman" w:eastAsia="Times New Roman" w:hAnsi="Times New Roman" w:cs="Times New Roman"/>
          <w:i/>
          <w:sz w:val="20"/>
          <w:szCs w:val="20"/>
        </w:rPr>
        <w:t>Mass v. EPA</w:t>
      </w:r>
      <w:r>
        <w:rPr>
          <w:rFonts w:ascii="Times New Roman" w:eastAsia="Times New Roman" w:hAnsi="Times New Roman" w:cs="Times New Roman"/>
          <w:sz w:val="20"/>
          <w:szCs w:val="20"/>
        </w:rPr>
        <w:t xml:space="preserve">) and that there was no “meaningful contribution” as the emissions at issue in </w:t>
      </w:r>
      <w:r>
        <w:rPr>
          <w:rFonts w:ascii="Times New Roman" w:eastAsia="Times New Roman" w:hAnsi="Times New Roman" w:cs="Times New Roman"/>
          <w:i/>
          <w:sz w:val="20"/>
          <w:szCs w:val="20"/>
        </w:rPr>
        <w:t xml:space="preserve">Mass v. EPA </w:t>
      </w:r>
      <w:r>
        <w:rPr>
          <w:rFonts w:ascii="Times New Roman" w:eastAsia="Times New Roman" w:hAnsi="Times New Roman" w:cs="Times New Roman"/>
          <w:sz w:val="20"/>
          <w:szCs w:val="20"/>
        </w:rPr>
        <w:t>were 6% of global emissions (found “meaningful”), here just 6% i</w:t>
      </w:r>
      <w:r>
        <w:rPr>
          <w:rFonts w:ascii="Times New Roman" w:eastAsia="Times New Roman" w:hAnsi="Times New Roman" w:cs="Times New Roman"/>
          <w:sz w:val="20"/>
          <w:szCs w:val="20"/>
        </w:rPr>
        <w:t>n Washington alone (not even nationally)</w:t>
      </w:r>
    </w:p>
    <w:p w:rsidR="00FE188E" w:rsidRDefault="00FE188E">
      <w:pPr>
        <w:rPr>
          <w:rFonts w:ascii="Times New Roman" w:eastAsia="Times New Roman" w:hAnsi="Times New Roman" w:cs="Times New Roman"/>
          <w:sz w:val="20"/>
          <w:szCs w:val="20"/>
        </w:rPr>
      </w:pPr>
    </w:p>
    <w:p w:rsidR="00FE188E" w:rsidRDefault="0004364F">
      <w:pPr>
        <w:pStyle w:val="Heading2"/>
        <w:spacing w:before="0"/>
        <w:jc w:val="center"/>
        <w:rPr>
          <w:rFonts w:ascii="Times New Roman" w:eastAsia="Times New Roman" w:hAnsi="Times New Roman" w:cs="Times New Roman"/>
          <w:sz w:val="24"/>
          <w:szCs w:val="24"/>
        </w:rPr>
      </w:pPr>
      <w:bookmarkStart w:id="17" w:name="_vnpai92qcn29" w:colFirst="0" w:colLast="0"/>
      <w:bookmarkEnd w:id="17"/>
      <w:r>
        <w:rPr>
          <w:rFonts w:ascii="Times New Roman" w:eastAsia="Times New Roman" w:hAnsi="Times New Roman" w:cs="Times New Roman"/>
          <w:sz w:val="24"/>
          <w:szCs w:val="24"/>
        </w:rPr>
        <w:t>Local and State Efforts and Behavioral Changes</w:t>
      </w:r>
    </w:p>
    <w:p w:rsidR="00FE188E" w:rsidRDefault="0004364F">
      <w:pPr>
        <w:numPr>
          <w:ilvl w:val="0"/>
          <w:numId w:val="1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Reforming the Transportation Infrastructure</w:t>
      </w:r>
    </w:p>
    <w:p w:rsidR="00FE188E" w:rsidRDefault="0004364F">
      <w:pPr>
        <w:numPr>
          <w:ilvl w:val="1"/>
          <w:numId w:val="1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Survey of Policies to Reduce Vehicle Miles Traveled (VMT)</w:t>
      </w:r>
    </w:p>
    <w:p w:rsidR="00FE188E" w:rsidRDefault="0004364F">
      <w:pPr>
        <w:numPr>
          <w:ilvl w:val="0"/>
          <w:numId w:val="1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Local Climate Action Plans</w:t>
      </w:r>
    </w:p>
    <w:p w:rsidR="00FE188E" w:rsidRDefault="00FE188E">
      <w:pPr>
        <w:rPr>
          <w:rFonts w:ascii="Times New Roman" w:eastAsia="Times New Roman" w:hAnsi="Times New Roman" w:cs="Times New Roman"/>
          <w:sz w:val="20"/>
          <w:szCs w:val="20"/>
        </w:rPr>
      </w:pPr>
    </w:p>
    <w:p w:rsidR="00FE188E" w:rsidRDefault="0004364F">
      <w:pPr>
        <w:pStyle w:val="Heading2"/>
        <w:spacing w:before="0"/>
        <w:jc w:val="center"/>
        <w:rPr>
          <w:rFonts w:ascii="Times New Roman" w:eastAsia="Times New Roman" w:hAnsi="Times New Roman" w:cs="Times New Roman"/>
          <w:sz w:val="24"/>
          <w:szCs w:val="24"/>
        </w:rPr>
      </w:pPr>
      <w:bookmarkStart w:id="18" w:name="_cn9qspwem9wi" w:colFirst="0" w:colLast="0"/>
      <w:bookmarkEnd w:id="18"/>
      <w:r>
        <w:rPr>
          <w:rFonts w:ascii="Times New Roman" w:eastAsia="Times New Roman" w:hAnsi="Times New Roman" w:cs="Times New Roman"/>
          <w:sz w:val="24"/>
          <w:szCs w:val="24"/>
        </w:rPr>
        <w:t>Decarbonization in the Anthropocene</w:t>
      </w:r>
    </w:p>
    <w:p w:rsidR="00FE188E" w:rsidRDefault="0004364F">
      <w:pPr>
        <w:numPr>
          <w:ilvl w:val="0"/>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Welcome to the Anthropocene</w:t>
      </w:r>
    </w:p>
    <w:p w:rsidR="00FE188E" w:rsidRDefault="0004364F">
      <w:pPr>
        <w:numPr>
          <w:ilvl w:val="0"/>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How to Achieve a Carbon-Free Future</w:t>
      </w:r>
    </w:p>
    <w:p w:rsidR="00FE188E" w:rsidRDefault="0004364F">
      <w:pPr>
        <w:numPr>
          <w:ilvl w:val="1"/>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Carbon budgeting – to keep temperatures below 2 °C must decarbonize the electricity sector since we’ve already “locked in” all possible emissions increases from existing infrastructure</w:t>
      </w:r>
    </w:p>
    <w:p w:rsidR="00FE188E" w:rsidRDefault="0004364F">
      <w:pPr>
        <w:numPr>
          <w:ilvl w:val="2"/>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Meetin</w:t>
      </w:r>
      <w:r>
        <w:rPr>
          <w:rFonts w:ascii="Times New Roman" w:eastAsia="Times New Roman" w:hAnsi="Times New Roman" w:cs="Times New Roman"/>
          <w:sz w:val="20"/>
          <w:szCs w:val="20"/>
        </w:rPr>
        <w:t>g the carbon budget</w:t>
      </w:r>
    </w:p>
    <w:p w:rsidR="00FE188E" w:rsidRDefault="0004364F">
      <w:pPr>
        <w:numPr>
          <w:ilvl w:val="3"/>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Most significant transformations in consumption result from new products/options (e.g. horse and buggy to car, phone booths/landlines to cellphones, post office to email)</w:t>
      </w:r>
    </w:p>
    <w:p w:rsidR="00FE188E" w:rsidRDefault="0004364F">
      <w:pPr>
        <w:numPr>
          <w:ilvl w:val="1"/>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Danish model</w:t>
      </w:r>
    </w:p>
    <w:p w:rsidR="00FE188E" w:rsidRDefault="0004364F">
      <w:pPr>
        <w:numPr>
          <w:ilvl w:val="2"/>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100% renewable energy by 2050 – includes electri</w:t>
      </w:r>
      <w:r>
        <w:rPr>
          <w:rFonts w:ascii="Times New Roman" w:eastAsia="Times New Roman" w:hAnsi="Times New Roman" w:cs="Times New Roman"/>
          <w:sz w:val="20"/>
          <w:szCs w:val="20"/>
        </w:rPr>
        <w:t>city, heat, and transportation; 100% electricity and heat by 2035</w:t>
      </w:r>
    </w:p>
    <w:p w:rsidR="00FE188E" w:rsidRDefault="0004364F">
      <w:pPr>
        <w:numPr>
          <w:ilvl w:val="3"/>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Renewable electricity – scenario planning focused on wind power (80-90% from wind, has developed extensive offshore wind)</w:t>
      </w:r>
    </w:p>
    <w:p w:rsidR="00FE188E" w:rsidRDefault="0004364F">
      <w:pPr>
        <w:numPr>
          <w:ilvl w:val="3"/>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Heat – district heating with wind-based heat pumps</w:t>
      </w:r>
    </w:p>
    <w:p w:rsidR="00FE188E" w:rsidRDefault="0004364F">
      <w:pPr>
        <w:numPr>
          <w:ilvl w:val="3"/>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Transportation – </w:t>
      </w:r>
      <w:r>
        <w:rPr>
          <w:rFonts w:ascii="Times New Roman" w:eastAsia="Times New Roman" w:hAnsi="Times New Roman" w:cs="Times New Roman"/>
          <w:sz w:val="20"/>
          <w:szCs w:val="20"/>
        </w:rPr>
        <w:t>EVs (personal vehicles, maybe freight), electric rail, fuel cells/other technologies</w:t>
      </w:r>
    </w:p>
    <w:p w:rsidR="00FE188E" w:rsidRDefault="0004364F">
      <w:pPr>
        <w:numPr>
          <w:ilvl w:val="1"/>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The Nordic model for transportation</w:t>
      </w:r>
    </w:p>
    <w:p w:rsidR="00FE188E" w:rsidRDefault="0004364F">
      <w:pPr>
        <w:numPr>
          <w:ilvl w:val="1"/>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Going Carbon-Free with Renewable Sources</w:t>
      </w:r>
    </w:p>
    <w:p w:rsidR="00FE188E" w:rsidRDefault="0004364F">
      <w:pPr>
        <w:numPr>
          <w:ilvl w:val="1"/>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Role of States and Cities</w:t>
      </w:r>
    </w:p>
    <w:p w:rsidR="00FE188E" w:rsidRDefault="0004364F">
      <w:pPr>
        <w:numPr>
          <w:ilvl w:val="2"/>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Cities – more than 70% of GHG emissions; create, and therefore reduce/shift, demand</w:t>
      </w:r>
    </w:p>
    <w:p w:rsidR="00FE188E" w:rsidRDefault="0004364F">
      <w:pPr>
        <w:numPr>
          <w:ilvl w:val="2"/>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States – have police/health/welfare authority over electricity procurement, land use/siting, transportation planning and design, utility regulation</w:t>
      </w:r>
    </w:p>
    <w:p w:rsidR="00FE188E" w:rsidRDefault="0004364F">
      <w:pPr>
        <w:numPr>
          <w:ilvl w:val="1"/>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Key Strategies </w:t>
      </w:r>
    </w:p>
    <w:p w:rsidR="00FE188E" w:rsidRDefault="0004364F">
      <w:pPr>
        <w:numPr>
          <w:ilvl w:val="2"/>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Long-ter</w:t>
      </w:r>
      <w:r>
        <w:rPr>
          <w:rFonts w:ascii="Times New Roman" w:eastAsia="Times New Roman" w:hAnsi="Times New Roman" w:cs="Times New Roman"/>
          <w:sz w:val="20"/>
          <w:szCs w:val="20"/>
        </w:rPr>
        <w:t>m goals/mandates</w:t>
      </w:r>
    </w:p>
    <w:p w:rsidR="00FE188E" w:rsidRDefault="0004364F">
      <w:pPr>
        <w:numPr>
          <w:ilvl w:val="2"/>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Institutions charged with planning/data collection and analysis/smart policy changes and adaptive responses</w:t>
      </w:r>
    </w:p>
    <w:p w:rsidR="00FE188E" w:rsidRDefault="0004364F">
      <w:pPr>
        <w:numPr>
          <w:ilvl w:val="2"/>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Effective communication to public, market participants, policymakers</w:t>
      </w:r>
    </w:p>
    <w:p w:rsidR="00FE188E" w:rsidRDefault="0004364F">
      <w:pPr>
        <w:numPr>
          <w:ilvl w:val="2"/>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Persistence</w:t>
      </w:r>
    </w:p>
    <w:p w:rsidR="00FE188E" w:rsidRDefault="0004364F">
      <w:pPr>
        <w:numPr>
          <w:ilvl w:val="0"/>
          <w:numId w:val="11"/>
        </w:numPr>
        <w:rPr>
          <w:rFonts w:ascii="Times New Roman" w:eastAsia="Times New Roman" w:hAnsi="Times New Roman" w:cs="Times New Roman"/>
          <w:sz w:val="20"/>
          <w:szCs w:val="20"/>
        </w:rPr>
      </w:pPr>
      <w:r>
        <w:rPr>
          <w:rFonts w:ascii="Times New Roman" w:eastAsia="Times New Roman" w:hAnsi="Times New Roman" w:cs="Times New Roman"/>
          <w:sz w:val="20"/>
          <w:szCs w:val="20"/>
        </w:rPr>
        <w:t>Geoengineering – intentional, large-scale manipula</w:t>
      </w:r>
      <w:r>
        <w:rPr>
          <w:rFonts w:ascii="Times New Roman" w:eastAsia="Times New Roman" w:hAnsi="Times New Roman" w:cs="Times New Roman"/>
          <w:sz w:val="20"/>
          <w:szCs w:val="20"/>
        </w:rPr>
        <w:t>tion of the environment to mitigate climate change, e.g. sulfate aerosols, orbiting reflectors, solar orbiting reflectors, ocean fertilization, moving the earth</w:t>
      </w:r>
    </w:p>
    <w:p w:rsidR="00FE188E" w:rsidRDefault="00FE188E">
      <w:pPr>
        <w:rPr>
          <w:rFonts w:ascii="Times New Roman" w:eastAsia="Times New Roman" w:hAnsi="Times New Roman" w:cs="Times New Roman"/>
        </w:rPr>
      </w:pPr>
    </w:p>
    <w:sectPr w:rsidR="00FE188E">
      <w:footerReference w:type="default" r:id="rId11"/>
      <w:pgSz w:w="12240" w:h="15840"/>
      <w:pgMar w:top="720" w:right="1080" w:bottom="720" w:left="108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364F" w:rsidRDefault="0004364F">
      <w:pPr>
        <w:spacing w:line="240" w:lineRule="auto"/>
      </w:pPr>
      <w:r>
        <w:separator/>
      </w:r>
    </w:p>
  </w:endnote>
  <w:endnote w:type="continuationSeparator" w:id="0">
    <w:p w:rsidR="0004364F" w:rsidRDefault="000436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188E" w:rsidRDefault="0004364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sidR="0089263A">
      <w:rPr>
        <w:rFonts w:ascii="Times New Roman" w:eastAsia="Times New Roman" w:hAnsi="Times New Roman" w:cs="Times New Roman"/>
        <w:sz w:val="20"/>
        <w:szCs w:val="20"/>
      </w:rPr>
      <w:fldChar w:fldCharType="separate"/>
    </w:r>
    <w:r w:rsidR="0089263A">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364F" w:rsidRDefault="0004364F">
      <w:pPr>
        <w:spacing w:line="240" w:lineRule="auto"/>
      </w:pPr>
      <w:r>
        <w:separator/>
      </w:r>
    </w:p>
  </w:footnote>
  <w:footnote w:type="continuationSeparator" w:id="0">
    <w:p w:rsidR="0004364F" w:rsidRDefault="000436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7394D"/>
    <w:multiLevelType w:val="multilevel"/>
    <w:tmpl w:val="F536E23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4CA57D7"/>
    <w:multiLevelType w:val="multilevel"/>
    <w:tmpl w:val="194E2578"/>
    <w:lvl w:ilvl="0">
      <w:start w:val="1"/>
      <w:numFmt w:val="upperRoman"/>
      <w:lvlText w:val="%1."/>
      <w:lvlJc w:val="left"/>
      <w:pPr>
        <w:ind w:left="720" w:hanging="360"/>
      </w:pPr>
      <w:rPr>
        <w:u w:val="none"/>
      </w:rPr>
    </w:lvl>
    <w:lvl w:ilvl="1">
      <w:start w:val="1"/>
      <w:numFmt w:val="upp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35F5A27"/>
    <w:multiLevelType w:val="multilevel"/>
    <w:tmpl w:val="C3701D9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A217492"/>
    <w:multiLevelType w:val="multilevel"/>
    <w:tmpl w:val="A6CA1B4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2CF6DD9"/>
    <w:multiLevelType w:val="multilevel"/>
    <w:tmpl w:val="BA1C330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58155F8"/>
    <w:multiLevelType w:val="multilevel"/>
    <w:tmpl w:val="A7785AE6"/>
    <w:lvl w:ilvl="0">
      <w:start w:val="1"/>
      <w:numFmt w:val="upperRoman"/>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i w:val="0"/>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3DB74B9D"/>
    <w:multiLevelType w:val="multilevel"/>
    <w:tmpl w:val="30101A82"/>
    <w:lvl w:ilvl="0">
      <w:start w:val="1"/>
      <w:numFmt w:val="upperRoman"/>
      <w:lvlText w:val="%1."/>
      <w:lvlJc w:val="left"/>
      <w:pPr>
        <w:ind w:left="720" w:hanging="360"/>
      </w:pPr>
      <w:rPr>
        <w:u w:val="none"/>
      </w:rPr>
    </w:lvl>
    <w:lvl w:ilvl="1">
      <w:start w:val="1"/>
      <w:numFmt w:val="upp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492F59E0"/>
    <w:multiLevelType w:val="multilevel"/>
    <w:tmpl w:val="5B0C6AF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A01567F"/>
    <w:multiLevelType w:val="multilevel"/>
    <w:tmpl w:val="1C22844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F4A028D"/>
    <w:multiLevelType w:val="multilevel"/>
    <w:tmpl w:val="160ADE88"/>
    <w:lvl w:ilvl="0">
      <w:start w:val="1"/>
      <w:numFmt w:val="upperRoman"/>
      <w:lvlText w:val="%1."/>
      <w:lvlJc w:val="lef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51254493"/>
    <w:multiLevelType w:val="multilevel"/>
    <w:tmpl w:val="EA14829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16C5C0E"/>
    <w:multiLevelType w:val="multilevel"/>
    <w:tmpl w:val="9D3A4E5E"/>
    <w:lvl w:ilvl="0">
      <w:start w:val="1"/>
      <w:numFmt w:val="upperRoman"/>
      <w:lvlText w:val="%1."/>
      <w:lvlJc w:val="right"/>
      <w:pPr>
        <w:ind w:left="720" w:hanging="360"/>
      </w:pPr>
      <w:rPr>
        <w:u w:val="none"/>
      </w:rPr>
    </w:lvl>
    <w:lvl w:ilvl="1">
      <w:start w:val="1"/>
      <w:numFmt w:val="upperLetter"/>
      <w:lvlText w:val="%2."/>
      <w:lvlJc w:val="left"/>
      <w:pPr>
        <w:ind w:left="1440" w:hanging="360"/>
      </w:pPr>
      <w:rPr>
        <w:i w:val="0"/>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4076262"/>
    <w:multiLevelType w:val="multilevel"/>
    <w:tmpl w:val="3F6EB36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DB11D47"/>
    <w:multiLevelType w:val="multilevel"/>
    <w:tmpl w:val="B066B81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ADB2B94"/>
    <w:multiLevelType w:val="multilevel"/>
    <w:tmpl w:val="31DE602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i w:val="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9673E1E"/>
    <w:multiLevelType w:val="multilevel"/>
    <w:tmpl w:val="B1209F8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5"/>
  </w:num>
  <w:num w:numId="3">
    <w:abstractNumId w:val="8"/>
  </w:num>
  <w:num w:numId="4">
    <w:abstractNumId w:val="10"/>
  </w:num>
  <w:num w:numId="5">
    <w:abstractNumId w:val="3"/>
  </w:num>
  <w:num w:numId="6">
    <w:abstractNumId w:val="15"/>
  </w:num>
  <w:num w:numId="7">
    <w:abstractNumId w:val="1"/>
  </w:num>
  <w:num w:numId="8">
    <w:abstractNumId w:val="13"/>
  </w:num>
  <w:num w:numId="9">
    <w:abstractNumId w:val="9"/>
  </w:num>
  <w:num w:numId="10">
    <w:abstractNumId w:val="12"/>
  </w:num>
  <w:num w:numId="11">
    <w:abstractNumId w:val="2"/>
  </w:num>
  <w:num w:numId="12">
    <w:abstractNumId w:val="7"/>
  </w:num>
  <w:num w:numId="13">
    <w:abstractNumId w:val="4"/>
  </w:num>
  <w:num w:numId="14">
    <w:abstractNumId w:val="14"/>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E188E"/>
    <w:rsid w:val="0004364F"/>
    <w:rsid w:val="0089263A"/>
    <w:rsid w:val="00FE1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C93F405"/>
  <w15:docId w15:val="{01B5FBCB-5EDC-544F-A450-AEFC260E8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15899</Words>
  <Characters>90630</Characters>
  <Application>Microsoft Office Word</Application>
  <DocSecurity>0</DocSecurity>
  <Lines>755</Lines>
  <Paragraphs>212</Paragraphs>
  <ScaleCrop>false</ScaleCrop>
  <Company/>
  <LinksUpToDate>false</LinksUpToDate>
  <CharactersWithSpaces>106317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Martin</cp:lastModifiedBy>
  <cp:revision>2</cp:revision>
  <dcterms:created xsi:type="dcterms:W3CDTF">2018-04-10T18:28:00Z</dcterms:created>
  <dcterms:modified xsi:type="dcterms:W3CDTF">2018-04-10T18:29:00Z</dcterms:modified>
</cp:coreProperties>
</file>