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D95" w:rsidRDefault="006F495B">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Property Outline</w:t>
      </w:r>
    </w:p>
    <w:p w:rsidR="006F495B" w:rsidRDefault="006F495B">
      <w:pPr>
        <w:spacing w:line="240" w:lineRule="auto"/>
        <w:jc w:val="center"/>
        <w:rPr>
          <w:rFonts w:ascii="Times New Roman" w:eastAsia="Times New Roman" w:hAnsi="Times New Roman" w:cs="Times New Roman"/>
          <w:sz w:val="16"/>
          <w:szCs w:val="16"/>
        </w:rPr>
      </w:pPr>
    </w:p>
    <w:p w:rsidR="00E46D95" w:rsidRDefault="006F495B">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Spring 2016</w:t>
      </w:r>
    </w:p>
    <w:p w:rsidR="00E46D95" w:rsidRDefault="00E46D95">
      <w:pPr>
        <w:rPr>
          <w:rFonts w:ascii="Times New Roman" w:eastAsia="Times New Roman" w:hAnsi="Times New Roman" w:cs="Times New Roman"/>
          <w:sz w:val="16"/>
          <w:szCs w:val="16"/>
        </w:rPr>
      </w:pPr>
    </w:p>
    <w:p w:rsidR="00E46D95" w:rsidRDefault="006F495B">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 The Concept of Property</w:t>
      </w:r>
    </w:p>
    <w:p w:rsidR="00E46D95" w:rsidRDefault="006F495B">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Why Recognize Property?</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Pierson v. Post </w:t>
      </w:r>
      <w:r>
        <w:rPr>
          <w:rFonts w:ascii="Times New Roman" w:eastAsia="Times New Roman" w:hAnsi="Times New Roman" w:cs="Times New Roman"/>
          <w:color w:val="FF0000"/>
          <w:sz w:val="20"/>
          <w:szCs w:val="20"/>
        </w:rPr>
        <w:t xml:space="preserve">(Supreme Court of New York, 1805) </w:t>
      </w:r>
      <w:r>
        <w:rPr>
          <w:rFonts w:ascii="Times New Roman" w:eastAsia="Times New Roman" w:hAnsi="Times New Roman" w:cs="Times New Roman"/>
          <w:sz w:val="20"/>
          <w:szCs w:val="20"/>
        </w:rPr>
        <w:t>()</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White v. Samsung Electronics America, Inc.</w:t>
      </w:r>
      <w:r>
        <w:rPr>
          <w:rFonts w:ascii="Times New Roman" w:eastAsia="Times New Roman" w:hAnsi="Times New Roman" w:cs="Times New Roman"/>
          <w:color w:val="FF0000"/>
          <w:sz w:val="20"/>
          <w:szCs w:val="20"/>
        </w:rPr>
        <w:t xml:space="preserve"> (United States Court of Appeals, Ninth Circuit, 1992) </w:t>
      </w:r>
      <w:r>
        <w:rPr>
          <w:rFonts w:ascii="Times New Roman" w:eastAsia="Times New Roman" w:hAnsi="Times New Roman" w:cs="Times New Roman"/>
          <w:sz w:val="20"/>
          <w:szCs w:val="20"/>
        </w:rPr>
        <w:t>()</w:t>
      </w:r>
    </w:p>
    <w:p w:rsidR="00E46D95" w:rsidRDefault="006F495B">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Rights to Transfer</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Johnson v. M’Intosh</w:t>
      </w:r>
      <w:r>
        <w:rPr>
          <w:rFonts w:ascii="Times New Roman" w:eastAsia="Times New Roman" w:hAnsi="Times New Roman" w:cs="Times New Roman"/>
          <w:color w:val="FF0000"/>
          <w:sz w:val="20"/>
          <w:szCs w:val="20"/>
        </w:rPr>
        <w:t xml:space="preserve"> (SCOTUS, 1823) </w:t>
      </w:r>
      <w:r>
        <w:rPr>
          <w:rFonts w:ascii="Times New Roman" w:eastAsia="Times New Roman" w:hAnsi="Times New Roman" w:cs="Times New Roman"/>
          <w:sz w:val="20"/>
          <w:szCs w:val="20"/>
        </w:rPr>
        <w:t>()</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Moore v. Regents of the University of California</w:t>
      </w:r>
      <w:r>
        <w:rPr>
          <w:rFonts w:ascii="Times New Roman" w:eastAsia="Times New Roman" w:hAnsi="Times New Roman" w:cs="Times New Roman"/>
          <w:color w:val="FF0000"/>
          <w:sz w:val="20"/>
          <w:szCs w:val="20"/>
        </w:rPr>
        <w:t xml:space="preserve"> (Supreme Court of California, 1990) </w:t>
      </w:r>
      <w:r>
        <w:rPr>
          <w:rFonts w:ascii="Times New Roman" w:eastAsia="Times New Roman" w:hAnsi="Times New Roman" w:cs="Times New Roman"/>
          <w:sz w:val="20"/>
          <w:szCs w:val="20"/>
        </w:rPr>
        <w:t>()</w:t>
      </w:r>
    </w:p>
    <w:p w:rsidR="00E46D95" w:rsidRDefault="006F495B">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Rights to Exclude</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Jacque v. Steenberg Homes, Inc.</w:t>
      </w:r>
      <w:r>
        <w:rPr>
          <w:rFonts w:ascii="Times New Roman" w:eastAsia="Times New Roman" w:hAnsi="Times New Roman" w:cs="Times New Roman"/>
          <w:color w:val="FF0000"/>
          <w:sz w:val="20"/>
          <w:szCs w:val="20"/>
        </w:rPr>
        <w:t xml:space="preserve"> (Supreme Court of Wisconsin, 1997) </w:t>
      </w:r>
      <w:r>
        <w:rPr>
          <w:rFonts w:ascii="Times New Roman" w:eastAsia="Times New Roman" w:hAnsi="Times New Roman" w:cs="Times New Roman"/>
          <w:sz w:val="20"/>
          <w:szCs w:val="20"/>
        </w:rPr>
        <w:t>()</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State v. Shack</w:t>
      </w:r>
      <w:r>
        <w:rPr>
          <w:rFonts w:ascii="Times New Roman" w:eastAsia="Times New Roman" w:hAnsi="Times New Roman" w:cs="Times New Roman"/>
          <w:color w:val="FF0000"/>
          <w:sz w:val="20"/>
          <w:szCs w:val="20"/>
        </w:rPr>
        <w:t xml:space="preserve"> (Supreme Court of New Jersey, 1971) </w:t>
      </w:r>
      <w:r>
        <w:rPr>
          <w:rFonts w:ascii="Times New Roman" w:eastAsia="Times New Roman" w:hAnsi="Times New Roman" w:cs="Times New Roman"/>
          <w:sz w:val="20"/>
          <w:szCs w:val="20"/>
        </w:rPr>
        <w:t>()</w:t>
      </w:r>
    </w:p>
    <w:p w:rsidR="00E46D95" w:rsidRDefault="006F495B">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Rights to Use</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Sundowner, Inc. v. King</w:t>
      </w:r>
      <w:r>
        <w:rPr>
          <w:rFonts w:ascii="Times New Roman" w:eastAsia="Times New Roman" w:hAnsi="Times New Roman" w:cs="Times New Roman"/>
          <w:color w:val="FF0000"/>
          <w:sz w:val="20"/>
          <w:szCs w:val="20"/>
        </w:rPr>
        <w:t xml:space="preserve"> (Supreme Court of Idaho, 1973) </w:t>
      </w:r>
      <w:r>
        <w:rPr>
          <w:rFonts w:ascii="Times New Roman" w:eastAsia="Times New Roman" w:hAnsi="Times New Roman" w:cs="Times New Roman"/>
          <w:sz w:val="20"/>
          <w:szCs w:val="20"/>
        </w:rPr>
        <w:t>()</w:t>
      </w:r>
    </w:p>
    <w:p w:rsidR="00E46D95" w:rsidRDefault="006F495B">
      <w:pPr>
        <w:numPr>
          <w:ilvl w:val="1"/>
          <w:numId w:val="18"/>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Prah v. Maretti </w:t>
      </w:r>
      <w:r>
        <w:rPr>
          <w:rFonts w:ascii="Times New Roman" w:eastAsia="Times New Roman" w:hAnsi="Times New Roman" w:cs="Times New Roman"/>
          <w:color w:val="FF0000"/>
          <w:sz w:val="20"/>
          <w:szCs w:val="20"/>
        </w:rPr>
        <w:t xml:space="preserve">(Supreme Court of Wisconsin, 1982) </w:t>
      </w:r>
      <w:r>
        <w:rPr>
          <w:rFonts w:ascii="Times New Roman" w:eastAsia="Times New Roman" w:hAnsi="Times New Roman" w:cs="Times New Roman"/>
          <w:sz w:val="20"/>
          <w:szCs w:val="20"/>
        </w:rPr>
        <w:t>()</w:t>
      </w:r>
    </w:p>
    <w:p w:rsidR="00E46D95" w:rsidRDefault="006F495B">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Rights to Destroy</w:t>
      </w:r>
    </w:p>
    <w:p w:rsidR="00E46D95" w:rsidRDefault="006F495B">
      <w:pPr>
        <w:numPr>
          <w:ilvl w:val="1"/>
          <w:numId w:val="1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Eyerman v. Mercanti</w:t>
      </w:r>
      <w:r>
        <w:rPr>
          <w:rFonts w:ascii="Times New Roman" w:eastAsia="Times New Roman" w:hAnsi="Times New Roman" w:cs="Times New Roman"/>
          <w:i/>
          <w:color w:val="FF0000"/>
          <w:sz w:val="20"/>
          <w:szCs w:val="20"/>
        </w:rPr>
        <w:t xml:space="preserve">le Trust Co. </w:t>
      </w:r>
      <w:r>
        <w:rPr>
          <w:rFonts w:ascii="Times New Roman" w:eastAsia="Times New Roman" w:hAnsi="Times New Roman" w:cs="Times New Roman"/>
          <w:color w:val="FF0000"/>
          <w:sz w:val="20"/>
          <w:szCs w:val="20"/>
        </w:rPr>
        <w:t xml:space="preserve">(Court of Appeals of Missouri, 1975) </w:t>
      </w:r>
      <w:r>
        <w:rPr>
          <w:rFonts w:ascii="Times New Roman" w:eastAsia="Times New Roman" w:hAnsi="Times New Roman" w:cs="Times New Roman"/>
          <w:sz w:val="20"/>
          <w:szCs w:val="20"/>
        </w:rPr>
        <w:t>()</w:t>
      </w:r>
    </w:p>
    <w:p w:rsidR="00E46D95" w:rsidRDefault="00E46D95">
      <w:pPr>
        <w:jc w:val="center"/>
        <w:rPr>
          <w:rFonts w:ascii="Times New Roman" w:eastAsia="Times New Roman" w:hAnsi="Times New Roman" w:cs="Times New Roman"/>
          <w:sz w:val="24"/>
          <w:szCs w:val="24"/>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 Owning Real Property</w:t>
      </w:r>
    </w:p>
    <w:p w:rsidR="00E46D95" w:rsidRDefault="006F495B">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Adverse Possession </w:t>
      </w:r>
    </w:p>
    <w:p w:rsidR="00E46D95" w:rsidRDefault="006F495B">
      <w:pPr>
        <w:numPr>
          <w:ilvl w:val="1"/>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Gurwit v. Kannatzer</w:t>
      </w:r>
      <w:r>
        <w:rPr>
          <w:rFonts w:ascii="Times New Roman" w:eastAsia="Times New Roman" w:hAnsi="Times New Roman" w:cs="Times New Roman"/>
          <w:color w:val="FF0000"/>
          <w:sz w:val="20"/>
          <w:szCs w:val="20"/>
        </w:rPr>
        <w:t xml:space="preserve"> (Court of Appeals of Missouri, 1990) </w:t>
      </w:r>
      <w:r>
        <w:rPr>
          <w:rFonts w:ascii="Times New Roman" w:eastAsia="Times New Roman" w:hAnsi="Times New Roman" w:cs="Times New Roman"/>
          <w:sz w:val="20"/>
          <w:szCs w:val="20"/>
        </w:rPr>
        <w:t>()</w:t>
      </w:r>
    </w:p>
    <w:p w:rsidR="00E46D95" w:rsidRDefault="006F495B">
      <w:pPr>
        <w:numPr>
          <w:ilvl w:val="1"/>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Van Valkenburgh v. Lutz</w:t>
      </w:r>
      <w:r>
        <w:rPr>
          <w:rFonts w:ascii="Times New Roman" w:eastAsia="Times New Roman" w:hAnsi="Times New Roman" w:cs="Times New Roman"/>
          <w:color w:val="FF0000"/>
          <w:sz w:val="20"/>
          <w:szCs w:val="20"/>
        </w:rPr>
        <w:t xml:space="preserve"> (Court of Appeals of New York, 1952) </w:t>
      </w:r>
      <w:r>
        <w:rPr>
          <w:rFonts w:ascii="Times New Roman" w:eastAsia="Times New Roman" w:hAnsi="Times New Roman" w:cs="Times New Roman"/>
          <w:sz w:val="20"/>
          <w:szCs w:val="20"/>
        </w:rPr>
        <w:t>()</w:t>
      </w:r>
    </w:p>
    <w:p w:rsidR="00E46D95" w:rsidRDefault="006F495B">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Adverse Possessor’s State of Mind</w:t>
      </w:r>
    </w:p>
    <w:p w:rsidR="00E46D95" w:rsidRDefault="006F495B">
      <w:pPr>
        <w:numPr>
          <w:ilvl w:val="2"/>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Fulkerson v. Van Buren</w:t>
      </w:r>
      <w:r>
        <w:rPr>
          <w:rFonts w:ascii="Times New Roman" w:eastAsia="Times New Roman" w:hAnsi="Times New Roman" w:cs="Times New Roman"/>
          <w:color w:val="FF0000"/>
          <w:sz w:val="20"/>
          <w:szCs w:val="20"/>
        </w:rPr>
        <w:t xml:space="preserve"> (Court of Appeals of Arkansas, 1998) </w:t>
      </w:r>
      <w:r>
        <w:rPr>
          <w:rFonts w:ascii="Times New Roman" w:eastAsia="Times New Roman" w:hAnsi="Times New Roman" w:cs="Times New Roman"/>
          <w:sz w:val="20"/>
          <w:szCs w:val="20"/>
        </w:rPr>
        <w:t>()</w:t>
      </w:r>
    </w:p>
    <w:p w:rsidR="00E46D95" w:rsidRDefault="006F495B">
      <w:pPr>
        <w:numPr>
          <w:ilvl w:val="2"/>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Tioga Coal Co. v. Supermarkets General Corp.</w:t>
      </w:r>
      <w:r>
        <w:rPr>
          <w:rFonts w:ascii="Times New Roman" w:eastAsia="Times New Roman" w:hAnsi="Times New Roman" w:cs="Times New Roman"/>
          <w:color w:val="FF0000"/>
          <w:sz w:val="20"/>
          <w:szCs w:val="20"/>
        </w:rPr>
        <w:t xml:space="preserve"> (Supreme Court of Pennsylvania, 1988) </w:t>
      </w:r>
      <w:r>
        <w:rPr>
          <w:rFonts w:ascii="Times New Roman" w:eastAsia="Times New Roman" w:hAnsi="Times New Roman" w:cs="Times New Roman"/>
          <w:sz w:val="20"/>
          <w:szCs w:val="20"/>
        </w:rPr>
        <w:t>()</w:t>
      </w:r>
    </w:p>
    <w:p w:rsidR="00E46D95" w:rsidRDefault="006F495B">
      <w:pPr>
        <w:numPr>
          <w:ilvl w:val="2"/>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Howard v. Kunto</w:t>
      </w:r>
      <w:r>
        <w:rPr>
          <w:rFonts w:ascii="Times New Roman" w:eastAsia="Times New Roman" w:hAnsi="Times New Roman" w:cs="Times New Roman"/>
          <w:color w:val="FF0000"/>
          <w:sz w:val="20"/>
          <w:szCs w:val="20"/>
        </w:rPr>
        <w:t xml:space="preserve"> (Court of Appeals of Washington, 1970) </w:t>
      </w:r>
      <w:r>
        <w:rPr>
          <w:rFonts w:ascii="Times New Roman" w:eastAsia="Times New Roman" w:hAnsi="Times New Roman" w:cs="Times New Roman"/>
          <w:sz w:val="20"/>
          <w:szCs w:val="20"/>
        </w:rPr>
        <w:t>()</w:t>
      </w:r>
    </w:p>
    <w:p w:rsidR="00E46D95" w:rsidRDefault="006F495B">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Vertical Ownership</w:t>
      </w:r>
    </w:p>
    <w:p w:rsidR="00E46D95" w:rsidRDefault="006F495B">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Airspace Rights</w:t>
      </w:r>
    </w:p>
    <w:p w:rsidR="00E46D95" w:rsidRDefault="006F495B">
      <w:pPr>
        <w:numPr>
          <w:ilvl w:val="2"/>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United States v. Causby</w:t>
      </w:r>
      <w:r>
        <w:rPr>
          <w:rFonts w:ascii="Times New Roman" w:eastAsia="Times New Roman" w:hAnsi="Times New Roman" w:cs="Times New Roman"/>
          <w:color w:val="FF0000"/>
          <w:sz w:val="20"/>
          <w:szCs w:val="20"/>
        </w:rPr>
        <w:t xml:space="preserve"> (Supreme Court of the United States, 1946) </w:t>
      </w:r>
      <w:r>
        <w:rPr>
          <w:rFonts w:ascii="Times New Roman" w:eastAsia="Times New Roman" w:hAnsi="Times New Roman" w:cs="Times New Roman"/>
          <w:sz w:val="20"/>
          <w:szCs w:val="20"/>
        </w:rPr>
        <w:t>()</w:t>
      </w:r>
    </w:p>
    <w:p w:rsidR="00E46D95" w:rsidRDefault="006F495B">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Subsurface Rights</w:t>
      </w:r>
    </w:p>
    <w:p w:rsidR="00E46D95" w:rsidRDefault="006F495B">
      <w:pPr>
        <w:numPr>
          <w:ilvl w:val="2"/>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Chance v. BP Chemicals, Inc. </w:t>
      </w:r>
      <w:r>
        <w:rPr>
          <w:rFonts w:ascii="Times New Roman" w:eastAsia="Times New Roman" w:hAnsi="Times New Roman" w:cs="Times New Roman"/>
          <w:color w:val="FF0000"/>
          <w:sz w:val="20"/>
          <w:szCs w:val="20"/>
        </w:rPr>
        <w:t xml:space="preserve">(Supreme Court of Ohio, 1996) </w:t>
      </w:r>
      <w:r>
        <w:rPr>
          <w:rFonts w:ascii="Times New Roman" w:eastAsia="Times New Roman" w:hAnsi="Times New Roman" w:cs="Times New Roman"/>
          <w:sz w:val="20"/>
          <w:szCs w:val="20"/>
        </w:rPr>
        <w:t>()</w:t>
      </w:r>
    </w:p>
    <w:p w:rsidR="00E46D95" w:rsidRDefault="006F495B">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Water Law</w:t>
      </w:r>
    </w:p>
    <w:p w:rsidR="00E46D95" w:rsidRDefault="006F495B">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Surface Water</w:t>
      </w:r>
    </w:p>
    <w:p w:rsidR="00E46D95" w:rsidRDefault="006F495B">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Ground Water</w:t>
      </w:r>
    </w:p>
    <w:p w:rsidR="00E46D95" w:rsidRDefault="006F495B">
      <w:pPr>
        <w:numPr>
          <w:ilvl w:val="3"/>
          <w:numId w:val="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Sipriano v. Great Spring Water of </w:t>
      </w:r>
      <w:r>
        <w:rPr>
          <w:rFonts w:ascii="Times New Roman" w:eastAsia="Times New Roman" w:hAnsi="Times New Roman" w:cs="Times New Roman"/>
          <w:i/>
          <w:color w:val="FF0000"/>
          <w:sz w:val="20"/>
          <w:szCs w:val="20"/>
        </w:rPr>
        <w:t xml:space="preserve">America, Inc. </w:t>
      </w:r>
      <w:r>
        <w:rPr>
          <w:rFonts w:ascii="Times New Roman" w:eastAsia="Times New Roman" w:hAnsi="Times New Roman" w:cs="Times New Roman"/>
          <w:color w:val="FF0000"/>
          <w:sz w:val="20"/>
          <w:szCs w:val="20"/>
        </w:rPr>
        <w:t xml:space="preserve">(Supreme Court of Texas, 1999)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Owning Personal Property</w:t>
      </w:r>
    </w:p>
    <w:p w:rsidR="00E46D95" w:rsidRDefault="006F495B">
      <w:pPr>
        <w:numPr>
          <w:ilvl w:val="0"/>
          <w:numId w:val="1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of Capture </w:t>
      </w:r>
    </w:p>
    <w:p w:rsidR="00E46D95" w:rsidRDefault="006F495B">
      <w:pPr>
        <w:numPr>
          <w:ilvl w:val="1"/>
          <w:numId w:val="1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State v. Shaw </w:t>
      </w:r>
      <w:r>
        <w:rPr>
          <w:rFonts w:ascii="Times New Roman" w:eastAsia="Times New Roman" w:hAnsi="Times New Roman" w:cs="Times New Roman"/>
          <w:color w:val="FF0000"/>
          <w:sz w:val="20"/>
          <w:szCs w:val="20"/>
        </w:rPr>
        <w:t xml:space="preserve">(Supreme Court of Ohio, 1902) </w:t>
      </w:r>
      <w:r>
        <w:rPr>
          <w:rFonts w:ascii="Times New Roman" w:eastAsia="Times New Roman" w:hAnsi="Times New Roman" w:cs="Times New Roman"/>
          <w:sz w:val="20"/>
          <w:szCs w:val="20"/>
        </w:rPr>
        <w:t>()</w:t>
      </w:r>
    </w:p>
    <w:p w:rsidR="00E46D95" w:rsidRDefault="006F495B">
      <w:pPr>
        <w:numPr>
          <w:ilvl w:val="1"/>
          <w:numId w:val="1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Popov v. Hayashi</w:t>
      </w:r>
      <w:r>
        <w:rPr>
          <w:rFonts w:ascii="Times New Roman" w:eastAsia="Times New Roman" w:hAnsi="Times New Roman" w:cs="Times New Roman"/>
          <w:color w:val="FF0000"/>
          <w:sz w:val="20"/>
          <w:szCs w:val="20"/>
        </w:rPr>
        <w:t xml:space="preserve"> (Superior Court of California, County of San Francisco, 2002) </w:t>
      </w:r>
      <w:r>
        <w:rPr>
          <w:rFonts w:ascii="Times New Roman" w:eastAsia="Times New Roman" w:hAnsi="Times New Roman" w:cs="Times New Roman"/>
          <w:sz w:val="20"/>
          <w:szCs w:val="20"/>
        </w:rPr>
        <w:t>()</w:t>
      </w:r>
    </w:p>
    <w:p w:rsidR="00E46D95" w:rsidRDefault="006F495B">
      <w:pPr>
        <w:numPr>
          <w:ilvl w:val="0"/>
          <w:numId w:val="1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Western Water Law</w:t>
      </w:r>
    </w:p>
    <w:p w:rsidR="00E46D95" w:rsidRDefault="006F495B">
      <w:pPr>
        <w:numPr>
          <w:ilvl w:val="1"/>
          <w:numId w:val="1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Coffin </w:t>
      </w:r>
      <w:r>
        <w:rPr>
          <w:rFonts w:ascii="Times New Roman" w:eastAsia="Times New Roman" w:hAnsi="Times New Roman" w:cs="Times New Roman"/>
          <w:i/>
          <w:color w:val="FF0000"/>
          <w:sz w:val="20"/>
          <w:szCs w:val="20"/>
        </w:rPr>
        <w:t xml:space="preserve">v. Left Hand Ditch Co. </w:t>
      </w:r>
      <w:r>
        <w:rPr>
          <w:rFonts w:ascii="Times New Roman" w:eastAsia="Times New Roman" w:hAnsi="Times New Roman" w:cs="Times New Roman"/>
          <w:color w:val="FF0000"/>
          <w:sz w:val="20"/>
          <w:szCs w:val="20"/>
        </w:rPr>
        <w:t xml:space="preserve">(Supreme Court of Colorado, 1882) </w:t>
      </w:r>
      <w:r>
        <w:rPr>
          <w:rFonts w:ascii="Times New Roman" w:eastAsia="Times New Roman" w:hAnsi="Times New Roman" w:cs="Times New Roman"/>
          <w:sz w:val="20"/>
          <w:szCs w:val="20"/>
        </w:rPr>
        <w:t>()</w:t>
      </w:r>
    </w:p>
    <w:p w:rsidR="00E46D95" w:rsidRDefault="006F495B">
      <w:pPr>
        <w:numPr>
          <w:ilvl w:val="1"/>
          <w:numId w:val="1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Winters v. United States</w:t>
      </w:r>
      <w:r>
        <w:rPr>
          <w:rFonts w:ascii="Times New Roman" w:eastAsia="Times New Roman" w:hAnsi="Times New Roman" w:cs="Times New Roman"/>
          <w:color w:val="FF0000"/>
          <w:sz w:val="20"/>
          <w:szCs w:val="20"/>
        </w:rPr>
        <w:t xml:space="preserve"> (SCOTUS, 1908) </w:t>
      </w:r>
      <w:r>
        <w:rPr>
          <w:rFonts w:ascii="Times New Roman" w:eastAsia="Times New Roman" w:hAnsi="Times New Roman" w:cs="Times New Roman"/>
          <w:sz w:val="20"/>
          <w:szCs w:val="20"/>
        </w:rPr>
        <w:t>()</w:t>
      </w:r>
    </w:p>
    <w:p w:rsidR="00E46D95" w:rsidRDefault="006F495B">
      <w:pPr>
        <w:numPr>
          <w:ilvl w:val="1"/>
          <w:numId w:val="1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National Audubon Society v. Superior Court of Alpine County </w:t>
      </w:r>
      <w:r>
        <w:rPr>
          <w:rFonts w:ascii="Times New Roman" w:eastAsia="Times New Roman" w:hAnsi="Times New Roman" w:cs="Times New Roman"/>
          <w:color w:val="FF0000"/>
          <w:sz w:val="20"/>
          <w:szCs w:val="20"/>
        </w:rPr>
        <w:t xml:space="preserve">(Supreme Court of California, 1983)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Estates and Future Interests</w:t>
      </w:r>
    </w:p>
    <w:p w:rsidR="00E46D95" w:rsidRDefault="006F495B">
      <w:pPr>
        <w:numPr>
          <w:ilvl w:val="0"/>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Estates</w:t>
      </w:r>
    </w:p>
    <w:p w:rsidR="00E46D95" w:rsidRDefault="006F495B">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Modern Freehold Estates</w:t>
      </w:r>
    </w:p>
    <w:p w:rsidR="00E46D95" w:rsidRDefault="006F495B">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Absolute</w:t>
      </w:r>
    </w:p>
    <w:p w:rsidR="00E46D95" w:rsidRDefault="006F495B">
      <w:pPr>
        <w:numPr>
          <w:ilvl w:val="3"/>
          <w:numId w:val="1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Cole v. Steinlauf </w:t>
      </w:r>
      <w:r>
        <w:rPr>
          <w:rFonts w:ascii="Times New Roman" w:eastAsia="Times New Roman" w:hAnsi="Times New Roman" w:cs="Times New Roman"/>
          <w:color w:val="FF0000"/>
          <w:sz w:val="20"/>
          <w:szCs w:val="20"/>
        </w:rPr>
        <w:t xml:space="preserve">(Supreme Court of Errors of Connecticut, 1957) </w:t>
      </w:r>
      <w:r>
        <w:rPr>
          <w:rFonts w:ascii="Times New Roman" w:eastAsia="Times New Roman" w:hAnsi="Times New Roman" w:cs="Times New Roman"/>
          <w:sz w:val="20"/>
          <w:szCs w:val="20"/>
        </w:rPr>
        <w:t>()</w:t>
      </w:r>
    </w:p>
    <w:p w:rsidR="00E46D95" w:rsidRDefault="006F495B">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Life Estate</w:t>
      </w:r>
    </w:p>
    <w:p w:rsidR="00E46D95" w:rsidRDefault="006F495B">
      <w:pPr>
        <w:numPr>
          <w:ilvl w:val="3"/>
          <w:numId w:val="1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lastRenderedPageBreak/>
        <w:t>White v. Brown</w:t>
      </w:r>
      <w:r>
        <w:rPr>
          <w:rFonts w:ascii="Times New Roman" w:eastAsia="Times New Roman" w:hAnsi="Times New Roman" w:cs="Times New Roman"/>
          <w:color w:val="FF0000"/>
          <w:sz w:val="20"/>
          <w:szCs w:val="20"/>
        </w:rPr>
        <w:t xml:space="preserve"> (Supreme Court of Tennessee, 1977) </w:t>
      </w:r>
      <w:r>
        <w:rPr>
          <w:rFonts w:ascii="Times New Roman" w:eastAsia="Times New Roman" w:hAnsi="Times New Roman" w:cs="Times New Roman"/>
          <w:sz w:val="20"/>
          <w:szCs w:val="20"/>
        </w:rPr>
        <w:t>()</w:t>
      </w:r>
    </w:p>
    <w:p w:rsidR="00E46D95" w:rsidRDefault="006F495B">
      <w:pPr>
        <w:numPr>
          <w:ilvl w:val="3"/>
          <w:numId w:val="1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Woodrick v. Wood</w:t>
      </w:r>
      <w:r>
        <w:rPr>
          <w:rFonts w:ascii="Times New Roman" w:eastAsia="Times New Roman" w:hAnsi="Times New Roman" w:cs="Times New Roman"/>
          <w:color w:val="FF0000"/>
          <w:sz w:val="20"/>
          <w:szCs w:val="20"/>
        </w:rPr>
        <w:t xml:space="preserve"> (Court of Appeals of Ohio, 1994) </w:t>
      </w:r>
      <w:r>
        <w:rPr>
          <w:rFonts w:ascii="Times New Roman" w:eastAsia="Times New Roman" w:hAnsi="Times New Roman" w:cs="Times New Roman"/>
          <w:sz w:val="20"/>
          <w:szCs w:val="20"/>
        </w:rPr>
        <w:t>()</w:t>
      </w:r>
    </w:p>
    <w:p w:rsidR="00E46D95" w:rsidRDefault="006F495B">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Fee Tail </w:t>
      </w:r>
    </w:p>
    <w:p w:rsidR="00E46D95" w:rsidRDefault="006F495B">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Defeasible Fees</w:t>
      </w:r>
    </w:p>
    <w:p w:rsidR="00E46D95" w:rsidRDefault="006F495B">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Determinable</w:t>
      </w:r>
    </w:p>
    <w:p w:rsidR="00E46D95" w:rsidRDefault="006F495B">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Subject to a Condition Subsequent</w:t>
      </w:r>
    </w:p>
    <w:p w:rsidR="00E46D95" w:rsidRDefault="006F495B">
      <w:pPr>
        <w:numPr>
          <w:ilvl w:val="4"/>
          <w:numId w:val="1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Mahrenholz v. County Board of School Trustees of Lawrence County</w:t>
      </w:r>
      <w:r>
        <w:rPr>
          <w:rFonts w:ascii="Times New Roman" w:eastAsia="Times New Roman" w:hAnsi="Times New Roman" w:cs="Times New Roman"/>
          <w:color w:val="FF0000"/>
          <w:sz w:val="20"/>
          <w:szCs w:val="20"/>
        </w:rPr>
        <w:t xml:space="preserve"> (Appellate Court of Illinois, 1981) </w:t>
      </w:r>
      <w:r>
        <w:rPr>
          <w:rFonts w:ascii="Times New Roman" w:eastAsia="Times New Roman" w:hAnsi="Times New Roman" w:cs="Times New Roman"/>
          <w:sz w:val="20"/>
          <w:szCs w:val="20"/>
        </w:rPr>
        <w:t>()</w:t>
      </w:r>
    </w:p>
    <w:p w:rsidR="00E46D95" w:rsidRDefault="006F495B">
      <w:pPr>
        <w:numPr>
          <w:ilvl w:val="4"/>
          <w:numId w:val="1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Metropolitan Park District v. Unknown Heirs of Rigney</w:t>
      </w:r>
      <w:r>
        <w:rPr>
          <w:rFonts w:ascii="Times New Roman" w:eastAsia="Times New Roman" w:hAnsi="Times New Roman" w:cs="Times New Roman"/>
          <w:color w:val="FF0000"/>
          <w:sz w:val="20"/>
          <w:szCs w:val="20"/>
        </w:rPr>
        <w:t xml:space="preserve"> (Supreme Court of Washington,</w:t>
      </w:r>
      <w:r>
        <w:rPr>
          <w:rFonts w:ascii="Times New Roman" w:eastAsia="Times New Roman" w:hAnsi="Times New Roman" w:cs="Times New Roman"/>
          <w:color w:val="FF0000"/>
          <w:sz w:val="20"/>
          <w:szCs w:val="20"/>
        </w:rPr>
        <w:t xml:space="preserve"> 1965) </w:t>
      </w:r>
      <w:r>
        <w:rPr>
          <w:rFonts w:ascii="Times New Roman" w:eastAsia="Times New Roman" w:hAnsi="Times New Roman" w:cs="Times New Roman"/>
          <w:sz w:val="20"/>
          <w:szCs w:val="20"/>
        </w:rPr>
        <w:t>()</w:t>
      </w:r>
    </w:p>
    <w:p w:rsidR="00E46D95" w:rsidRDefault="006F495B">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Subject to an Executory Limitation</w:t>
      </w:r>
    </w:p>
    <w:p w:rsidR="00E46D95" w:rsidRDefault="006F495B">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Future Interests </w:t>
      </w:r>
    </w:p>
    <w:p w:rsidR="00E46D95" w:rsidRDefault="006F495B">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Against Perpetuities</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6: Concurrent Ownership and Marital Property</w:t>
      </w:r>
    </w:p>
    <w:p w:rsidR="00E46D95" w:rsidRDefault="006F495B">
      <w:pPr>
        <w:numPr>
          <w:ilvl w:val="0"/>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Concurrent Ownership </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James v. Taylor</w:t>
      </w:r>
      <w:r>
        <w:rPr>
          <w:rFonts w:ascii="Times New Roman" w:eastAsia="Times New Roman" w:hAnsi="Times New Roman" w:cs="Times New Roman"/>
          <w:color w:val="FF0000"/>
          <w:sz w:val="20"/>
          <w:szCs w:val="20"/>
        </w:rPr>
        <w:t xml:space="preserve"> (Court of Appeals of Arkansas, 1998)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Tenhet v. Boswell</w:t>
      </w:r>
      <w:r>
        <w:rPr>
          <w:rFonts w:ascii="Times New Roman" w:eastAsia="Times New Roman" w:hAnsi="Times New Roman" w:cs="Times New Roman"/>
          <w:color w:val="FF0000"/>
          <w:sz w:val="20"/>
          <w:szCs w:val="20"/>
        </w:rPr>
        <w:t xml:space="preserve"> (Supreme Court of California, 1976)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Ark Land Co. v. Harper</w:t>
      </w:r>
      <w:r>
        <w:rPr>
          <w:rFonts w:ascii="Times New Roman" w:eastAsia="Times New Roman" w:hAnsi="Times New Roman" w:cs="Times New Roman"/>
          <w:color w:val="FF0000"/>
          <w:sz w:val="20"/>
          <w:szCs w:val="20"/>
        </w:rPr>
        <w:t xml:space="preserve"> (Supreme Court of Appeals of West Virginia, 2004)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Esteves v. Esteves</w:t>
      </w:r>
      <w:r>
        <w:rPr>
          <w:rFonts w:ascii="Times New Roman" w:eastAsia="Times New Roman" w:hAnsi="Times New Roman" w:cs="Times New Roman"/>
          <w:color w:val="FF0000"/>
          <w:sz w:val="20"/>
          <w:szCs w:val="20"/>
        </w:rPr>
        <w:t xml:space="preserve"> (Superior Court of New Jersey, 2001) </w:t>
      </w:r>
      <w:r>
        <w:rPr>
          <w:rFonts w:ascii="Times New Roman" w:eastAsia="Times New Roman" w:hAnsi="Times New Roman" w:cs="Times New Roman"/>
          <w:sz w:val="20"/>
          <w:szCs w:val="20"/>
        </w:rPr>
        <w:t>()</w:t>
      </w:r>
    </w:p>
    <w:p w:rsidR="00E46D95" w:rsidRDefault="006F495B">
      <w:pPr>
        <w:numPr>
          <w:ilvl w:val="0"/>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Marital Property</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Sawada v. Endo</w:t>
      </w:r>
      <w:r>
        <w:rPr>
          <w:rFonts w:ascii="Times New Roman" w:eastAsia="Times New Roman" w:hAnsi="Times New Roman" w:cs="Times New Roman"/>
          <w:color w:val="FF0000"/>
          <w:sz w:val="20"/>
          <w:szCs w:val="20"/>
        </w:rPr>
        <w:t xml:space="preserve"> (Supreme Court of Hawai’i, 1977)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Guy v. Guy</w:t>
      </w:r>
      <w:r>
        <w:rPr>
          <w:rFonts w:ascii="Times New Roman" w:eastAsia="Times New Roman" w:hAnsi="Times New Roman" w:cs="Times New Roman"/>
          <w:color w:val="FF0000"/>
          <w:sz w:val="20"/>
          <w:szCs w:val="20"/>
        </w:rPr>
        <w:t xml:space="preserve"> (Supreme Court of Mississippi, 1999)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In re Estate of Roccamonte</w:t>
      </w:r>
      <w:r>
        <w:rPr>
          <w:rFonts w:ascii="Times New Roman" w:eastAsia="Times New Roman" w:hAnsi="Times New Roman" w:cs="Times New Roman"/>
          <w:color w:val="FF0000"/>
          <w:sz w:val="20"/>
          <w:szCs w:val="20"/>
        </w:rPr>
        <w:t xml:space="preserve"> (Supreme Court of New Jersey, 2002) </w:t>
      </w:r>
      <w:r>
        <w:rPr>
          <w:rFonts w:ascii="Times New Roman" w:eastAsia="Times New Roman" w:hAnsi="Times New Roman" w:cs="Times New Roman"/>
          <w:sz w:val="20"/>
          <w:szCs w:val="20"/>
        </w:rPr>
        <w:t>()</w:t>
      </w:r>
    </w:p>
    <w:p w:rsidR="00E46D95" w:rsidRDefault="006F495B">
      <w:pPr>
        <w:numPr>
          <w:ilvl w:val="1"/>
          <w:numId w:val="1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Varnum v. Brien</w:t>
      </w:r>
      <w:r>
        <w:rPr>
          <w:rFonts w:ascii="Times New Roman" w:eastAsia="Times New Roman" w:hAnsi="Times New Roman" w:cs="Times New Roman"/>
          <w:color w:val="FF0000"/>
          <w:sz w:val="20"/>
          <w:szCs w:val="20"/>
        </w:rPr>
        <w:t xml:space="preserve"> (Supreme Court of Iowa, 2009)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7: Leasing Real Property</w:t>
      </w:r>
    </w:p>
    <w:p w:rsidR="00E46D95" w:rsidRDefault="006F495B">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Landlord/Tenant</w:t>
      </w:r>
    </w:p>
    <w:p w:rsidR="00E46D95" w:rsidRDefault="006F495B">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Leaseholds Generally</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Neithamer v. Brenneman Proper</w:t>
      </w:r>
      <w:r>
        <w:rPr>
          <w:rFonts w:ascii="Times New Roman" w:eastAsia="Times New Roman" w:hAnsi="Times New Roman" w:cs="Times New Roman"/>
          <w:i/>
          <w:color w:val="FF0000"/>
          <w:sz w:val="20"/>
          <w:szCs w:val="20"/>
        </w:rPr>
        <w:t xml:space="preserve">ty Services, Inc. </w:t>
      </w:r>
      <w:r>
        <w:rPr>
          <w:rFonts w:ascii="Times New Roman" w:eastAsia="Times New Roman" w:hAnsi="Times New Roman" w:cs="Times New Roman"/>
          <w:color w:val="FF0000"/>
          <w:sz w:val="20"/>
          <w:szCs w:val="20"/>
        </w:rPr>
        <w:t xml:space="preserve">(United States District Court, District of Columbia, 1999)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Fair Housing Council of San Fernando Valley v. Roommate.com, LLC</w:t>
      </w:r>
      <w:r>
        <w:rPr>
          <w:rFonts w:ascii="Times New Roman" w:eastAsia="Times New Roman" w:hAnsi="Times New Roman" w:cs="Times New Roman"/>
          <w:color w:val="FF0000"/>
          <w:sz w:val="20"/>
          <w:szCs w:val="20"/>
        </w:rPr>
        <w:t xml:space="preserve"> (United States Court of Appeals, Ninth Circuit, 2012)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Kajo Church Square, Inc. v. Walker</w:t>
      </w:r>
      <w:r>
        <w:rPr>
          <w:rFonts w:ascii="Times New Roman" w:eastAsia="Times New Roman" w:hAnsi="Times New Roman" w:cs="Times New Roman"/>
          <w:color w:val="FF0000"/>
          <w:sz w:val="20"/>
          <w:szCs w:val="20"/>
        </w:rPr>
        <w:t xml:space="preserve"> (Court of Appeals of Texas, 2003)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Keydata Corp. v. United States</w:t>
      </w:r>
      <w:r>
        <w:rPr>
          <w:rFonts w:ascii="Times New Roman" w:eastAsia="Times New Roman" w:hAnsi="Times New Roman" w:cs="Times New Roman"/>
          <w:color w:val="FF0000"/>
          <w:sz w:val="20"/>
          <w:szCs w:val="20"/>
        </w:rPr>
        <w:t xml:space="preserve"> (United States Court of Claims, 1974) </w:t>
      </w:r>
      <w:r>
        <w:rPr>
          <w:rFonts w:ascii="Times New Roman" w:eastAsia="Times New Roman" w:hAnsi="Times New Roman" w:cs="Times New Roman"/>
          <w:sz w:val="20"/>
          <w:szCs w:val="20"/>
        </w:rPr>
        <w:t>()</w:t>
      </w:r>
    </w:p>
    <w:p w:rsidR="00E46D95" w:rsidRDefault="006F495B">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Conditions of the Premises and Transfers</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In re Clark </w:t>
      </w:r>
      <w:r>
        <w:rPr>
          <w:rFonts w:ascii="Times New Roman" w:eastAsia="Times New Roman" w:hAnsi="Times New Roman" w:cs="Times New Roman"/>
          <w:color w:val="FF0000"/>
          <w:sz w:val="20"/>
          <w:szCs w:val="20"/>
        </w:rPr>
        <w:t xml:space="preserve">(United States Bankruptcy Court, Eastern District of Pennsylvania, 1989)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Fidelity Mutual L</w:t>
      </w:r>
      <w:r>
        <w:rPr>
          <w:rFonts w:ascii="Times New Roman" w:eastAsia="Times New Roman" w:hAnsi="Times New Roman" w:cs="Times New Roman"/>
          <w:i/>
          <w:color w:val="FF0000"/>
          <w:sz w:val="20"/>
          <w:szCs w:val="20"/>
        </w:rPr>
        <w:t>ife Insurance Co. v. Kaminsky</w:t>
      </w:r>
      <w:r>
        <w:rPr>
          <w:rFonts w:ascii="Times New Roman" w:eastAsia="Times New Roman" w:hAnsi="Times New Roman" w:cs="Times New Roman"/>
          <w:color w:val="FF0000"/>
          <w:sz w:val="20"/>
          <w:szCs w:val="20"/>
        </w:rPr>
        <w:t xml:space="preserve"> (Court of Appeals, 1989)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JMB Properties Urban Co. v. Paolucci </w:t>
      </w:r>
      <w:r>
        <w:rPr>
          <w:rFonts w:ascii="Times New Roman" w:eastAsia="Times New Roman" w:hAnsi="Times New Roman" w:cs="Times New Roman"/>
          <w:color w:val="FF0000"/>
          <w:sz w:val="20"/>
          <w:szCs w:val="20"/>
        </w:rPr>
        <w:t xml:space="preserve">(Appellate Court of Illinois, 1992)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Wade v. Jobe</w:t>
      </w:r>
      <w:r>
        <w:rPr>
          <w:rFonts w:ascii="Times New Roman" w:eastAsia="Times New Roman" w:hAnsi="Times New Roman" w:cs="Times New Roman"/>
          <w:color w:val="FF0000"/>
          <w:sz w:val="20"/>
          <w:szCs w:val="20"/>
        </w:rPr>
        <w:t xml:space="preserve"> (Supreme Court of Utah, 1991)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Teller v. McCoy</w:t>
      </w:r>
      <w:r>
        <w:rPr>
          <w:rFonts w:ascii="Times New Roman" w:eastAsia="Times New Roman" w:hAnsi="Times New Roman" w:cs="Times New Roman"/>
          <w:color w:val="FF0000"/>
          <w:sz w:val="20"/>
          <w:szCs w:val="20"/>
        </w:rPr>
        <w:t xml:space="preserve"> (Supreme Court of West Virginia, 1978)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Ernst v. Conditt</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FF0000"/>
          <w:sz w:val="20"/>
          <w:szCs w:val="20"/>
        </w:rPr>
        <w:t xml:space="preserve">Court of Appeals of Tennessee, 1964)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Kendall v. Ernest Pestana, Inc.</w:t>
      </w:r>
      <w:r>
        <w:rPr>
          <w:rFonts w:ascii="Times New Roman" w:eastAsia="Times New Roman" w:hAnsi="Times New Roman" w:cs="Times New Roman"/>
          <w:color w:val="FF0000"/>
          <w:sz w:val="20"/>
          <w:szCs w:val="20"/>
        </w:rPr>
        <w:t xml:space="preserve"> (Supreme Court of California, 1985) </w:t>
      </w:r>
      <w:r>
        <w:rPr>
          <w:rFonts w:ascii="Times New Roman" w:eastAsia="Times New Roman" w:hAnsi="Times New Roman" w:cs="Times New Roman"/>
          <w:sz w:val="20"/>
          <w:szCs w:val="20"/>
        </w:rPr>
        <w:t>()</w:t>
      </w:r>
    </w:p>
    <w:p w:rsidR="00E46D95" w:rsidRDefault="006F495B">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Termination </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Lindsey v. Normet</w:t>
      </w:r>
      <w:r>
        <w:rPr>
          <w:rFonts w:ascii="Times New Roman" w:eastAsia="Times New Roman" w:hAnsi="Times New Roman" w:cs="Times New Roman"/>
          <w:color w:val="FF0000"/>
          <w:sz w:val="20"/>
          <w:szCs w:val="20"/>
        </w:rPr>
        <w:t xml:space="preserve"> (SCOTUS, 1972)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Sommer v. Kridel</w:t>
      </w:r>
      <w:r>
        <w:rPr>
          <w:rFonts w:ascii="Times New Roman" w:eastAsia="Times New Roman" w:hAnsi="Times New Roman" w:cs="Times New Roman"/>
          <w:color w:val="FF0000"/>
          <w:sz w:val="20"/>
          <w:szCs w:val="20"/>
        </w:rPr>
        <w:t xml:space="preserve"> (Supreme Court of New Jersey, 1977)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Hillview Associates v. Bloomquist </w:t>
      </w:r>
      <w:r>
        <w:rPr>
          <w:rFonts w:ascii="Times New Roman" w:eastAsia="Times New Roman" w:hAnsi="Times New Roman" w:cs="Times New Roman"/>
          <w:color w:val="FF0000"/>
          <w:sz w:val="20"/>
          <w:szCs w:val="20"/>
        </w:rPr>
        <w:t xml:space="preserve">(Supreme Court of Iowa, 1989) </w:t>
      </w:r>
      <w:r>
        <w:rPr>
          <w:rFonts w:ascii="Times New Roman" w:eastAsia="Times New Roman" w:hAnsi="Times New Roman" w:cs="Times New Roman"/>
          <w:sz w:val="20"/>
          <w:szCs w:val="20"/>
        </w:rPr>
        <w:t>()</w:t>
      </w:r>
    </w:p>
    <w:p w:rsidR="00E46D95" w:rsidRDefault="006F495B">
      <w:pPr>
        <w:numPr>
          <w:ilvl w:val="2"/>
          <w:numId w:val="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Berg v. Wiley </w:t>
      </w:r>
      <w:r>
        <w:rPr>
          <w:rFonts w:ascii="Times New Roman" w:eastAsia="Times New Roman" w:hAnsi="Times New Roman" w:cs="Times New Roman"/>
          <w:color w:val="FF0000"/>
          <w:sz w:val="20"/>
          <w:szCs w:val="20"/>
        </w:rPr>
        <w:t xml:space="preserve">(Supreme Court of Minnesota, 1978)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E46D95">
      <w:pPr>
        <w:jc w:val="center"/>
        <w:rPr>
          <w:rFonts w:ascii="Times New Roman" w:eastAsia="Times New Roman" w:hAnsi="Times New Roman" w:cs="Times New Roman"/>
          <w:sz w:val="24"/>
          <w:szCs w:val="24"/>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9: Private Land Use Planning</w:t>
      </w:r>
    </w:p>
    <w:p w:rsidR="00E46D95" w:rsidRDefault="006F495B">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Private Land Use</w:t>
      </w:r>
    </w:p>
    <w:p w:rsidR="00E46D95" w:rsidRDefault="006F495B">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Easements </w:t>
      </w:r>
    </w:p>
    <w:p w:rsidR="00E46D95" w:rsidRDefault="006F495B">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Express Easements</w:t>
      </w:r>
    </w:p>
    <w:p w:rsidR="00E46D95" w:rsidRDefault="006F495B">
      <w:pPr>
        <w:numPr>
          <w:ilvl w:val="3"/>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Millbrook Hunt, Inc. v. Smith </w:t>
      </w:r>
      <w:r>
        <w:rPr>
          <w:rFonts w:ascii="Times New Roman" w:eastAsia="Times New Roman" w:hAnsi="Times New Roman" w:cs="Times New Roman"/>
          <w:color w:val="FF0000"/>
          <w:sz w:val="20"/>
          <w:szCs w:val="20"/>
        </w:rPr>
        <w:t xml:space="preserve">(Supreme Court of New York, Appellate Division, 1998)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Implied Easements for Prior Use</w:t>
      </w:r>
    </w:p>
    <w:p w:rsidR="00E46D95" w:rsidRDefault="006F495B">
      <w:pPr>
        <w:numPr>
          <w:ilvl w:val="3"/>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Van Sandt v. Royster</w:t>
      </w:r>
      <w:r>
        <w:rPr>
          <w:rFonts w:ascii="Times New Roman" w:eastAsia="Times New Roman" w:hAnsi="Times New Roman" w:cs="Times New Roman"/>
          <w:color w:val="FF0000"/>
          <w:sz w:val="20"/>
          <w:szCs w:val="20"/>
        </w:rPr>
        <w:t xml:space="preserve"> (Supreme Court of Kansas, 1938)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Easement by Necessity</w:t>
      </w:r>
    </w:p>
    <w:p w:rsidR="00E46D95" w:rsidRDefault="006F495B">
      <w:pPr>
        <w:numPr>
          <w:ilvl w:val="3"/>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Berge v. State of Vermont</w:t>
      </w:r>
      <w:r>
        <w:rPr>
          <w:rFonts w:ascii="Times New Roman" w:eastAsia="Times New Roman" w:hAnsi="Times New Roman" w:cs="Times New Roman"/>
          <w:color w:val="FF0000"/>
          <w:sz w:val="20"/>
          <w:szCs w:val="20"/>
        </w:rPr>
        <w:t xml:space="preserve"> (Supreme Court of Vermont, 2006)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Prescriptive Easement</w:t>
      </w:r>
    </w:p>
    <w:p w:rsidR="00E46D95" w:rsidRDefault="006F495B">
      <w:pPr>
        <w:numPr>
          <w:ilvl w:val="3"/>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O’Dell v. Stegall</w:t>
      </w:r>
      <w:r>
        <w:rPr>
          <w:rFonts w:ascii="Times New Roman" w:eastAsia="Times New Roman" w:hAnsi="Times New Roman" w:cs="Times New Roman"/>
          <w:color w:val="FF0000"/>
          <w:sz w:val="20"/>
          <w:szCs w:val="20"/>
        </w:rPr>
        <w:t xml:space="preserve"> (Supreme Court of Appeals of West Virginia,</w:t>
      </w:r>
      <w:r>
        <w:rPr>
          <w:rFonts w:ascii="Times New Roman" w:eastAsia="Times New Roman" w:hAnsi="Times New Roman" w:cs="Times New Roman"/>
          <w:color w:val="FF0000"/>
          <w:sz w:val="20"/>
          <w:szCs w:val="20"/>
        </w:rPr>
        <w:t xml:space="preserve"> 2010)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Easement by Estoppel (or Irrevocable License)</w:t>
      </w:r>
    </w:p>
    <w:p w:rsidR="00E46D95" w:rsidRDefault="006F495B">
      <w:pPr>
        <w:numPr>
          <w:ilvl w:val="3"/>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Kienzle v. Myers </w:t>
      </w:r>
      <w:r>
        <w:rPr>
          <w:rFonts w:ascii="Times New Roman" w:eastAsia="Times New Roman" w:hAnsi="Times New Roman" w:cs="Times New Roman"/>
          <w:color w:val="FF0000"/>
          <w:sz w:val="20"/>
          <w:szCs w:val="20"/>
        </w:rPr>
        <w:t xml:space="preserve">(Court of Appeals of Ohio, 2006)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Marcus Cable Associates, L.P. v. Krohn</w:t>
      </w:r>
      <w:r>
        <w:rPr>
          <w:rFonts w:ascii="Times New Roman" w:eastAsia="Times New Roman" w:hAnsi="Times New Roman" w:cs="Times New Roman"/>
          <w:color w:val="FF0000"/>
          <w:sz w:val="20"/>
          <w:szCs w:val="20"/>
        </w:rPr>
        <w:t xml:space="preserve"> (Supreme Court of Texas, 2002)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Preseault v. United States</w:t>
      </w:r>
      <w:r>
        <w:rPr>
          <w:rFonts w:ascii="Times New Roman" w:eastAsia="Times New Roman" w:hAnsi="Times New Roman" w:cs="Times New Roman"/>
          <w:color w:val="FF0000"/>
          <w:sz w:val="20"/>
          <w:szCs w:val="20"/>
        </w:rPr>
        <w:t xml:space="preserve"> (United States Court of Appeals, Federal Circui</w:t>
      </w:r>
      <w:r>
        <w:rPr>
          <w:rFonts w:ascii="Times New Roman" w:eastAsia="Times New Roman" w:hAnsi="Times New Roman" w:cs="Times New Roman"/>
          <w:color w:val="FF0000"/>
          <w:sz w:val="20"/>
          <w:szCs w:val="20"/>
        </w:rPr>
        <w:t xml:space="preserve">t, 1996)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Negative Easements</w:t>
      </w:r>
    </w:p>
    <w:p w:rsidR="00E46D95" w:rsidRDefault="006F495B">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Real Covenants at Law</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Deep Water Brewing, LLC v. Fairway Resources, Ltd. </w:t>
      </w:r>
      <w:r>
        <w:rPr>
          <w:rFonts w:ascii="Times New Roman" w:eastAsia="Times New Roman" w:hAnsi="Times New Roman" w:cs="Times New Roman"/>
          <w:color w:val="FF0000"/>
          <w:sz w:val="20"/>
          <w:szCs w:val="20"/>
        </w:rPr>
        <w:t xml:space="preserve">(Court of Appeals of Washington, 2009)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Tulk v. Moxhay</w:t>
      </w:r>
      <w:r>
        <w:rPr>
          <w:rFonts w:ascii="Times New Roman" w:eastAsia="Times New Roman" w:hAnsi="Times New Roman" w:cs="Times New Roman"/>
          <w:color w:val="FF0000"/>
          <w:sz w:val="20"/>
          <w:szCs w:val="20"/>
        </w:rPr>
        <w:t xml:space="preserve"> (Court of Chancery, 1848)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Common Interest Communities</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Nahrstedt v. Lakeside Village Condominium Association, Inc. </w:t>
      </w:r>
      <w:r>
        <w:rPr>
          <w:rFonts w:ascii="Times New Roman" w:eastAsia="Times New Roman" w:hAnsi="Times New Roman" w:cs="Times New Roman"/>
          <w:color w:val="FF0000"/>
          <w:sz w:val="20"/>
          <w:szCs w:val="20"/>
        </w:rPr>
        <w:t xml:space="preserve">(Supreme Court of California, 1994)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Shelley v. Kraemer</w:t>
      </w:r>
      <w:r>
        <w:rPr>
          <w:rFonts w:ascii="Times New Roman" w:eastAsia="Times New Roman" w:hAnsi="Times New Roman" w:cs="Times New Roman"/>
          <w:color w:val="FF0000"/>
          <w:sz w:val="20"/>
          <w:szCs w:val="20"/>
        </w:rPr>
        <w:t xml:space="preserve"> (1948)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Fink v. Miller </w:t>
      </w:r>
      <w:r>
        <w:rPr>
          <w:rFonts w:ascii="Times New Roman" w:eastAsia="Times New Roman" w:hAnsi="Times New Roman" w:cs="Times New Roman"/>
          <w:color w:val="FF0000"/>
          <w:sz w:val="20"/>
          <w:szCs w:val="20"/>
        </w:rPr>
        <w:t xml:space="preserve">(Court of Appeals of Utah, 1995)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Vernon Township Volunteer Fire Department, Inc. v. Connor</w:t>
      </w:r>
      <w:r>
        <w:rPr>
          <w:rFonts w:ascii="Times New Roman" w:eastAsia="Times New Roman" w:hAnsi="Times New Roman" w:cs="Times New Roman"/>
          <w:color w:val="FF0000"/>
          <w:sz w:val="20"/>
          <w:szCs w:val="20"/>
        </w:rPr>
        <w:t xml:space="preserve"> (Supreme Court of P</w:t>
      </w:r>
      <w:r>
        <w:rPr>
          <w:rFonts w:ascii="Times New Roman" w:eastAsia="Times New Roman" w:hAnsi="Times New Roman" w:cs="Times New Roman"/>
          <w:color w:val="FF0000"/>
          <w:sz w:val="20"/>
          <w:szCs w:val="20"/>
        </w:rPr>
        <w:t xml:space="preserve">ennsylvania, 2004)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Schaefer v. Eastman Community Association</w:t>
      </w:r>
      <w:r>
        <w:rPr>
          <w:rFonts w:ascii="Times New Roman" w:eastAsia="Times New Roman" w:hAnsi="Times New Roman" w:cs="Times New Roman"/>
          <w:color w:val="FF0000"/>
          <w:sz w:val="20"/>
          <w:szCs w:val="20"/>
        </w:rPr>
        <w:t xml:space="preserve"> (Supreme Court of New Hampshire, 2003)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Foundation Valley Chateau Blanc Homeowner’s Association v. Department of Veterans Affairs </w:t>
      </w:r>
      <w:r>
        <w:rPr>
          <w:rFonts w:ascii="Times New Roman" w:eastAsia="Times New Roman" w:hAnsi="Times New Roman" w:cs="Times New Roman"/>
          <w:color w:val="FF0000"/>
          <w:sz w:val="20"/>
          <w:szCs w:val="20"/>
        </w:rPr>
        <w:t xml:space="preserve">(Court of Appeal of California, 1998)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Nuisance</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Boomer v. </w:t>
      </w:r>
      <w:r>
        <w:rPr>
          <w:rFonts w:ascii="Times New Roman" w:eastAsia="Times New Roman" w:hAnsi="Times New Roman" w:cs="Times New Roman"/>
          <w:i/>
          <w:color w:val="FF0000"/>
          <w:sz w:val="20"/>
          <w:szCs w:val="20"/>
        </w:rPr>
        <w:t>Atlantic Cement Co., Inc.</w:t>
      </w:r>
      <w:r>
        <w:rPr>
          <w:rFonts w:ascii="Times New Roman" w:eastAsia="Times New Roman" w:hAnsi="Times New Roman" w:cs="Times New Roman"/>
          <w:color w:val="FF0000"/>
          <w:sz w:val="20"/>
          <w:szCs w:val="20"/>
        </w:rPr>
        <w:t xml:space="preserve"> (Court of Appeals of New York, 1970)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Thomsen v. Greve </w:t>
      </w:r>
      <w:r>
        <w:rPr>
          <w:rFonts w:ascii="Times New Roman" w:eastAsia="Times New Roman" w:hAnsi="Times New Roman" w:cs="Times New Roman"/>
          <w:color w:val="FF0000"/>
          <w:sz w:val="20"/>
          <w:szCs w:val="20"/>
        </w:rPr>
        <w:t xml:space="preserve">(Court of Appeals of Nebraska, 1996)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Versailles Borough v. McKeesport Coal &amp; Coke Co. </w:t>
      </w:r>
      <w:r>
        <w:rPr>
          <w:rFonts w:ascii="Times New Roman" w:eastAsia="Times New Roman" w:hAnsi="Times New Roman" w:cs="Times New Roman"/>
          <w:color w:val="FF0000"/>
          <w:sz w:val="20"/>
          <w:szCs w:val="20"/>
        </w:rPr>
        <w:t xml:space="preserve">(1935)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Martin v. Reynolds Metals Co. </w:t>
      </w:r>
      <w:r>
        <w:rPr>
          <w:rFonts w:ascii="Times New Roman" w:eastAsia="Times New Roman" w:hAnsi="Times New Roman" w:cs="Times New Roman"/>
          <w:color w:val="FF0000"/>
          <w:sz w:val="20"/>
          <w:szCs w:val="20"/>
        </w:rPr>
        <w:t xml:space="preserve">(Supreme Court of Oregon, 1959) </w:t>
      </w:r>
      <w:r>
        <w:rPr>
          <w:rFonts w:ascii="Times New Roman" w:eastAsia="Times New Roman" w:hAnsi="Times New Roman" w:cs="Times New Roman"/>
          <w:sz w:val="20"/>
          <w:szCs w:val="20"/>
        </w:rPr>
        <w:t>()</w:t>
      </w:r>
    </w:p>
    <w:p w:rsidR="00E46D95" w:rsidRDefault="006F495B">
      <w:pPr>
        <w:numPr>
          <w:ilvl w:val="2"/>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Mark v. O</w:t>
      </w:r>
      <w:r>
        <w:rPr>
          <w:rFonts w:ascii="Times New Roman" w:eastAsia="Times New Roman" w:hAnsi="Times New Roman" w:cs="Times New Roman"/>
          <w:i/>
          <w:color w:val="FF0000"/>
          <w:sz w:val="20"/>
          <w:szCs w:val="20"/>
        </w:rPr>
        <w:t>regon</w:t>
      </w:r>
      <w:r>
        <w:rPr>
          <w:rFonts w:ascii="Times New Roman" w:eastAsia="Times New Roman" w:hAnsi="Times New Roman" w:cs="Times New Roman"/>
          <w:color w:val="FF0000"/>
          <w:sz w:val="20"/>
          <w:szCs w:val="20"/>
        </w:rPr>
        <w:t xml:space="preserve"> (Court of Appeals of Oregon, 1999) </w:t>
      </w:r>
      <w:r>
        <w:rPr>
          <w:rFonts w:ascii="Times New Roman" w:eastAsia="Times New Roman" w:hAnsi="Times New Roman" w:cs="Times New Roman"/>
          <w:sz w:val="20"/>
          <w:szCs w:val="20"/>
        </w:rPr>
        <w:t>()</w:t>
      </w:r>
    </w:p>
    <w:p w:rsidR="00E46D95" w:rsidRDefault="006F495B">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Private and Public Rights in Beaches</w:t>
      </w:r>
    </w:p>
    <w:p w:rsidR="00E46D95" w:rsidRDefault="006F495B">
      <w:pPr>
        <w:numPr>
          <w:ilvl w:val="1"/>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Borough of Neptune City v. Borough of Avon-By-The-Sea</w:t>
      </w:r>
      <w:r>
        <w:rPr>
          <w:rFonts w:ascii="Times New Roman" w:eastAsia="Times New Roman" w:hAnsi="Times New Roman" w:cs="Times New Roman"/>
          <w:color w:val="FF0000"/>
          <w:sz w:val="20"/>
          <w:szCs w:val="20"/>
        </w:rPr>
        <w:t xml:space="preserve"> (New Jersey Supreme Court, 1972)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Matthews v. Bay Head Improvement Ass’n</w:t>
      </w:r>
      <w:r>
        <w:rPr>
          <w:rFonts w:ascii="Times New Roman" w:eastAsia="Times New Roman" w:hAnsi="Times New Roman" w:cs="Times New Roman"/>
          <w:color w:val="FF0000"/>
          <w:sz w:val="20"/>
          <w:szCs w:val="20"/>
        </w:rPr>
        <w:t xml:space="preserve"> (New Jersey Supreme Court, 1984)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Raleigh Av</w:t>
      </w:r>
      <w:r>
        <w:rPr>
          <w:rFonts w:ascii="Times New Roman" w:eastAsia="Times New Roman" w:hAnsi="Times New Roman" w:cs="Times New Roman"/>
          <w:i/>
          <w:color w:val="FF0000"/>
          <w:sz w:val="20"/>
          <w:szCs w:val="20"/>
        </w:rPr>
        <w:t>enue Beach Ass’n</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v. Atlantis Beach Club</w:t>
      </w:r>
      <w:r>
        <w:rPr>
          <w:rFonts w:ascii="Times New Roman" w:eastAsia="Times New Roman" w:hAnsi="Times New Roman" w:cs="Times New Roman"/>
          <w:color w:val="FF0000"/>
          <w:sz w:val="20"/>
          <w:szCs w:val="20"/>
        </w:rPr>
        <w:t xml:space="preserve"> (Supreme Court of New Jersey, 2005)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State of Oregon ex rel. Thornton v. Hay</w:t>
      </w:r>
      <w:r>
        <w:rPr>
          <w:rFonts w:ascii="Times New Roman" w:eastAsia="Times New Roman" w:hAnsi="Times New Roman" w:cs="Times New Roman"/>
          <w:color w:val="FF0000"/>
          <w:sz w:val="20"/>
          <w:szCs w:val="20"/>
        </w:rPr>
        <w:t xml:space="preserve"> (Supreme Court of Oregon, 1969) </w:t>
      </w:r>
      <w:r>
        <w:rPr>
          <w:rFonts w:ascii="Times New Roman" w:eastAsia="Times New Roman" w:hAnsi="Times New Roman" w:cs="Times New Roman"/>
          <w:sz w:val="20"/>
          <w:szCs w:val="20"/>
        </w:rPr>
        <w:t>()</w:t>
      </w:r>
    </w:p>
    <w:p w:rsidR="00E46D95" w:rsidRDefault="006F495B">
      <w:pPr>
        <w:numPr>
          <w:ilvl w:val="1"/>
          <w:numId w:val="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Stevens v. Cannon Beach </w:t>
      </w:r>
      <w:r>
        <w:rPr>
          <w:rFonts w:ascii="Times New Roman" w:eastAsia="Times New Roman" w:hAnsi="Times New Roman" w:cs="Times New Roman"/>
          <w:color w:val="FF0000"/>
          <w:sz w:val="20"/>
          <w:szCs w:val="20"/>
        </w:rPr>
        <w:t>(Supreme Court of Oregon, 1993)/</w:t>
      </w:r>
      <w:r>
        <w:rPr>
          <w:rFonts w:ascii="Times New Roman" w:eastAsia="Times New Roman" w:hAnsi="Times New Roman" w:cs="Times New Roman"/>
          <w:i/>
          <w:color w:val="FF0000"/>
          <w:sz w:val="20"/>
          <w:szCs w:val="20"/>
        </w:rPr>
        <w:t xml:space="preserve">Stevens v. City of Cannon Beach </w:t>
      </w:r>
      <w:r>
        <w:rPr>
          <w:rFonts w:ascii="Times New Roman" w:eastAsia="Times New Roman" w:hAnsi="Times New Roman" w:cs="Times New Roman"/>
          <w:color w:val="FF0000"/>
          <w:sz w:val="20"/>
          <w:szCs w:val="20"/>
        </w:rPr>
        <w:t xml:space="preserve">(Supreme Court of Oregon, 1994)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 Land Use Regulation</w:t>
      </w:r>
    </w:p>
    <w:p w:rsidR="00E46D95" w:rsidRDefault="006F495B">
      <w:pPr>
        <w:numPr>
          <w:ilvl w:val="0"/>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 Land Use</w:t>
      </w:r>
    </w:p>
    <w:p w:rsidR="00E46D95" w:rsidRDefault="006F495B">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Zoning </w:t>
      </w:r>
    </w:p>
    <w:p w:rsidR="00E46D95" w:rsidRDefault="006F495B">
      <w:pPr>
        <w:numPr>
          <w:ilvl w:val="2"/>
          <w:numId w:val="9"/>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Village of Euclid v. Ambler Realty Co.</w:t>
      </w:r>
      <w:r>
        <w:rPr>
          <w:rFonts w:ascii="Times New Roman" w:eastAsia="Times New Roman" w:hAnsi="Times New Roman" w:cs="Times New Roman"/>
          <w:color w:val="FF0000"/>
          <w:sz w:val="20"/>
          <w:szCs w:val="20"/>
        </w:rPr>
        <w:t xml:space="preserve"> (SCOTUS, 1926) </w:t>
      </w:r>
      <w:r>
        <w:rPr>
          <w:rFonts w:ascii="Times New Roman" w:eastAsia="Times New Roman" w:hAnsi="Times New Roman" w:cs="Times New Roman"/>
          <w:sz w:val="20"/>
          <w:szCs w:val="20"/>
        </w:rPr>
        <w:t>()</w:t>
      </w:r>
    </w:p>
    <w:p w:rsidR="00E46D95" w:rsidRDefault="006F495B">
      <w:pPr>
        <w:numPr>
          <w:ilvl w:val="2"/>
          <w:numId w:val="9"/>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Trip Associates, Inc. v. mayor and City Council of Baltimore</w:t>
      </w:r>
      <w:r>
        <w:rPr>
          <w:rFonts w:ascii="Times New Roman" w:eastAsia="Times New Roman" w:hAnsi="Times New Roman" w:cs="Times New Roman"/>
          <w:color w:val="FF0000"/>
          <w:sz w:val="20"/>
          <w:szCs w:val="20"/>
        </w:rPr>
        <w:t xml:space="preserve"> (Court of Appeals of Maryland, 2006) </w:t>
      </w:r>
      <w:r>
        <w:rPr>
          <w:rFonts w:ascii="Times New Roman" w:eastAsia="Times New Roman" w:hAnsi="Times New Roman" w:cs="Times New Roman"/>
          <w:sz w:val="20"/>
          <w:szCs w:val="20"/>
        </w:rPr>
        <w:t>()</w:t>
      </w:r>
    </w:p>
    <w:p w:rsidR="00E46D95" w:rsidRDefault="006F495B">
      <w:pPr>
        <w:numPr>
          <w:ilvl w:val="2"/>
          <w:numId w:val="9"/>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City of Ladue v. Gilleo</w:t>
      </w:r>
      <w:r>
        <w:rPr>
          <w:rFonts w:ascii="Times New Roman" w:eastAsia="Times New Roman" w:hAnsi="Times New Roman" w:cs="Times New Roman"/>
          <w:color w:val="FF0000"/>
          <w:sz w:val="20"/>
          <w:szCs w:val="20"/>
        </w:rPr>
        <w:t xml:space="preserve"> (SCOTUS, 1994) </w:t>
      </w:r>
      <w:r>
        <w:rPr>
          <w:rFonts w:ascii="Times New Roman" w:eastAsia="Times New Roman" w:hAnsi="Times New Roman" w:cs="Times New Roman"/>
          <w:sz w:val="20"/>
          <w:szCs w:val="20"/>
        </w:rPr>
        <w:t>()</w:t>
      </w:r>
    </w:p>
    <w:p w:rsidR="00E46D95" w:rsidRDefault="006F495B">
      <w:pPr>
        <w:numPr>
          <w:ilvl w:val="2"/>
          <w:numId w:val="9"/>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Associated Home of Builders of the Greater Eastbay, Inc. v. City of Livermore</w:t>
      </w:r>
      <w:r>
        <w:rPr>
          <w:rFonts w:ascii="Times New Roman" w:eastAsia="Times New Roman" w:hAnsi="Times New Roman" w:cs="Times New Roman"/>
          <w:color w:val="FF0000"/>
          <w:sz w:val="20"/>
          <w:szCs w:val="20"/>
        </w:rPr>
        <w:t xml:space="preserve"> (Supreme Court of California, 1976)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An Introduction to Environmental Law</w:t>
      </w:r>
    </w:p>
    <w:p w:rsidR="00E46D95" w:rsidRDefault="006F495B">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 to Environmental Law</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Just v. Marin</w:t>
      </w:r>
      <w:r>
        <w:rPr>
          <w:rFonts w:ascii="Times New Roman" w:eastAsia="Times New Roman" w:hAnsi="Times New Roman" w:cs="Times New Roman"/>
          <w:i/>
          <w:color w:val="FF0000"/>
          <w:sz w:val="20"/>
          <w:szCs w:val="20"/>
        </w:rPr>
        <w:t xml:space="preserve">ette County </w:t>
      </w:r>
      <w:r>
        <w:rPr>
          <w:rFonts w:ascii="Times New Roman" w:eastAsia="Times New Roman" w:hAnsi="Times New Roman" w:cs="Times New Roman"/>
          <w:color w:val="FF0000"/>
          <w:sz w:val="20"/>
          <w:szCs w:val="20"/>
        </w:rPr>
        <w:t xml:space="preserve">(Supreme Court of Wisconsin, 1972) </w:t>
      </w:r>
      <w:r>
        <w:rPr>
          <w:rFonts w:ascii="Times New Roman" w:eastAsia="Times New Roman" w:hAnsi="Times New Roman" w:cs="Times New Roman"/>
          <w:sz w:val="20"/>
          <w:szCs w:val="20"/>
        </w:rPr>
        <w:t>()</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National Audubon Society v. Superior Court </w:t>
      </w:r>
      <w:r>
        <w:rPr>
          <w:rFonts w:ascii="Times New Roman" w:eastAsia="Times New Roman" w:hAnsi="Times New Roman" w:cs="Times New Roman"/>
          <w:color w:val="FF0000"/>
          <w:sz w:val="20"/>
          <w:szCs w:val="20"/>
        </w:rPr>
        <w:t xml:space="preserve">(Supreme Court of California, 1983) </w:t>
      </w:r>
      <w:r>
        <w:rPr>
          <w:rFonts w:ascii="Times New Roman" w:eastAsia="Times New Roman" w:hAnsi="Times New Roman" w:cs="Times New Roman"/>
          <w:sz w:val="20"/>
          <w:szCs w:val="20"/>
        </w:rPr>
        <w:t>()</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lastRenderedPageBreak/>
        <w:t>Borden Ranch Partnership v. U.S. Army Corps of Engineers</w:t>
      </w:r>
      <w:r>
        <w:rPr>
          <w:rFonts w:ascii="Times New Roman" w:eastAsia="Times New Roman" w:hAnsi="Times New Roman" w:cs="Times New Roman"/>
          <w:color w:val="FF0000"/>
          <w:sz w:val="20"/>
          <w:szCs w:val="20"/>
        </w:rPr>
        <w:t xml:space="preserve"> (United States Court of Appeals, Ninth Circuit, 2002) </w:t>
      </w:r>
      <w:r>
        <w:rPr>
          <w:rFonts w:ascii="Times New Roman" w:eastAsia="Times New Roman" w:hAnsi="Times New Roman" w:cs="Times New Roman"/>
          <w:sz w:val="20"/>
          <w:szCs w:val="20"/>
        </w:rPr>
        <w:t>()</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United States v. Monsanto Co. </w:t>
      </w:r>
      <w:r>
        <w:rPr>
          <w:rFonts w:ascii="Times New Roman" w:eastAsia="Times New Roman" w:hAnsi="Times New Roman" w:cs="Times New Roman"/>
          <w:color w:val="FF0000"/>
          <w:sz w:val="20"/>
          <w:szCs w:val="20"/>
        </w:rPr>
        <w:t xml:space="preserve">(United States Court of Appeals, Fourth Circuit, 1988) </w:t>
      </w:r>
      <w:r>
        <w:rPr>
          <w:rFonts w:ascii="Times New Roman" w:eastAsia="Times New Roman" w:hAnsi="Times New Roman" w:cs="Times New Roman"/>
          <w:sz w:val="20"/>
          <w:szCs w:val="20"/>
        </w:rPr>
        <w:t>()</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Babbitt v. Sweet Home Chapter of Communities for a Greater Oregon </w:t>
      </w:r>
      <w:r>
        <w:rPr>
          <w:rFonts w:ascii="Times New Roman" w:eastAsia="Times New Roman" w:hAnsi="Times New Roman" w:cs="Times New Roman"/>
          <w:color w:val="FF0000"/>
          <w:sz w:val="20"/>
          <w:szCs w:val="20"/>
        </w:rPr>
        <w:t xml:space="preserve">(SCOTUS, 1995) </w:t>
      </w:r>
      <w:r>
        <w:rPr>
          <w:rFonts w:ascii="Times New Roman" w:eastAsia="Times New Roman" w:hAnsi="Times New Roman" w:cs="Times New Roman"/>
          <w:sz w:val="20"/>
          <w:szCs w:val="20"/>
        </w:rPr>
        <w:t>()</w:t>
      </w:r>
    </w:p>
    <w:p w:rsidR="00E46D95" w:rsidRDefault="006F495B">
      <w:pPr>
        <w:numPr>
          <w:ilvl w:val="1"/>
          <w:numId w:val="4"/>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American Electric Power Co., Inc. v. Connecticut </w:t>
      </w:r>
      <w:r>
        <w:rPr>
          <w:rFonts w:ascii="Times New Roman" w:eastAsia="Times New Roman" w:hAnsi="Times New Roman" w:cs="Times New Roman"/>
          <w:color w:val="FF0000"/>
          <w:sz w:val="20"/>
          <w:szCs w:val="20"/>
        </w:rPr>
        <w:t xml:space="preserve">(SCOTUS, 2011)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12: Emin</w:t>
      </w:r>
      <w:r>
        <w:rPr>
          <w:rFonts w:ascii="Times New Roman" w:eastAsia="Times New Roman" w:hAnsi="Times New Roman" w:cs="Times New Roman"/>
          <w:sz w:val="24"/>
          <w:szCs w:val="24"/>
        </w:rPr>
        <w:t>ent Domain</w:t>
      </w:r>
    </w:p>
    <w:p w:rsidR="00E46D95" w:rsidRDefault="006F495B">
      <w:pPr>
        <w:numPr>
          <w:ilvl w:val="0"/>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Eminent Domain/Condemnation</w:t>
      </w:r>
    </w:p>
    <w:p w:rsidR="00E46D95" w:rsidRDefault="006F495B">
      <w:pPr>
        <w:numPr>
          <w:ilvl w:val="1"/>
          <w:numId w:val="2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Hawaii Housing Authority v. Midkiff</w:t>
      </w:r>
      <w:r>
        <w:rPr>
          <w:rFonts w:ascii="Times New Roman" w:eastAsia="Times New Roman" w:hAnsi="Times New Roman" w:cs="Times New Roman"/>
          <w:color w:val="FF0000"/>
          <w:sz w:val="20"/>
          <w:szCs w:val="20"/>
        </w:rPr>
        <w:t xml:space="preserve"> (SCOTUS, 1984)</w:t>
      </w:r>
    </w:p>
    <w:p w:rsidR="00E46D95" w:rsidRDefault="006F495B">
      <w:pPr>
        <w:numPr>
          <w:ilvl w:val="1"/>
          <w:numId w:val="2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Kelo v. City of New London</w:t>
      </w:r>
      <w:r>
        <w:rPr>
          <w:rFonts w:ascii="Times New Roman" w:eastAsia="Times New Roman" w:hAnsi="Times New Roman" w:cs="Times New Roman"/>
          <w:color w:val="FF0000"/>
          <w:sz w:val="20"/>
          <w:szCs w:val="20"/>
        </w:rPr>
        <w:t xml:space="preserve"> (SCOTUS, 2005)</w:t>
      </w:r>
    </w:p>
    <w:p w:rsidR="00E46D95" w:rsidRDefault="00E46D95">
      <w:pPr>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13: Takings </w:t>
      </w:r>
    </w:p>
    <w:p w:rsidR="00E46D95" w:rsidRDefault="006F495B">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Takings </w:t>
      </w:r>
    </w:p>
    <w:p w:rsidR="00E46D95" w:rsidRDefault="006F495B">
      <w:pPr>
        <w:numPr>
          <w:ilvl w:val="1"/>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Constitutional Takings of Property </w:t>
      </w:r>
    </w:p>
    <w:p w:rsidR="00E46D95" w:rsidRDefault="006F495B">
      <w:pPr>
        <w:numPr>
          <w:ilvl w:val="2"/>
          <w:numId w:val="1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Pennsylvania Coal Co. v. Mahon</w:t>
      </w:r>
      <w:r>
        <w:rPr>
          <w:rFonts w:ascii="Times New Roman" w:eastAsia="Times New Roman" w:hAnsi="Times New Roman" w:cs="Times New Roman"/>
          <w:color w:val="FF0000"/>
          <w:sz w:val="20"/>
          <w:szCs w:val="20"/>
        </w:rPr>
        <w:t xml:space="preserve"> (SCOTUS, 1922) </w:t>
      </w:r>
      <w:r>
        <w:rPr>
          <w:rFonts w:ascii="Times New Roman" w:eastAsia="Times New Roman" w:hAnsi="Times New Roman" w:cs="Times New Roman"/>
          <w:sz w:val="20"/>
          <w:szCs w:val="20"/>
        </w:rPr>
        <w:t>()</w:t>
      </w:r>
    </w:p>
    <w:p w:rsidR="00E46D95" w:rsidRDefault="006F495B">
      <w:pPr>
        <w:numPr>
          <w:ilvl w:val="2"/>
          <w:numId w:val="1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Penn Central Transportation Co. v. City of New York</w:t>
      </w:r>
      <w:r>
        <w:rPr>
          <w:rFonts w:ascii="Times New Roman" w:eastAsia="Times New Roman" w:hAnsi="Times New Roman" w:cs="Times New Roman"/>
          <w:color w:val="FF0000"/>
          <w:sz w:val="20"/>
          <w:szCs w:val="20"/>
        </w:rPr>
        <w:t xml:space="preserve"> (SCOTUS, 1978) </w:t>
      </w:r>
      <w:r>
        <w:rPr>
          <w:rFonts w:ascii="Times New Roman" w:eastAsia="Times New Roman" w:hAnsi="Times New Roman" w:cs="Times New Roman"/>
          <w:sz w:val="20"/>
          <w:szCs w:val="20"/>
        </w:rPr>
        <w:t>()</w:t>
      </w:r>
    </w:p>
    <w:p w:rsidR="00E46D95" w:rsidRDefault="006F495B">
      <w:pPr>
        <w:numPr>
          <w:ilvl w:val="2"/>
          <w:numId w:val="1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Loretto v. Teleprompter Manhattan CATV Corp. </w:t>
      </w:r>
      <w:r>
        <w:rPr>
          <w:rFonts w:ascii="Times New Roman" w:eastAsia="Times New Roman" w:hAnsi="Times New Roman" w:cs="Times New Roman"/>
          <w:color w:val="FF0000"/>
          <w:sz w:val="20"/>
          <w:szCs w:val="20"/>
        </w:rPr>
        <w:t xml:space="preserve">(SCOTUS, 1982) </w:t>
      </w:r>
      <w:r>
        <w:rPr>
          <w:rFonts w:ascii="Times New Roman" w:eastAsia="Times New Roman" w:hAnsi="Times New Roman" w:cs="Times New Roman"/>
          <w:sz w:val="20"/>
          <w:szCs w:val="20"/>
        </w:rPr>
        <w:t>()</w:t>
      </w:r>
    </w:p>
    <w:p w:rsidR="00E46D95" w:rsidRDefault="006F495B">
      <w:pPr>
        <w:numPr>
          <w:ilvl w:val="2"/>
          <w:numId w:val="1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Lucas v. South Carolina Coastal Council</w:t>
      </w:r>
      <w:r>
        <w:rPr>
          <w:rFonts w:ascii="Times New Roman" w:eastAsia="Times New Roman" w:hAnsi="Times New Roman" w:cs="Times New Roman"/>
          <w:color w:val="FF0000"/>
          <w:sz w:val="20"/>
          <w:szCs w:val="20"/>
        </w:rPr>
        <w:t xml:space="preserve"> (SCOTUS, 1992) </w:t>
      </w:r>
      <w:r>
        <w:rPr>
          <w:rFonts w:ascii="Times New Roman" w:eastAsia="Times New Roman" w:hAnsi="Times New Roman" w:cs="Times New Roman"/>
          <w:sz w:val="20"/>
          <w:szCs w:val="20"/>
        </w:rPr>
        <w:t>()</w:t>
      </w:r>
    </w:p>
    <w:p w:rsidR="00E46D95" w:rsidRDefault="006F495B">
      <w:pPr>
        <w:numPr>
          <w:ilvl w:val="1"/>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Exactions and Measure 37</w:t>
      </w:r>
    </w:p>
    <w:p w:rsidR="00E46D95" w:rsidRDefault="006F495B">
      <w:pPr>
        <w:numPr>
          <w:ilvl w:val="2"/>
          <w:numId w:val="13"/>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Tahoe-Sierra Preservation Council, Inc. </w:t>
      </w:r>
      <w:r>
        <w:rPr>
          <w:rFonts w:ascii="Times New Roman" w:eastAsia="Times New Roman" w:hAnsi="Times New Roman" w:cs="Times New Roman"/>
          <w:i/>
          <w:color w:val="FF0000"/>
          <w:sz w:val="20"/>
          <w:szCs w:val="20"/>
        </w:rPr>
        <w:t xml:space="preserve">v. Tahoe Regional Planning Agency </w:t>
      </w:r>
      <w:r>
        <w:rPr>
          <w:rFonts w:ascii="Times New Roman" w:eastAsia="Times New Roman" w:hAnsi="Times New Roman" w:cs="Times New Roman"/>
          <w:color w:val="FF0000"/>
          <w:sz w:val="20"/>
          <w:szCs w:val="20"/>
        </w:rPr>
        <w:t>(SCOTUS, 2002)</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sz w:val="20"/>
          <w:szCs w:val="20"/>
        </w:rPr>
        <w:t>()</w:t>
      </w:r>
    </w:p>
    <w:p w:rsidR="00E46D95" w:rsidRDefault="00E46D95">
      <w:pPr>
        <w:rPr>
          <w:rFonts w:ascii="Times New Roman" w:eastAsia="Times New Roman" w:hAnsi="Times New Roman" w:cs="Times New Roman"/>
          <w:sz w:val="24"/>
          <w:szCs w:val="24"/>
        </w:rPr>
      </w:pPr>
    </w:p>
    <w:p w:rsidR="00E46D95" w:rsidRDefault="00E46D95">
      <w:pPr>
        <w:rPr>
          <w:rFonts w:ascii="Times New Roman" w:eastAsia="Times New Roman" w:hAnsi="Times New Roman" w:cs="Times New Roman"/>
          <w:sz w:val="24"/>
          <w:szCs w:val="24"/>
        </w:rPr>
      </w:pPr>
    </w:p>
    <w:p w:rsidR="00E46D95" w:rsidRDefault="00E46D95">
      <w:pPr>
        <w:jc w:val="center"/>
        <w:rPr>
          <w:rFonts w:ascii="Times New Roman" w:eastAsia="Times New Roman" w:hAnsi="Times New Roman" w:cs="Times New Roman"/>
          <w:sz w:val="24"/>
          <w:szCs w:val="24"/>
        </w:rPr>
      </w:pPr>
    </w:p>
    <w:p w:rsidR="00E46D95" w:rsidRDefault="006F495B">
      <w:pPr>
        <w:jc w:val="center"/>
        <w:rPr>
          <w:rFonts w:ascii="Times New Roman" w:eastAsia="Times New Roman" w:hAnsi="Times New Roman" w:cs="Times New Roman"/>
          <w:sz w:val="24"/>
          <w:szCs w:val="24"/>
        </w:rPr>
      </w:pPr>
      <w:r>
        <w:br w:type="page"/>
      </w:r>
    </w:p>
    <w:p w:rsidR="00E46D95" w:rsidRDefault="006F495B">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Property Outline</w:t>
      </w:r>
    </w:p>
    <w:p w:rsidR="006F495B" w:rsidRDefault="006F495B">
      <w:pPr>
        <w:spacing w:line="240" w:lineRule="auto"/>
        <w:jc w:val="center"/>
        <w:rPr>
          <w:rFonts w:ascii="Times New Roman" w:eastAsia="Times New Roman" w:hAnsi="Times New Roman" w:cs="Times New Roman"/>
          <w:sz w:val="16"/>
          <w:szCs w:val="16"/>
        </w:rPr>
      </w:pPr>
    </w:p>
    <w:p w:rsidR="00E46D95" w:rsidRDefault="006F495B">
      <w:pPr>
        <w:spacing w:line="240" w:lineRule="auto"/>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Spring 2016</w:t>
      </w:r>
    </w:p>
    <w:p w:rsidR="00E46D95" w:rsidRDefault="00E46D95">
      <w:pPr>
        <w:spacing w:line="240" w:lineRule="auto"/>
        <w:jc w:val="center"/>
        <w:rPr>
          <w:rFonts w:ascii="Times New Roman" w:eastAsia="Times New Roman" w:hAnsi="Times New Roman" w:cs="Times New Roman"/>
          <w:sz w:val="16"/>
          <w:szCs w:val="16"/>
        </w:rPr>
      </w:pPr>
    </w:p>
    <w:p w:rsidR="00E46D95" w:rsidRDefault="006F495B">
      <w:pPr>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Chapter 1: The Concept of Property</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 #1 Quotations:</w:t>
      </w:r>
    </w:p>
    <w:p w:rsidR="00E46D95" w:rsidRDefault="006F495B">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Sir William Blackstone</w:t>
      </w:r>
      <w:r>
        <w:rPr>
          <w:rFonts w:ascii="Times New Roman" w:eastAsia="Times New Roman" w:hAnsi="Times New Roman" w:cs="Times New Roman"/>
          <w:sz w:val="20"/>
          <w:szCs w:val="20"/>
        </w:rPr>
        <w:t>, first professor of English Law:</w:t>
      </w:r>
    </w:p>
    <w:p w:rsidR="00E46D95" w:rsidRDefault="006F495B">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“There is nothing which so generally strikes the imagination, and engages the affections of mankind, as the right of property; or that sole and despotic dominion which one man claims and exercises over the external things of the world, in total exclusion o</w:t>
      </w:r>
      <w:r>
        <w:rPr>
          <w:rFonts w:ascii="Times New Roman" w:eastAsia="Times New Roman" w:hAnsi="Times New Roman" w:cs="Times New Roman"/>
          <w:sz w:val="20"/>
          <w:szCs w:val="20"/>
        </w:rPr>
        <w:t>f the right of any other individual in the universe.”</w:t>
      </w:r>
    </w:p>
    <w:p w:rsidR="00E46D95" w:rsidRDefault="006F495B">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Chief Judge Lemuel Shaw</w:t>
      </w:r>
      <w:r>
        <w:rPr>
          <w:rFonts w:ascii="Times New Roman" w:eastAsia="Times New Roman" w:hAnsi="Times New Roman" w:cs="Times New Roman"/>
          <w:sz w:val="20"/>
          <w:szCs w:val="20"/>
        </w:rPr>
        <w:t>, Judicial Court of Massachusetts:</w:t>
      </w:r>
    </w:p>
    <w:p w:rsidR="00E46D95" w:rsidRDefault="006F495B">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“We think it a settled principle, growing out of the nature of a well ordered civil society, that every holder of property, however absolute and</w:t>
      </w:r>
      <w:r>
        <w:rPr>
          <w:rFonts w:ascii="Times New Roman" w:eastAsia="Times New Roman" w:hAnsi="Times New Roman" w:cs="Times New Roman"/>
          <w:sz w:val="20"/>
          <w:szCs w:val="20"/>
        </w:rPr>
        <w:t xml:space="preserve"> unqualified may be his title, holds it under the implied liability that his use of it may be so regulated that it shall not be injurious to the equal enjoyment of others having an equal right to the enjoyment of their property, nor injurious to the rights</w:t>
      </w:r>
      <w:r>
        <w:rPr>
          <w:rFonts w:ascii="Times New Roman" w:eastAsia="Times New Roman" w:hAnsi="Times New Roman" w:cs="Times New Roman"/>
          <w:sz w:val="20"/>
          <w:szCs w:val="20"/>
        </w:rPr>
        <w:t xml:space="preserve"> of the community....Rights of property, like all other social and conventional rights, are subject to such reasonable limitations in their enjoyment as shall prevent them from being injurious and to such reasonable restraints...as the legislature...may th</w:t>
      </w:r>
      <w:r>
        <w:rPr>
          <w:rFonts w:ascii="Times New Roman" w:eastAsia="Times New Roman" w:hAnsi="Times New Roman" w:cs="Times New Roman"/>
          <w:sz w:val="20"/>
          <w:szCs w:val="20"/>
        </w:rPr>
        <w:t>ink necessary and expedient.”</w:t>
      </w:r>
    </w:p>
    <w:p w:rsidR="00E46D95" w:rsidRDefault="006F495B">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Felix Cohen</w:t>
      </w:r>
      <w:r>
        <w:rPr>
          <w:rFonts w:ascii="Times New Roman" w:eastAsia="Times New Roman" w:hAnsi="Times New Roman" w:cs="Times New Roman"/>
          <w:sz w:val="20"/>
          <w:szCs w:val="20"/>
        </w:rPr>
        <w:t>, legal philosopher and first to author a treatise on Indian Law:</w:t>
      </w:r>
    </w:p>
    <w:p w:rsidR="00E46D95" w:rsidRDefault="006F495B">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“Property is a relationship among human beings such that the so-called owner can exclude others from certain activities, or permit others to engage i</w:t>
      </w:r>
      <w:r>
        <w:rPr>
          <w:rFonts w:ascii="Times New Roman" w:eastAsia="Times New Roman" w:hAnsi="Times New Roman" w:cs="Times New Roman"/>
          <w:sz w:val="20"/>
          <w:szCs w:val="20"/>
        </w:rPr>
        <w:t>n those activities, and in either case secure the assistance of the law in carrying out his decision.”</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Public property </w:t>
      </w:r>
      <w:r>
        <w:rPr>
          <w:rFonts w:ascii="Times New Roman" w:eastAsia="Times New Roman" w:hAnsi="Times New Roman" w:cs="Times New Roman"/>
          <w:sz w:val="20"/>
          <w:szCs w:val="20"/>
        </w:rPr>
        <w:t>– property owned by the government</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Private property</w:t>
      </w:r>
      <w:r>
        <w:rPr>
          <w:rFonts w:ascii="Times New Roman" w:eastAsia="Times New Roman" w:hAnsi="Times New Roman" w:cs="Times New Roman"/>
          <w:b/>
          <w:i/>
          <w:sz w:val="20"/>
          <w:szCs w:val="20"/>
        </w:rPr>
        <w:t xml:space="preserve"> </w:t>
      </w:r>
      <w:r>
        <w:rPr>
          <w:rFonts w:ascii="Times New Roman" w:eastAsia="Times New Roman" w:hAnsi="Times New Roman" w:cs="Times New Roman"/>
          <w:sz w:val="20"/>
          <w:szCs w:val="20"/>
        </w:rPr>
        <w:t>– property owned by one or more private persons or businesses; much broader than land, includes personalty</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Legal Positivism</w:t>
      </w:r>
      <w:r>
        <w:rPr>
          <w:rFonts w:ascii="Times New Roman" w:eastAsia="Times New Roman" w:hAnsi="Times New Roman" w:cs="Times New Roman"/>
          <w:sz w:val="20"/>
          <w:szCs w:val="20"/>
        </w:rPr>
        <w:t xml:space="preserve"> – property is a human invention, not the result of divine gift or natural right, property exists only to the extent that it is recognized by the government; because property is a human invention, it is based on reason and the justification for property is</w:t>
      </w:r>
      <w:r>
        <w:rPr>
          <w:rFonts w:ascii="Times New Roman" w:eastAsia="Times New Roman" w:hAnsi="Times New Roman" w:cs="Times New Roman"/>
          <w:sz w:val="20"/>
          <w:szCs w:val="20"/>
        </w:rPr>
        <w:t xml:space="preserve"> important because it determines the scope and extent of legally recognized property rights</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Natural law theory</w:t>
      </w:r>
      <w:r>
        <w:rPr>
          <w:rFonts w:ascii="Times New Roman" w:eastAsia="Times New Roman" w:hAnsi="Times New Roman" w:cs="Times New Roman"/>
          <w:sz w:val="20"/>
          <w:szCs w:val="20"/>
        </w:rPr>
        <w:t xml:space="preserve"> – the idea that certain rights naturally exist as a matter of fundamental justice regardless of government action, has little to do with modern p</w:t>
      </w:r>
      <w:r>
        <w:rPr>
          <w:rFonts w:ascii="Times New Roman" w:eastAsia="Times New Roman" w:hAnsi="Times New Roman" w:cs="Times New Roman"/>
          <w:sz w:val="20"/>
          <w:szCs w:val="20"/>
        </w:rPr>
        <w:t>roperty law</w:t>
      </w:r>
    </w:p>
    <w:p w:rsidR="00E46D95" w:rsidRDefault="006F495B">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Five Theories of Property – no one theory is accepted as the only justification for property, property law reflects a blend of different approaches of both these theories and others</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(1) Protect First Possession</w:t>
      </w:r>
      <w:r>
        <w:rPr>
          <w:rFonts w:ascii="Times New Roman" w:eastAsia="Times New Roman" w:hAnsi="Times New Roman" w:cs="Times New Roman"/>
          <w:sz w:val="20"/>
          <w:szCs w:val="20"/>
        </w:rPr>
        <w:t xml:space="preserve"> – first in time concept; historic</w:t>
      </w:r>
      <w:r>
        <w:rPr>
          <w:rFonts w:ascii="Times New Roman" w:eastAsia="Times New Roman" w:hAnsi="Times New Roman" w:cs="Times New Roman"/>
          <w:sz w:val="20"/>
          <w:szCs w:val="20"/>
        </w:rPr>
        <w:t>ally significant, particularly for water, oil, gas, wild animals, and other natural resources in the 19th century, but little significance today because almost every tangible thing is already owned by someone; scholars conclude that first possession descri</w:t>
      </w:r>
      <w:r>
        <w:rPr>
          <w:rFonts w:ascii="Times New Roman" w:eastAsia="Times New Roman" w:hAnsi="Times New Roman" w:cs="Times New Roman"/>
          <w:sz w:val="20"/>
          <w:szCs w:val="20"/>
        </w:rPr>
        <w:t xml:space="preserve">bes </w:t>
      </w:r>
      <w:r>
        <w:rPr>
          <w:rFonts w:ascii="Times New Roman" w:eastAsia="Times New Roman" w:hAnsi="Times New Roman" w:cs="Times New Roman"/>
          <w:i/>
          <w:sz w:val="20"/>
          <w:szCs w:val="20"/>
        </w:rPr>
        <w:t>how</w:t>
      </w:r>
      <w:r>
        <w:rPr>
          <w:rFonts w:ascii="Times New Roman" w:eastAsia="Times New Roman" w:hAnsi="Times New Roman" w:cs="Times New Roman"/>
          <w:sz w:val="20"/>
          <w:szCs w:val="20"/>
        </w:rPr>
        <w:t xml:space="preserve"> property rights arose but not </w:t>
      </w:r>
      <w:r>
        <w:rPr>
          <w:rFonts w:ascii="Times New Roman" w:eastAsia="Times New Roman" w:hAnsi="Times New Roman" w:cs="Times New Roman"/>
          <w:i/>
          <w:sz w:val="20"/>
          <w:szCs w:val="20"/>
        </w:rPr>
        <w:t>why</w:t>
      </w:r>
      <w:r>
        <w:rPr>
          <w:rFonts w:ascii="Times New Roman" w:eastAsia="Times New Roman" w:hAnsi="Times New Roman" w:cs="Times New Roman"/>
          <w:sz w:val="20"/>
          <w:szCs w:val="20"/>
        </w:rPr>
        <w:t xml:space="preserve"> it makes sense for society to recognize those rights</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(2) Encourage Labor (“Labor”)</w:t>
      </w:r>
      <w:r>
        <w:rPr>
          <w:rFonts w:ascii="Times New Roman" w:eastAsia="Times New Roman" w:hAnsi="Times New Roman" w:cs="Times New Roman"/>
          <w:sz w:val="20"/>
          <w:szCs w:val="20"/>
        </w:rPr>
        <w:t xml:space="preserve"> –  every person is entitled to the property produced through his own labor, when a person mixed his own labor (which he owns) with </w:t>
      </w:r>
      <w:r>
        <w:rPr>
          <w:rFonts w:ascii="Times New Roman" w:eastAsia="Times New Roman" w:hAnsi="Times New Roman" w:cs="Times New Roman"/>
          <w:sz w:val="20"/>
          <w:szCs w:val="20"/>
        </w:rPr>
        <w:t>natural resources (which were unowned) he acquired property rights in the mixture (John Locke)</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(3) Maximize Societal Happiness (“Utilitarian”) </w:t>
      </w:r>
      <w:r>
        <w:rPr>
          <w:rFonts w:ascii="Times New Roman" w:eastAsia="Times New Roman" w:hAnsi="Times New Roman" w:cs="Times New Roman"/>
          <w:sz w:val="20"/>
          <w:szCs w:val="20"/>
        </w:rPr>
        <w:t>– we recognize property in order to maximize the overall happiness of society, thus it is a means to an end (Jere</w:t>
      </w:r>
      <w:r>
        <w:rPr>
          <w:rFonts w:ascii="Times New Roman" w:eastAsia="Times New Roman" w:hAnsi="Times New Roman" w:cs="Times New Roman"/>
          <w:sz w:val="20"/>
          <w:szCs w:val="20"/>
        </w:rPr>
        <w:t>my Bentham); we distribute and define property rights in a manner that best promotes the welfare of all citizens, not simply those who own property</w:t>
      </w:r>
    </w:p>
    <w:p w:rsidR="00E46D95" w:rsidRDefault="006F495B">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Law and economics variant of utilitarianism</w:t>
      </w:r>
      <w:r>
        <w:rPr>
          <w:rFonts w:ascii="Times New Roman" w:eastAsia="Times New Roman" w:hAnsi="Times New Roman" w:cs="Times New Roman"/>
          <w:sz w:val="20"/>
          <w:szCs w:val="20"/>
        </w:rPr>
        <w:t xml:space="preserve"> – property is seen as an efficient method of allocating valuable</w:t>
      </w:r>
      <w:r>
        <w:rPr>
          <w:rFonts w:ascii="Times New Roman" w:eastAsia="Times New Roman" w:hAnsi="Times New Roman" w:cs="Times New Roman"/>
          <w:sz w:val="20"/>
          <w:szCs w:val="20"/>
        </w:rPr>
        <w:t xml:space="preserve"> resources in order to maximize one particular facet of societal happiness, wealth, typically measured in dollars; views land as a commodity in commerce, like any other raw material and tends to ignore the non-monetary benefits of environmental preservatio</w:t>
      </w:r>
      <w:r>
        <w:rPr>
          <w:rFonts w:ascii="Times New Roman" w:eastAsia="Times New Roman" w:hAnsi="Times New Roman" w:cs="Times New Roman"/>
          <w:sz w:val="20"/>
          <w:szCs w:val="20"/>
        </w:rPr>
        <w:t xml:space="preserve">n (ecological approach as an alternative perspective to this); has powerfully affected modern property law scholarship; property exists to ensure that owners use resources in an </w:t>
      </w:r>
      <w:r>
        <w:rPr>
          <w:rFonts w:ascii="Times New Roman" w:eastAsia="Times New Roman" w:hAnsi="Times New Roman" w:cs="Times New Roman"/>
          <w:i/>
          <w:sz w:val="20"/>
          <w:szCs w:val="20"/>
        </w:rPr>
        <w:t xml:space="preserve">efficient </w:t>
      </w:r>
      <w:r>
        <w:rPr>
          <w:rFonts w:ascii="Times New Roman" w:eastAsia="Times New Roman" w:hAnsi="Times New Roman" w:cs="Times New Roman"/>
          <w:sz w:val="20"/>
          <w:szCs w:val="20"/>
        </w:rPr>
        <w:t>manner, a manner which maximizes economic value defined as a person’</w:t>
      </w:r>
      <w:r>
        <w:rPr>
          <w:rFonts w:ascii="Times New Roman" w:eastAsia="Times New Roman" w:hAnsi="Times New Roman" w:cs="Times New Roman"/>
          <w:sz w:val="20"/>
          <w:szCs w:val="20"/>
        </w:rPr>
        <w:t xml:space="preserve">s willingness to pay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(4) Ensure Democracy (“Civic Republican”) </w:t>
      </w:r>
      <w:r>
        <w:rPr>
          <w:rFonts w:ascii="Times New Roman" w:eastAsia="Times New Roman" w:hAnsi="Times New Roman" w:cs="Times New Roman"/>
          <w:sz w:val="20"/>
          <w:szCs w:val="20"/>
        </w:rPr>
        <w:t>– property facilitates democracy; in 1700s Jefferson and others envisioned the new US as a nation of free yeoman farmers who owned their own lands and could thus exercise the independent polit</w:t>
      </w:r>
      <w:r>
        <w:rPr>
          <w:rFonts w:ascii="Times New Roman" w:eastAsia="Times New Roman" w:hAnsi="Times New Roman" w:cs="Times New Roman"/>
          <w:sz w:val="20"/>
          <w:szCs w:val="20"/>
        </w:rPr>
        <w:t xml:space="preserve">ical judgment that was vital for true democracy; less prominent today but </w:t>
      </w:r>
      <w:r>
        <w:rPr>
          <w:rFonts w:ascii="Times New Roman" w:eastAsia="Times New Roman" w:hAnsi="Times New Roman" w:cs="Times New Roman"/>
          <w:sz w:val="20"/>
          <w:szCs w:val="20"/>
        </w:rPr>
        <w:lastRenderedPageBreak/>
        <w:t xml:space="preserve">many scholars still suggest that giving a person a “stake in society” through property ownership will provide political social benefits to all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(5) Facilitate Personal Development (“</w:t>
      </w:r>
      <w:r>
        <w:rPr>
          <w:rFonts w:ascii="Times New Roman" w:eastAsia="Times New Roman" w:hAnsi="Times New Roman" w:cs="Times New Roman"/>
          <w:i/>
          <w:sz w:val="20"/>
          <w:szCs w:val="20"/>
        </w:rPr>
        <w:t>Personhood”)</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 property is necessary for an individual’s personal development; each person has a close emotional connection to certain tangible things which virtually become part of one’s self (Georg Hegel); some scholars go as far to suggest that a right </w:t>
      </w:r>
      <w:r>
        <w:rPr>
          <w:rFonts w:ascii="Times New Roman" w:eastAsia="Times New Roman" w:hAnsi="Times New Roman" w:cs="Times New Roman"/>
          <w:sz w:val="20"/>
          <w:szCs w:val="20"/>
        </w:rPr>
        <w:t xml:space="preserve">to personhood property should be given priority over a conflicting claim by the owner of non-personhood property </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Pierson v. Post</w:t>
      </w:r>
      <w:r>
        <w:rPr>
          <w:rFonts w:ascii="Times New Roman" w:eastAsia="Times New Roman" w:hAnsi="Times New Roman" w:cs="Times New Roman"/>
          <w:color w:val="FF0000"/>
          <w:sz w:val="20"/>
          <w:szCs w:val="20"/>
          <w:shd w:val="clear" w:color="auto" w:fill="FFF2CC"/>
        </w:rPr>
        <w:t xml:space="preserve"> (Supreme Court of New York, 1805)</w:t>
      </w:r>
      <w:r>
        <w:rPr>
          <w:rFonts w:ascii="Times New Roman" w:eastAsia="Times New Roman" w:hAnsi="Times New Roman" w:cs="Times New Roman"/>
          <w:color w:val="FF0000"/>
          <w:sz w:val="20"/>
          <w:szCs w:val="20"/>
        </w:rPr>
        <w:t xml:space="preserve"> –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Post = fox hunter/laboring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Pierson = killer/shooter</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Pierson wins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No case law, first impression and all authorities are persuasive only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Possession = actual bodily seizure by killing (or mortally wounding) fox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(Livingston) Fair Chase rule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Not over first possession rule but arguing what constitutes that p</w:t>
      </w:r>
      <w:r>
        <w:rPr>
          <w:rFonts w:ascii="Times New Roman" w:eastAsia="Times New Roman" w:hAnsi="Times New Roman" w:cs="Times New Roman"/>
          <w:color w:val="FF0000"/>
          <w:sz w:val="20"/>
          <w:szCs w:val="20"/>
        </w:rPr>
        <w:t xml:space="preserve">ossession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Spectrum between Sight, Fair Chase, and Killing/Mortally Wounding (M says K/MW and D says FC)</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Also a disagreement over how to get there (cited authority)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 Extensive research (top-down law)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Sportsman arbitration – they know what kind of la</w:t>
      </w:r>
      <w:r>
        <w:rPr>
          <w:rFonts w:ascii="Times New Roman" w:eastAsia="Times New Roman" w:hAnsi="Times New Roman" w:cs="Times New Roman"/>
          <w:color w:val="FF0000"/>
          <w:sz w:val="20"/>
          <w:szCs w:val="20"/>
        </w:rPr>
        <w:t>bor; different way of thinking about creation of law (bottom-up law)</w:t>
      </w:r>
    </w:p>
    <w:p w:rsidR="00E46D95" w:rsidRDefault="00E46D95">
      <w:pPr>
        <w:numPr>
          <w:ilvl w:val="3"/>
          <w:numId w:val="19"/>
        </w:numPr>
        <w:contextualSpacing/>
        <w:rPr>
          <w:rFonts w:ascii="Times New Roman" w:eastAsia="Times New Roman" w:hAnsi="Times New Roman" w:cs="Times New Roman"/>
          <w:color w:val="FF0000"/>
          <w:sz w:val="20"/>
          <w:szCs w:val="20"/>
        </w:rPr>
      </w:pP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Livingston: Law should reflect custom – the end sought is to kill foxes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Every state now owns/possesses its own animals but then there wasn’t such a state law</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Review: Rule of Capture; Pi</w:t>
      </w:r>
      <w:r>
        <w:rPr>
          <w:rFonts w:ascii="Times New Roman" w:eastAsia="Times New Roman" w:hAnsi="Times New Roman" w:cs="Times New Roman"/>
          <w:color w:val="FF0000"/>
          <w:sz w:val="20"/>
          <w:szCs w:val="20"/>
        </w:rPr>
        <w:t>erson: Defining capture</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White v. Samsung Electronics America, Inc. </w:t>
      </w:r>
      <w:r>
        <w:rPr>
          <w:rFonts w:ascii="Times New Roman" w:eastAsia="Times New Roman" w:hAnsi="Times New Roman" w:cs="Times New Roman"/>
          <w:color w:val="FF0000"/>
          <w:sz w:val="20"/>
          <w:szCs w:val="20"/>
          <w:shd w:val="clear" w:color="auto" w:fill="FFF2CC"/>
        </w:rPr>
        <w:t>(United States Court of Appeals, Ninth Circuit, 1992)</w:t>
      </w:r>
      <w:r>
        <w:rPr>
          <w:rFonts w:ascii="Times New Roman" w:eastAsia="Times New Roman" w:hAnsi="Times New Roman" w:cs="Times New Roman"/>
          <w:color w:val="FF0000"/>
          <w:sz w:val="20"/>
          <w:szCs w:val="20"/>
        </w:rPr>
        <w:t xml:space="preserve"> –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Samsung used her likeness without her permission in an ad to sell VCRs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SJ in favor of D, appealed to the 9th circuit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Claims/I: (1) CA code, (2) publicity, (3) Lanham Act</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(1) No violation, (2) Vanna wins on right of publicity in CA (state common law)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White has the right to exclude Samsung from making money off her image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 #’s 1, 2, &amp; 5 (of policies)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D: Too much p</w:t>
      </w:r>
      <w:r>
        <w:rPr>
          <w:rFonts w:ascii="Cardo" w:eastAsia="Cardo" w:hAnsi="Cardo" w:cs="Cardo"/>
          <w:color w:val="FF0000"/>
          <w:sz w:val="20"/>
          <w:szCs w:val="20"/>
        </w:rPr>
        <w:t xml:space="preserve">rivate property stifles public creation → spill over effects; overprotection of celebrities stifles creativity and invention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May disagree on #’s (at least on 2); can argue over the policies</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Review: Creation Case; White created a personality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Court protected (strong D)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Dead celebrities – not really serving any of the property policies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Pg. 26 &amp; 27</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Property</w:t>
      </w:r>
      <w:r>
        <w:rPr>
          <w:rFonts w:ascii="Times New Roman" w:eastAsia="Times New Roman" w:hAnsi="Times New Roman" w:cs="Times New Roman"/>
          <w:sz w:val="20"/>
          <w:szCs w:val="20"/>
        </w:rPr>
        <w:t xml:space="preserve"> – rights among people concerning things; “bundle of rights/sticks”: (1) </w:t>
      </w:r>
      <w:r>
        <w:rPr>
          <w:rFonts w:ascii="Times New Roman" w:eastAsia="Times New Roman" w:hAnsi="Times New Roman" w:cs="Times New Roman"/>
          <w:i/>
          <w:sz w:val="20"/>
          <w:szCs w:val="20"/>
        </w:rPr>
        <w:t xml:space="preserve">Right to transfer, </w:t>
      </w: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 xml:space="preserve">right to exclude, </w:t>
      </w: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 xml:space="preserve">right to use, </w:t>
      </w:r>
      <w:r>
        <w:rPr>
          <w:rFonts w:ascii="Times New Roman" w:eastAsia="Times New Roman" w:hAnsi="Times New Roman" w:cs="Times New Roman"/>
          <w:sz w:val="20"/>
          <w:szCs w:val="20"/>
        </w:rPr>
        <w:t>and (</w:t>
      </w:r>
      <w:r>
        <w:rPr>
          <w:rFonts w:ascii="Times New Roman" w:eastAsia="Times New Roman" w:hAnsi="Times New Roman" w:cs="Times New Roman"/>
          <w:sz w:val="20"/>
          <w:szCs w:val="20"/>
        </w:rPr>
        <w:t>4)</w:t>
      </w:r>
      <w:r>
        <w:rPr>
          <w:rFonts w:ascii="Times New Roman" w:eastAsia="Times New Roman" w:hAnsi="Times New Roman" w:cs="Times New Roman"/>
          <w:i/>
          <w:sz w:val="20"/>
          <w:szCs w:val="20"/>
        </w:rPr>
        <w:t xml:space="preserve"> right to destroy</w:t>
      </w:r>
    </w:p>
    <w:p w:rsidR="00E46D95" w:rsidRDefault="006F495B">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Four key implications of the [bundle of] rights approach:</w:t>
      </w:r>
    </w:p>
    <w:p w:rsidR="00E46D95" w:rsidRDefault="006F495B">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Property rights are defined by the government</w:t>
      </w:r>
      <w:r>
        <w:rPr>
          <w:rFonts w:ascii="Times New Roman" w:eastAsia="Times New Roman" w:hAnsi="Times New Roman" w:cs="Times New Roman"/>
          <w:sz w:val="20"/>
          <w:szCs w:val="20"/>
        </w:rPr>
        <w:t xml:space="preserve"> – the basic concept to legal positivism that someone only owns property rights to the extent that they are recognized by government</w:t>
      </w:r>
    </w:p>
    <w:p w:rsidR="00E46D95" w:rsidRDefault="006F495B">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Property rights are relative not absolute</w:t>
      </w:r>
      <w:r>
        <w:rPr>
          <w:rFonts w:ascii="Times New Roman" w:eastAsia="Times New Roman" w:hAnsi="Times New Roman" w:cs="Times New Roman"/>
          <w:sz w:val="20"/>
          <w:szCs w:val="20"/>
        </w:rPr>
        <w:t xml:space="preserve"> – property rights sometimes conflict, in fact much of property law is devoted to reconciling disputes between different owners or between an owner and the community; “Some rights in the bundle conflict with other r</w:t>
      </w:r>
      <w:r>
        <w:rPr>
          <w:rFonts w:ascii="Times New Roman" w:eastAsia="Times New Roman" w:hAnsi="Times New Roman" w:cs="Times New Roman"/>
          <w:sz w:val="20"/>
          <w:szCs w:val="20"/>
        </w:rPr>
        <w:t xml:space="preserve">ights in the bundle; the property rights of one person  </w:t>
      </w:r>
    </w:p>
    <w:p w:rsidR="00E46D95" w:rsidRDefault="006F495B">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Property rights can be divided</w:t>
      </w:r>
      <w:r>
        <w:rPr>
          <w:rFonts w:ascii="Times New Roman" w:eastAsia="Times New Roman" w:hAnsi="Times New Roman" w:cs="Times New Roman"/>
          <w:sz w:val="20"/>
          <w:szCs w:val="20"/>
        </w:rPr>
        <w:t xml:space="preserve"> – property rights may be split among multiple holders such that may be difficult to identify a single “owner”</w:t>
      </w:r>
    </w:p>
    <w:p w:rsidR="00E46D95" w:rsidRDefault="006F495B">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Property rights evolve as law changes</w:t>
      </w:r>
      <w:r>
        <w:rPr>
          <w:rFonts w:ascii="Times New Roman" w:eastAsia="Times New Roman" w:hAnsi="Times New Roman" w:cs="Times New Roman"/>
          <w:sz w:val="20"/>
          <w:szCs w:val="20"/>
        </w:rPr>
        <w:t xml:space="preserve"> – the nature and sco</w:t>
      </w:r>
      <w:r>
        <w:rPr>
          <w:rFonts w:ascii="Times New Roman" w:eastAsia="Times New Roman" w:hAnsi="Times New Roman" w:cs="Times New Roman"/>
          <w:sz w:val="20"/>
          <w:szCs w:val="20"/>
        </w:rPr>
        <w:t>pe of property rights evolve slowly over time as changing economic, technological, and social conditions gradually reshape the law. Property law is dynamic, not a set of static rules.</w:t>
      </w:r>
    </w:p>
    <w:p w:rsidR="00E46D95" w:rsidRDefault="006F495B">
      <w:pPr>
        <w:numPr>
          <w:ilvl w:val="4"/>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Though a core value of our property law system is </w:t>
      </w:r>
      <w:r>
        <w:rPr>
          <w:rFonts w:ascii="Times New Roman" w:eastAsia="Times New Roman" w:hAnsi="Times New Roman" w:cs="Times New Roman"/>
          <w:i/>
          <w:sz w:val="20"/>
          <w:szCs w:val="20"/>
        </w:rPr>
        <w:t>stability of title</w:t>
      </w:r>
      <w:r>
        <w:rPr>
          <w:rFonts w:ascii="Times New Roman" w:eastAsia="Times New Roman" w:hAnsi="Times New Roman" w:cs="Times New Roman"/>
          <w:sz w:val="20"/>
          <w:szCs w:val="20"/>
        </w:rPr>
        <w:t xml:space="preserve"> – t</w:t>
      </w:r>
      <w:r>
        <w:rPr>
          <w:rFonts w:ascii="Times New Roman" w:eastAsia="Times New Roman" w:hAnsi="Times New Roman" w:cs="Times New Roman"/>
          <w:sz w:val="20"/>
          <w:szCs w:val="20"/>
        </w:rPr>
        <w:t>he concept that property rights should be certain and predictable</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Right to Transfer (“</w:t>
      </w:r>
      <w:r>
        <w:rPr>
          <w:rFonts w:ascii="Times New Roman" w:eastAsia="Times New Roman" w:hAnsi="Times New Roman" w:cs="Times New Roman"/>
          <w:i/>
          <w:sz w:val="20"/>
          <w:szCs w:val="20"/>
        </w:rPr>
        <w:t>alienability</w:t>
      </w:r>
      <w:r>
        <w:rPr>
          <w:rFonts w:ascii="Times New Roman" w:eastAsia="Times New Roman" w:hAnsi="Times New Roman" w:cs="Times New Roman"/>
          <w:sz w:val="20"/>
          <w:szCs w:val="20"/>
        </w:rPr>
        <w:t xml:space="preserve">”) – generally, any owner may freely transfer or </w:t>
      </w:r>
      <w:r>
        <w:rPr>
          <w:rFonts w:ascii="Times New Roman" w:eastAsia="Times New Roman" w:hAnsi="Times New Roman" w:cs="Times New Roman"/>
          <w:i/>
          <w:sz w:val="20"/>
          <w:szCs w:val="20"/>
        </w:rPr>
        <w:t>alienate</w:t>
      </w:r>
      <w:r>
        <w:rPr>
          <w:rFonts w:ascii="Times New Roman" w:eastAsia="Times New Roman" w:hAnsi="Times New Roman" w:cs="Times New Roman"/>
          <w:sz w:val="20"/>
          <w:szCs w:val="20"/>
        </w:rPr>
        <w:t xml:space="preserve"> any of her property to anyone; the law favors alienation as a general matter (efficiency for market </w:t>
      </w:r>
      <w:r>
        <w:rPr>
          <w:rFonts w:ascii="Times New Roman" w:eastAsia="Times New Roman" w:hAnsi="Times New Roman" w:cs="Times New Roman"/>
          <w:sz w:val="20"/>
          <w:szCs w:val="20"/>
        </w:rPr>
        <w:t xml:space="preserve">economy, ensures property devoted to most valuable use).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scope of this right is sometimes limited for public policy reasons. The law sometimes restricts </w:t>
      </w:r>
      <w:r>
        <w:rPr>
          <w:rFonts w:ascii="Times New Roman" w:eastAsia="Times New Roman" w:hAnsi="Times New Roman" w:cs="Times New Roman"/>
          <w:i/>
          <w:sz w:val="20"/>
          <w:szCs w:val="20"/>
        </w:rPr>
        <w:t>who</w:t>
      </w:r>
      <w:r>
        <w:rPr>
          <w:rFonts w:ascii="Times New Roman" w:eastAsia="Times New Roman" w:hAnsi="Times New Roman" w:cs="Times New Roman"/>
          <w:sz w:val="20"/>
          <w:szCs w:val="20"/>
        </w:rPr>
        <w:t xml:space="preserve"> can transfer or obtain property, </w:t>
      </w:r>
      <w:r>
        <w:rPr>
          <w:rFonts w:ascii="Times New Roman" w:eastAsia="Times New Roman" w:hAnsi="Times New Roman" w:cs="Times New Roman"/>
          <w:i/>
          <w:sz w:val="20"/>
          <w:szCs w:val="20"/>
        </w:rPr>
        <w:t>what</w:t>
      </w:r>
      <w:r>
        <w:rPr>
          <w:rFonts w:ascii="Times New Roman" w:eastAsia="Times New Roman" w:hAnsi="Times New Roman" w:cs="Times New Roman"/>
          <w:sz w:val="20"/>
          <w:szCs w:val="20"/>
        </w:rPr>
        <w:t xml:space="preserve"> can be transferred, and </w:t>
      </w:r>
      <w:r>
        <w:rPr>
          <w:rFonts w:ascii="Times New Roman" w:eastAsia="Times New Roman" w:hAnsi="Times New Roman" w:cs="Times New Roman"/>
          <w:i/>
          <w:sz w:val="20"/>
          <w:szCs w:val="20"/>
        </w:rPr>
        <w:t xml:space="preserve">how </w:t>
      </w:r>
      <w:r>
        <w:rPr>
          <w:rFonts w:ascii="Times New Roman" w:eastAsia="Times New Roman" w:hAnsi="Times New Roman" w:cs="Times New Roman"/>
          <w:sz w:val="20"/>
          <w:szCs w:val="20"/>
        </w:rPr>
        <w:t>transfers are made</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Johnson </w:t>
      </w:r>
      <w:r>
        <w:rPr>
          <w:rFonts w:ascii="Times New Roman" w:eastAsia="Times New Roman" w:hAnsi="Times New Roman" w:cs="Times New Roman"/>
          <w:i/>
          <w:color w:val="FF0000"/>
          <w:sz w:val="20"/>
          <w:szCs w:val="20"/>
          <w:shd w:val="clear" w:color="auto" w:fill="FFF2CC"/>
        </w:rPr>
        <w:t>v. M’Intosh</w:t>
      </w:r>
      <w:r>
        <w:rPr>
          <w:rFonts w:ascii="Times New Roman" w:eastAsia="Times New Roman" w:hAnsi="Times New Roman" w:cs="Times New Roman"/>
          <w:color w:val="FF0000"/>
          <w:sz w:val="20"/>
          <w:szCs w:val="20"/>
          <w:shd w:val="clear" w:color="auto" w:fill="FFF2CC"/>
        </w:rPr>
        <w:t xml:space="preserve"> (SCOTUS, 1823)</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Background: Took a while to survey the land in the west (M’I grant came later)</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Claims: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Land grant from Chief in 1773</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M’I: Land grant from the gov’t in 1775</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First possession from chiefs or gov’t? (defining first impression rather than arguing it as a rule)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Ejectment – equitable action asking court to issue an injunction to remove someone from land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 asks court to remove M’I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J land grants invalid, </w:t>
      </w:r>
      <w:r>
        <w:rPr>
          <w:rFonts w:ascii="Times New Roman" w:eastAsia="Times New Roman" w:hAnsi="Times New Roman" w:cs="Times New Roman"/>
          <w:color w:val="FF0000"/>
          <w:sz w:val="20"/>
          <w:szCs w:val="20"/>
        </w:rPr>
        <w:t>M’I wins (first in time)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R: NA land grants no good → NA could not sell land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Discovery doctrine: When gov’t discovers land they get ultimate title to teh land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Ultimate title: Preemptive right to purchase (exclusive right to purchase)</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NA Chiefs have </w:t>
      </w:r>
      <w:r>
        <w:rPr>
          <w:rFonts w:ascii="Times New Roman" w:eastAsia="Times New Roman" w:hAnsi="Times New Roman" w:cs="Times New Roman"/>
          <w:color w:val="FF0000"/>
          <w:sz w:val="20"/>
          <w:szCs w:val="20"/>
        </w:rPr>
        <w:t xml:space="preserve">right to occupy (or conquer) right to use/possess </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Legal occupants to the soil </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 right to transfer why? (Conquest? Dicta (not binding), confusing, no conquest?)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Tribes can’t sell to Johnson but can to the US (monopsoly created) – on buyer (v. monopol</w:t>
      </w:r>
      <w:r>
        <w:rPr>
          <w:rFonts w:ascii="Times New Roman" w:eastAsia="Times New Roman" w:hAnsi="Times New Roman" w:cs="Times New Roman"/>
          <w:color w:val="FF0000"/>
          <w:sz w:val="20"/>
          <w:szCs w:val="20"/>
        </w:rPr>
        <w:t xml:space="preserve">y on seller) – drives down land prices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Protection rule by the gov’t </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Restraint on alienation – Americans don’t like, prefer market aka alienation but reasonable?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Stemming from Europe; Euro/Britain owned US, we won that from the war</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All Europeans excluded </w:t>
      </w:r>
      <w:r>
        <w:rPr>
          <w:rFonts w:ascii="Times New Roman" w:eastAsia="Times New Roman" w:hAnsi="Times New Roman" w:cs="Times New Roman"/>
          <w:color w:val="FF0000"/>
          <w:sz w:val="20"/>
          <w:szCs w:val="20"/>
        </w:rPr>
        <w:t xml:space="preserve">or all countries per discovery rule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Right to develop/etc. not taken away, only right of transfer restricted </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Property rule that fosters settlement with nat’l security under/overtones</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Enormous disruption in settled areas by people like Johnson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Specul</w:t>
      </w:r>
      <w:r>
        <w:rPr>
          <w:rFonts w:ascii="Times New Roman" w:eastAsia="Times New Roman" w:hAnsi="Times New Roman" w:cs="Times New Roman"/>
          <w:color w:val="FF0000"/>
          <w:sz w:val="20"/>
          <w:szCs w:val="20"/>
        </w:rPr>
        <w:t xml:space="preserve">ators lost and settlers stayed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Congress could alter court’s appellate JD → remember still early in nation/court’s history (real political concerns)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Idea of occupancy later hurt tribes (new category of estate)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Essentially saying a fee simple and right to</w:t>
      </w:r>
      <w:r>
        <w:rPr>
          <w:rFonts w:ascii="Times New Roman" w:eastAsia="Times New Roman" w:hAnsi="Times New Roman" w:cs="Times New Roman"/>
          <w:color w:val="FF0000"/>
          <w:sz w:val="20"/>
          <w:szCs w:val="20"/>
        </w:rPr>
        <w:t xml:space="preserve"> preemption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H: J cannot eject M’I because NA did not own ultimate title to land and cannot sell to J → only gov’t (at least in such a way that the US courts recognize) because of discovery doctrine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Marshall objects to natural law (abstract principles of law like Betham) rather property rights come from positive law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35 Marshall’s rationale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Abandonment– not really, need intention to abandon</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Advice only applies to selling to individuals not states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Better </w:t>
      </w:r>
      <w:r>
        <w:rPr>
          <w:rFonts w:ascii="Times New Roman" w:eastAsia="Times New Roman" w:hAnsi="Times New Roman" w:cs="Times New Roman"/>
          <w:color w:val="FF0000"/>
          <w:sz w:val="20"/>
          <w:szCs w:val="20"/>
          <w:u w:val="single"/>
        </w:rPr>
        <w:t>chain [of title]</w:t>
      </w:r>
      <w:r>
        <w:rPr>
          <w:rFonts w:ascii="Times New Roman" w:eastAsia="Times New Roman" w:hAnsi="Times New Roman" w:cs="Times New Roman"/>
          <w:color w:val="FF0000"/>
          <w:sz w:val="20"/>
          <w:szCs w:val="20"/>
        </w:rPr>
        <w:t xml:space="preserve"> will prevail (trail to the gov’t better) (many of these occurred by tribes after ruling)</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Florida case: Distinguish Spanish from Indians/NAs → Discovery doctrine to reconcile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NAs “improperly using land” – no notice; Spanish correct</w:t>
      </w:r>
      <w:r>
        <w:rPr>
          <w:rFonts w:ascii="Times New Roman" w:eastAsia="Times New Roman" w:hAnsi="Times New Roman" w:cs="Times New Roman"/>
          <w:color w:val="FF0000"/>
          <w:sz w:val="20"/>
          <w:szCs w:val="20"/>
        </w:rPr>
        <w:t>ly did this, not NAs</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“Abstract principles of justice”</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Moore v. Regents of the University of California</w:t>
      </w:r>
      <w:r>
        <w:rPr>
          <w:rFonts w:ascii="Times New Roman" w:eastAsia="Times New Roman" w:hAnsi="Times New Roman" w:cs="Times New Roman"/>
          <w:color w:val="FF0000"/>
          <w:sz w:val="20"/>
          <w:szCs w:val="20"/>
          <w:shd w:val="clear" w:color="auto" w:fill="FFF2CC"/>
        </w:rPr>
        <w:t xml:space="preserve"> (Supreme Court of California, 1990)</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Create cell line from spleen with $3B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patient has right to his excised cells (i.e. spleen)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Who o</w:t>
      </w:r>
      <w:r>
        <w:rPr>
          <w:rFonts w:ascii="Times New Roman" w:eastAsia="Times New Roman" w:hAnsi="Times New Roman" w:cs="Times New Roman"/>
          <w:color w:val="FF0000"/>
          <w:sz w:val="20"/>
          <w:szCs w:val="20"/>
        </w:rPr>
        <w:t xml:space="preserve">wns the cells? </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 Moore but once removed then the doctors who “labored” over the cells </w:t>
      </w:r>
    </w:p>
    <w:p w:rsidR="00E46D95" w:rsidRDefault="006F495B">
      <w:pPr>
        <w:numPr>
          <w:ilvl w:val="5"/>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Abandoned? Have spleen because told had to for his health</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CA statute limits P’s right to cells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Uses labor argument and utility argument (research good for socie</w:t>
      </w:r>
      <w:r>
        <w:rPr>
          <w:rFonts w:ascii="Times New Roman" w:eastAsia="Times New Roman" w:hAnsi="Times New Roman" w:cs="Times New Roman"/>
          <w:color w:val="FF0000"/>
          <w:sz w:val="20"/>
          <w:szCs w:val="20"/>
        </w:rPr>
        <w:t xml:space="preserve">ty); very likely will keep researching and just buy the cells though if adopted the D’s stance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(Mosk) BUT statute = health measure, not about money/property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 Says disposals means doctors in charge of/possess property over the excised cells</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Property r</w:t>
      </w:r>
      <w:r>
        <w:rPr>
          <w:rFonts w:ascii="Cardo" w:eastAsia="Cardo" w:hAnsi="Cardo" w:cs="Cardo"/>
          <w:color w:val="FF0000"/>
          <w:sz w:val="20"/>
          <w:szCs w:val="20"/>
        </w:rPr>
        <w:t xml:space="preserve">ights how we define them (i.e. can sell blood, hair sperm; UAGA) → saying can set up own rules about informed consent regarding econ windfalls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About conversion (i.e. “illegal conversion of my cells”) interfering with personal property (i.e. personal usage)</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Unlawful use (analogous to trespass for realty)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Remedies: Get back; damages (here)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Analogous to common law COA: Trover (now conversion) – re</w:t>
      </w:r>
      <w:r>
        <w:rPr>
          <w:rFonts w:ascii="Times New Roman" w:eastAsia="Times New Roman" w:hAnsi="Times New Roman" w:cs="Times New Roman"/>
          <w:color w:val="FF0000"/>
          <w:sz w:val="20"/>
          <w:szCs w:val="20"/>
        </w:rPr>
        <w:t xml:space="preserve">medy = damages (usually couldn’t get back); Replevin (if can get back) – remedy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Ejectment (alike </w:t>
      </w:r>
      <w:r>
        <w:rPr>
          <w:rFonts w:ascii="Times New Roman" w:eastAsia="Times New Roman" w:hAnsi="Times New Roman" w:cs="Times New Roman"/>
          <w:i/>
          <w:color w:val="FF0000"/>
          <w:sz w:val="20"/>
          <w:szCs w:val="20"/>
        </w:rPr>
        <w:t>Johnson</w:t>
      </w:r>
      <w:r>
        <w:rPr>
          <w:rFonts w:ascii="Times New Roman" w:eastAsia="Times New Roman" w:hAnsi="Times New Roman" w:cs="Times New Roman"/>
          <w:color w:val="FF0000"/>
          <w:sz w:val="20"/>
          <w:szCs w:val="20"/>
        </w:rPr>
        <w:t xml:space="preserve">) – similar to replevin but with realty </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Kidney hypo (in class): Market for personalty in a medical context</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In Moore first possession doctrine overpowered by labor doctrine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Accession doctrine – personalty goes to the person who created the most value (pg. 47) </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 to Exclude – owners have a broad right to exclude any other person from his property (considered</w:t>
      </w:r>
      <w:r>
        <w:rPr>
          <w:rFonts w:ascii="Times New Roman" w:eastAsia="Times New Roman" w:hAnsi="Times New Roman" w:cs="Times New Roman"/>
          <w:sz w:val="20"/>
          <w:szCs w:val="20"/>
        </w:rPr>
        <w:t xml:space="preserve"> “one of the more essential sticks” in the bundle) subject to privileges such as consent and necessity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E.g. If you own a tract of land, you may prevent anyone else from entering upon it, this right is implemented through the tort doctrine of </w:t>
      </w:r>
      <w:r>
        <w:rPr>
          <w:rFonts w:ascii="Times New Roman" w:eastAsia="Times New Roman" w:hAnsi="Times New Roman" w:cs="Times New Roman"/>
          <w:i/>
          <w:sz w:val="20"/>
          <w:szCs w:val="20"/>
        </w:rPr>
        <w:t>trespass</w:t>
      </w:r>
    </w:p>
    <w:p w:rsidR="00E46D95" w:rsidRDefault="006F495B">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Tres</w:t>
      </w:r>
      <w:r>
        <w:rPr>
          <w:rFonts w:ascii="Times New Roman" w:eastAsia="Times New Roman" w:hAnsi="Times New Roman" w:cs="Times New Roman"/>
          <w:i/>
          <w:sz w:val="20"/>
          <w:szCs w:val="20"/>
        </w:rPr>
        <w:t>pass</w:t>
      </w:r>
      <w:r>
        <w:rPr>
          <w:rFonts w:ascii="Times New Roman" w:eastAsia="Times New Roman" w:hAnsi="Times New Roman" w:cs="Times New Roman"/>
          <w:sz w:val="20"/>
          <w:szCs w:val="20"/>
        </w:rPr>
        <w:t xml:space="preserve"> – any intentional and unprivileged entry onto land in the possession of another person [is] a trespass</w:t>
      </w:r>
    </w:p>
    <w:p w:rsidR="00E46D95" w:rsidRDefault="006F495B">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Intentionally</w:t>
      </w:r>
      <w:r>
        <w:rPr>
          <w:rFonts w:ascii="Times New Roman" w:eastAsia="Times New Roman" w:hAnsi="Times New Roman" w:cs="Times New Roman"/>
          <w:sz w:val="20"/>
          <w:szCs w:val="20"/>
        </w:rPr>
        <w:t xml:space="preserve"> – if voluntarily enters onto the land; unnecessary to prove subjective intent/bad faith</w:t>
      </w:r>
    </w:p>
    <w:p w:rsidR="00E46D95" w:rsidRDefault="006F495B">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Entry made under a </w:t>
      </w:r>
      <w:r>
        <w:rPr>
          <w:rFonts w:ascii="Times New Roman" w:eastAsia="Times New Roman" w:hAnsi="Times New Roman" w:cs="Times New Roman"/>
          <w:i/>
          <w:sz w:val="20"/>
          <w:szCs w:val="20"/>
        </w:rPr>
        <w:t>privilege</w:t>
      </w:r>
      <w:r>
        <w:rPr>
          <w:rFonts w:ascii="Times New Roman" w:eastAsia="Times New Roman" w:hAnsi="Times New Roman" w:cs="Times New Roman"/>
          <w:sz w:val="20"/>
          <w:szCs w:val="20"/>
        </w:rPr>
        <w:t xml:space="preserve"> is not a trespass</w:t>
      </w:r>
      <w:r>
        <w:rPr>
          <w:rFonts w:ascii="Times New Roman" w:eastAsia="Times New Roman" w:hAnsi="Times New Roman" w:cs="Times New Roman"/>
          <w:sz w:val="20"/>
          <w:szCs w:val="20"/>
        </w:rPr>
        <w:t xml:space="preserve">; privileges include </w:t>
      </w:r>
      <w:r>
        <w:rPr>
          <w:rFonts w:ascii="Times New Roman" w:eastAsia="Times New Roman" w:hAnsi="Times New Roman" w:cs="Times New Roman"/>
          <w:i/>
          <w:sz w:val="20"/>
          <w:szCs w:val="20"/>
        </w:rPr>
        <w:t xml:space="preserve">consent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necessity</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Jacque v. Steenberg Homes, Inc. </w:t>
      </w:r>
      <w:r>
        <w:rPr>
          <w:rFonts w:ascii="Times New Roman" w:eastAsia="Times New Roman" w:hAnsi="Times New Roman" w:cs="Times New Roman"/>
          <w:color w:val="FF0000"/>
          <w:sz w:val="20"/>
          <w:szCs w:val="20"/>
          <w:shd w:val="clear" w:color="auto" w:fill="FFF2CC"/>
        </w:rPr>
        <w:t>(Supreme Court of Wisconsin, 1997)</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Steenberg wants to cut across the Jacque yard to deliver a mobile home</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Asked (multiple times) and P did not give permission (prior adverse possession issue where Ps distrusted others’ use of their land)</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P’s claim: She in trespass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Awarded $1 in nominal damages by the jury and $100k in punitives for trespass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Trial judge p</w:t>
      </w:r>
      <w:r>
        <w:rPr>
          <w:rFonts w:ascii="Times New Roman" w:eastAsia="Times New Roman" w:hAnsi="Times New Roman" w:cs="Times New Roman"/>
          <w:color w:val="FF0000"/>
          <w:sz w:val="20"/>
          <w:szCs w:val="20"/>
        </w:rPr>
        <w:t xml:space="preserve">uts punitives aside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Reverse on the punitives (J) – ok with nominal damages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Distinguishes </w:t>
      </w:r>
      <w:r>
        <w:rPr>
          <w:rFonts w:ascii="Times New Roman" w:eastAsia="Times New Roman" w:hAnsi="Times New Roman" w:cs="Times New Roman"/>
          <w:i/>
          <w:color w:val="FF0000"/>
          <w:sz w:val="20"/>
          <w:szCs w:val="20"/>
        </w:rPr>
        <w:t>Barnard</w:t>
      </w:r>
      <w:r>
        <w:rPr>
          <w:rFonts w:ascii="Times New Roman" w:eastAsia="Times New Roman" w:hAnsi="Times New Roman" w:cs="Times New Roman"/>
          <w:color w:val="FF0000"/>
          <w:sz w:val="20"/>
          <w:szCs w:val="20"/>
        </w:rPr>
        <w:t xml:space="preserve"> and instead applies </w:t>
      </w:r>
      <w:r>
        <w:rPr>
          <w:rFonts w:ascii="Times New Roman" w:eastAsia="Times New Roman" w:hAnsi="Times New Roman" w:cs="Times New Roman"/>
          <w:i/>
          <w:color w:val="FF0000"/>
          <w:sz w:val="20"/>
          <w:szCs w:val="20"/>
        </w:rPr>
        <w:t>McWilliams</w:t>
      </w:r>
      <w:r>
        <w:rPr>
          <w:rFonts w:ascii="Times New Roman" w:eastAsia="Times New Roman" w:hAnsi="Times New Roman" w:cs="Times New Roman"/>
          <w:color w:val="FF0000"/>
          <w:sz w:val="20"/>
          <w:szCs w:val="20"/>
        </w:rPr>
        <w:t xml:space="preserv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Distinguishes trespass claim from a libel claim</w:t>
      </w:r>
    </w:p>
    <w:p w:rsidR="00E46D95" w:rsidRDefault="006F495B">
      <w:pPr>
        <w:ind w:left="144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Right to exclude (most important stick in the bundle) and self-help is</w:t>
      </w:r>
      <w:r>
        <w:rPr>
          <w:rFonts w:ascii="Cardo" w:eastAsia="Cardo" w:hAnsi="Cardo" w:cs="Cardo"/>
          <w:color w:val="FF0000"/>
          <w:sz w:val="20"/>
          <w:szCs w:val="20"/>
        </w:rPr>
        <w:t xml:space="preserve">sue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Without punitives, can’t enforce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Economic disincentive to using land to max value (i.e. growing crops) if anyone could trespass without effective enforcement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Cite </w:t>
      </w:r>
      <w:r>
        <w:rPr>
          <w:rFonts w:ascii="Times New Roman" w:eastAsia="Times New Roman" w:hAnsi="Times New Roman" w:cs="Times New Roman"/>
          <w:i/>
          <w:color w:val="FF0000"/>
          <w:sz w:val="20"/>
          <w:szCs w:val="20"/>
        </w:rPr>
        <w:t>McWilliams</w:t>
      </w:r>
      <w:r>
        <w:rPr>
          <w:rFonts w:ascii="Times New Roman" w:eastAsia="Times New Roman" w:hAnsi="Times New Roman" w:cs="Times New Roman"/>
          <w:color w:val="FF0000"/>
          <w:sz w:val="20"/>
          <w:szCs w:val="20"/>
        </w:rPr>
        <w:t xml:space="preserve"> English case – privacy (BUT Steenberg not about privacy) </w:t>
      </w:r>
    </w:p>
    <w:p w:rsidR="00E46D95" w:rsidRDefault="006F495B">
      <w:pPr>
        <w:ind w:left="144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Perhaps punitiv</w:t>
      </w:r>
      <w:r>
        <w:rPr>
          <w:rFonts w:ascii="Cardo" w:eastAsia="Cardo" w:hAnsi="Cardo" w:cs="Cardo"/>
          <w:color w:val="FF0000"/>
          <w:sz w:val="20"/>
          <w:szCs w:val="20"/>
        </w:rPr>
        <w:t xml:space="preserve">es more applicable to privacy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Trespass = strict liability (v. nuisance = fault-based liability)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Trespass, awarded punitives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Know applicability of opening quotes for exam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Blackstone’s quote – absolute dominion, severe penalties if violated to deter ot</w:t>
      </w:r>
      <w:r>
        <w:rPr>
          <w:rFonts w:ascii="Times New Roman" w:eastAsia="Times New Roman" w:hAnsi="Times New Roman" w:cs="Times New Roman"/>
          <w:color w:val="FF0000"/>
          <w:sz w:val="20"/>
          <w:szCs w:val="20"/>
        </w:rPr>
        <w:t xml:space="preserve">hers (alike natural law)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State v. Shack </w:t>
      </w:r>
      <w:r>
        <w:rPr>
          <w:rFonts w:ascii="Times New Roman" w:eastAsia="Times New Roman" w:hAnsi="Times New Roman" w:cs="Times New Roman"/>
          <w:color w:val="FF0000"/>
          <w:sz w:val="20"/>
          <w:szCs w:val="20"/>
          <w:shd w:val="clear" w:color="auto" w:fill="FFF2CC"/>
        </w:rPr>
        <w:t>(Supreme Court of New Jersey, 1971)</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F/PH: Trespass case (state attempting to enforce trespass per NJ statute – why being prosecuted by state, prosecuted under state criminal trespass statute)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No trespass (defining trespass)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Property rights serve human values – injury to migrant workers, property rights depend on context</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Landlord-tenant relationship, employer-employee relationship (distinguishing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Trespass not the same in all conte</w:t>
      </w:r>
      <w:r>
        <w:rPr>
          <w:rFonts w:ascii="Times New Roman" w:eastAsia="Times New Roman" w:hAnsi="Times New Roman" w:cs="Times New Roman"/>
          <w:color w:val="FF0000"/>
          <w:sz w:val="20"/>
          <w:szCs w:val="20"/>
        </w:rPr>
        <w:t xml:space="preserve">xts, here none (at least not enough for a criminal penalty)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Gungsuh" w:eastAsia="Gungsuh" w:hAnsi="Gungsuh" w:cs="Gungsuh"/>
          <w:color w:val="FF0000"/>
          <w:sz w:val="20"/>
          <w:szCs w:val="20"/>
        </w:rPr>
        <w:t xml:space="preserve">Right to exclude ≠ absolute, not unfair to Tedesco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Utility, farmworkers’ ability to include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&amp; Personal development important (legal aid invited)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Right to exclude doesn’t trump other rights be</w:t>
      </w:r>
      <w:r>
        <w:rPr>
          <w:rFonts w:ascii="Times New Roman" w:eastAsia="Times New Roman" w:hAnsi="Times New Roman" w:cs="Times New Roman"/>
          <w:color w:val="FF0000"/>
          <w:sz w:val="20"/>
          <w:szCs w:val="20"/>
        </w:rPr>
        <w:t>cause property = human values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Migrants tenants/employees</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Distinguish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 xml:space="preserve"> &amp; </w:t>
      </w:r>
      <w:r>
        <w:rPr>
          <w:rFonts w:ascii="Times New Roman" w:eastAsia="Times New Roman" w:hAnsi="Times New Roman" w:cs="Times New Roman"/>
          <w:i/>
          <w:color w:val="FF0000"/>
          <w:sz w:val="20"/>
          <w:szCs w:val="20"/>
        </w:rPr>
        <w:t xml:space="preserve">Shack </w:t>
      </w:r>
      <w:r>
        <w:rPr>
          <w:rFonts w:ascii="Times New Roman" w:eastAsia="Times New Roman" w:hAnsi="Times New Roman" w:cs="Times New Roman"/>
          <w:color w:val="FF0000"/>
          <w:sz w:val="20"/>
          <w:szCs w:val="20"/>
        </w:rPr>
        <w:t xml:space="preserve">– </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Solicitors had the right – no trespass because property rights to protect people</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Owners and people invited by workers invited migrants (v.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 xml:space="preserve"> – no permission give</w:t>
      </w:r>
      <w:r>
        <w:rPr>
          <w:rFonts w:ascii="Times New Roman" w:eastAsia="Times New Roman" w:hAnsi="Times New Roman" w:cs="Times New Roman"/>
          <w:color w:val="FF0000"/>
          <w:sz w:val="20"/>
          <w:szCs w:val="20"/>
        </w:rPr>
        <w:t xml:space="preserve">n by owners when asked) </w:t>
      </w:r>
    </w:p>
    <w:p w:rsidR="00E46D95" w:rsidRDefault="006F495B">
      <w:pPr>
        <w:numPr>
          <w:ilvl w:val="5"/>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As such loses/diminishes right to exclude</w:t>
      </w:r>
    </w:p>
    <w:p w:rsidR="00E46D95" w:rsidRDefault="006F495B">
      <w:pPr>
        <w:numPr>
          <w:ilvl w:val="4"/>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Possessor: Tenant </w:t>
      </w:r>
      <w:r>
        <w:rPr>
          <w:rFonts w:ascii="Times New Roman" w:eastAsia="Times New Roman" w:hAnsi="Times New Roman" w:cs="Times New Roman"/>
          <w:i/>
          <w:color w:val="FF0000"/>
          <w:sz w:val="20"/>
          <w:szCs w:val="20"/>
        </w:rPr>
        <w:t>not</w:t>
      </w:r>
      <w:r>
        <w:rPr>
          <w:rFonts w:ascii="Times New Roman" w:eastAsia="Times New Roman" w:hAnsi="Times New Roman" w:cs="Times New Roman"/>
          <w:color w:val="FF0000"/>
          <w:sz w:val="20"/>
          <w:szCs w:val="20"/>
        </w:rPr>
        <w:t xml:space="preserve"> owner</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Invitation and rights of possessors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Know Fs of case (this and others) for exam then put facts with doctrine; reconcile cases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Applicable quote: Shaw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or not criminal trespassers? (State statute; penalty = jail)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No crim trespass (Shaw &amp; Cohen), secure interests in the law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NJ Supreme Court redefines trespass here – right to obtain info (greater than owner’s right to exclude) – balancing te</w:t>
      </w:r>
      <w:r>
        <w:rPr>
          <w:rFonts w:ascii="Times New Roman" w:eastAsia="Times New Roman" w:hAnsi="Times New Roman" w:cs="Times New Roman"/>
          <w:color w:val="FF0000"/>
          <w:sz w:val="20"/>
          <w:szCs w:val="20"/>
        </w:rPr>
        <w:t>st?</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Right to Roam [in Britain]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US used to recognize similar for hunting on unenclosed land – not anyone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May roam open country [in England]; everywhere but… (where do landowners rights trump?)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Anywhere except where potential damages to property; except where diminished privacy interests</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Alike reference to old English case in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 xml:space="preserve"> where man peering into windows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In Britain, aren’t public lands like here (different contexts) </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 to Use – an o</w:t>
      </w:r>
      <w:r>
        <w:rPr>
          <w:rFonts w:ascii="Times New Roman" w:eastAsia="Times New Roman" w:hAnsi="Times New Roman" w:cs="Times New Roman"/>
          <w:sz w:val="20"/>
          <w:szCs w:val="20"/>
        </w:rPr>
        <w:t xml:space="preserve">wner is normally entitled to use her property as she wishes, as long as she does not injure the rights of others; the principal limitation on an owner’s right to use is </w:t>
      </w:r>
      <w:r>
        <w:rPr>
          <w:rFonts w:ascii="Times New Roman" w:eastAsia="Times New Roman" w:hAnsi="Times New Roman" w:cs="Times New Roman"/>
          <w:i/>
          <w:sz w:val="20"/>
          <w:szCs w:val="20"/>
        </w:rPr>
        <w:t>nuisance</w:t>
      </w:r>
      <w:r>
        <w:rPr>
          <w:rFonts w:ascii="Times New Roman" w:eastAsia="Times New Roman" w:hAnsi="Times New Roman" w:cs="Times New Roman"/>
          <w:sz w:val="20"/>
          <w:szCs w:val="20"/>
        </w:rPr>
        <w:t xml:space="preserve">; some jurisdictions also prohibit[ed] the </w:t>
      </w:r>
      <w:r>
        <w:rPr>
          <w:rFonts w:ascii="Times New Roman" w:eastAsia="Times New Roman" w:hAnsi="Times New Roman" w:cs="Times New Roman"/>
          <w:i/>
          <w:sz w:val="20"/>
          <w:szCs w:val="20"/>
        </w:rPr>
        <w:t>spite fence</w:t>
      </w:r>
      <w:r>
        <w:rPr>
          <w:rFonts w:ascii="Times New Roman" w:eastAsia="Times New Roman" w:hAnsi="Times New Roman" w:cs="Times New Roman"/>
          <w:sz w:val="20"/>
          <w:szCs w:val="20"/>
        </w:rPr>
        <w:t>; these cases are excepti</w:t>
      </w:r>
      <w:r>
        <w:rPr>
          <w:rFonts w:ascii="Times New Roman" w:eastAsia="Times New Roman" w:hAnsi="Times New Roman" w:cs="Times New Roman"/>
          <w:sz w:val="20"/>
          <w:szCs w:val="20"/>
        </w:rPr>
        <w:t>ons to the general rule that a landowner is entitled to use her land as she sees fit.</w:t>
      </w:r>
    </w:p>
    <w:p w:rsidR="00E46D95" w:rsidRDefault="006F495B">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Spite fence doctrine</w:t>
      </w:r>
      <w:r>
        <w:rPr>
          <w:rFonts w:ascii="Times New Roman" w:eastAsia="Times New Roman" w:hAnsi="Times New Roman" w:cs="Times New Roman"/>
          <w:sz w:val="20"/>
          <w:szCs w:val="20"/>
        </w:rPr>
        <w:t xml:space="preserve"> – in many jurisdictions, a landowner cannot erect an unusually high fence along his property line for the sole purpose of annoying his neighbor</w:t>
      </w:r>
    </w:p>
    <w:p w:rsidR="00E46D95" w:rsidRDefault="006F495B">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Olive</w:t>
      </w:r>
      <w:r>
        <w:rPr>
          <w:rFonts w:ascii="Times New Roman" w:eastAsia="Times New Roman" w:hAnsi="Times New Roman" w:cs="Times New Roman"/>
          <w:sz w:val="20"/>
          <w:szCs w:val="20"/>
        </w:rPr>
        <w:t>r Wendell Holmes, Jr.: “It is plain that the right to use one’s property for the sole purpose of injuring others is not one of the immediate rights of ownership. It is not a right for the sake of which property is recognized by the law.”</w:t>
      </w:r>
    </w:p>
    <w:p w:rsidR="00E46D95" w:rsidRDefault="006F495B">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Nuisance</w:t>
      </w:r>
      <w:r>
        <w:rPr>
          <w:rFonts w:ascii="Times New Roman" w:eastAsia="Times New Roman" w:hAnsi="Times New Roman" w:cs="Times New Roman"/>
          <w:sz w:val="20"/>
          <w:szCs w:val="20"/>
        </w:rPr>
        <w:t xml:space="preserve"> – the tra</w:t>
      </w:r>
      <w:r>
        <w:rPr>
          <w:rFonts w:ascii="Times New Roman" w:eastAsia="Times New Roman" w:hAnsi="Times New Roman" w:cs="Times New Roman"/>
          <w:sz w:val="20"/>
          <w:szCs w:val="20"/>
        </w:rPr>
        <w:t xml:space="preserve">ditional method used to resolve land use conflicts; </w:t>
      </w:r>
      <w:r>
        <w:rPr>
          <w:rFonts w:ascii="Times New Roman" w:eastAsia="Times New Roman" w:hAnsi="Times New Roman" w:cs="Times New Roman"/>
          <w:i/>
          <w:sz w:val="20"/>
          <w:szCs w:val="20"/>
        </w:rPr>
        <w:t>private nuisance</w:t>
      </w:r>
      <w:r>
        <w:rPr>
          <w:rFonts w:ascii="Times New Roman" w:eastAsia="Times New Roman" w:hAnsi="Times New Roman" w:cs="Times New Roman"/>
          <w:sz w:val="20"/>
          <w:szCs w:val="20"/>
        </w:rPr>
        <w:t xml:space="preserve">: An (1) intentional, (2) non trespassory, (3) unreasonable (usually the most difficult question), and (4) substantial interference with (5) the use and enjoyment of the plaintiff’s land </w:t>
      </w:r>
    </w:p>
    <w:p w:rsidR="00E46D95" w:rsidRDefault="006F495B">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Unreasonable</w:t>
      </w:r>
      <w:r>
        <w:rPr>
          <w:rFonts w:ascii="Times New Roman" w:eastAsia="Times New Roman" w:hAnsi="Times New Roman" w:cs="Times New Roman"/>
          <w:sz w:val="20"/>
          <w:szCs w:val="20"/>
        </w:rPr>
        <w:t xml:space="preserve"> – if the gravity of the harm outweighs the utility of the actor’s conduct; whether the defendant’s conduct causes more harm than good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Sundowner, Inc. v. King </w:t>
      </w:r>
      <w:r>
        <w:rPr>
          <w:rFonts w:ascii="Times New Roman" w:eastAsia="Times New Roman" w:hAnsi="Times New Roman" w:cs="Times New Roman"/>
          <w:color w:val="FF0000"/>
          <w:sz w:val="20"/>
          <w:szCs w:val="20"/>
          <w:shd w:val="clear" w:color="auto" w:fill="FFF2CC"/>
        </w:rPr>
        <w:t>(Supreme Court of Idaho, 1973)</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Relationship: Buyer and seller of realty; now neighbors/competitors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Kings appealing on facts – arguing can use property as they want (Blackstonian absolute right to land)</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H/R: Can’t use land just to spite/annoy your neighbors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 right to injure neighb</w:t>
      </w:r>
      <w:r>
        <w:rPr>
          <w:rFonts w:ascii="Times New Roman" w:eastAsia="Times New Roman" w:hAnsi="Times New Roman" w:cs="Times New Roman"/>
          <w:color w:val="FF0000"/>
          <w:sz w:val="20"/>
          <w:szCs w:val="20"/>
        </w:rPr>
        <w:t>ors</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Expert witness on advertising </w:t>
      </w:r>
    </w:p>
    <w:p w:rsidR="00E46D95" w:rsidRDefault="006F495B">
      <w:pPr>
        <w:ind w:left="144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Right to use (v. possess) land/property – limited here </w:t>
      </w:r>
    </w:p>
    <w:p w:rsidR="00E46D95" w:rsidRDefault="006F495B">
      <w:pPr>
        <w:numPr>
          <w:ilvl w:val="2"/>
          <w:numId w:val="19"/>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Looking to intent</w:t>
      </w:r>
    </w:p>
    <w:p w:rsidR="00E46D95" w:rsidRDefault="006F495B">
      <w:pPr>
        <w:numPr>
          <w:ilvl w:val="2"/>
          <w:numId w:val="19"/>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Private nuisance – not as strict as trespass (i.e. in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 xml:space="preserve">) </w:t>
      </w:r>
    </w:p>
    <w:p w:rsidR="00E46D95" w:rsidRDefault="006F495B">
      <w:pPr>
        <w:numPr>
          <w:ilvl w:val="3"/>
          <w:numId w:val="19"/>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Nuisance = relative rights (balance) – utility </w:t>
      </w:r>
    </w:p>
    <w:p w:rsidR="00E46D95" w:rsidRDefault="006F495B">
      <w:pPr>
        <w:numPr>
          <w:ilvl w:val="2"/>
          <w:numId w:val="19"/>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Yes, nuisance</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No uti</w:t>
      </w:r>
      <w:r>
        <w:rPr>
          <w:rFonts w:ascii="Cardo" w:eastAsia="Cardo" w:hAnsi="Cardo" w:cs="Cardo"/>
          <w:color w:val="FF0000"/>
          <w:sz w:val="20"/>
          <w:szCs w:val="20"/>
        </w:rPr>
        <w:t xml:space="preserve">lity in “fence” (for spite) – but econ value (more guests to non-fenced motel) </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More like </w:t>
      </w:r>
      <w:r>
        <w:rPr>
          <w:rFonts w:ascii="Times New Roman" w:eastAsia="Times New Roman" w:hAnsi="Times New Roman" w:cs="Times New Roman"/>
          <w:i/>
          <w:color w:val="FF0000"/>
          <w:sz w:val="20"/>
          <w:szCs w:val="20"/>
        </w:rPr>
        <w:t>State v. Shack</w:t>
      </w:r>
      <w:r>
        <w:rPr>
          <w:rFonts w:ascii="Times New Roman" w:eastAsia="Times New Roman" w:hAnsi="Times New Roman" w:cs="Times New Roman"/>
          <w:color w:val="FF0000"/>
          <w:sz w:val="20"/>
          <w:szCs w:val="20"/>
        </w:rPr>
        <w:t xml:space="preserve"> (than </w:t>
      </w:r>
      <w:r>
        <w:rPr>
          <w:rFonts w:ascii="Times New Roman" w:eastAsia="Times New Roman" w:hAnsi="Times New Roman" w:cs="Times New Roman"/>
          <w:i/>
          <w:color w:val="FF0000"/>
          <w:sz w:val="20"/>
          <w:szCs w:val="20"/>
        </w:rPr>
        <w:t>Jacque</w:t>
      </w:r>
      <w:r>
        <w:rPr>
          <w:rFonts w:ascii="Times New Roman" w:eastAsia="Times New Roman" w:hAnsi="Times New Roman" w:cs="Times New Roman"/>
          <w:color w:val="FF0000"/>
          <w:sz w:val="20"/>
          <w:szCs w:val="20"/>
        </w:rPr>
        <w:t xml:space="preserv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Hypo: Planting big tree, must say not in spite (may argue diminished prop value) otherwise looks like sundowner</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Would want to show t</w:t>
      </w:r>
      <w:r>
        <w:rPr>
          <w:rFonts w:ascii="Cardo" w:eastAsia="Cardo" w:hAnsi="Cardo" w:cs="Cardo"/>
          <w:color w:val="FF0000"/>
          <w:sz w:val="20"/>
          <w:szCs w:val="20"/>
        </w:rPr>
        <w:t xml:space="preserve">hat only value to diminish business (spite)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Prah v. Maretti</w:t>
      </w:r>
      <w:r>
        <w:rPr>
          <w:rFonts w:ascii="Times New Roman" w:eastAsia="Times New Roman" w:hAnsi="Times New Roman" w:cs="Times New Roman"/>
          <w:color w:val="FF0000"/>
          <w:sz w:val="20"/>
          <w:szCs w:val="20"/>
          <w:shd w:val="clear" w:color="auto" w:fill="FFF2CC"/>
        </w:rPr>
        <w:t xml:space="preserve"> (Supreme Court of Wisconsin, 1982)</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Prah = 1st Possession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Maretti = owner of neighboring property, building house in residential land (no respass, using own land)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COA: Private nuisance (not unpermitted interference with possession) → trespass</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Elements: Substantial and unreasonable usage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Use/possession = distinguished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Nuisance (could be) – legit claim (lower court should not have denied claim)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Laws antiquate</w:t>
      </w:r>
      <w:r>
        <w:rPr>
          <w:rFonts w:ascii="Times New Roman" w:eastAsia="Times New Roman" w:hAnsi="Times New Roman" w:cs="Times New Roman"/>
          <w:color w:val="FF0000"/>
          <w:sz w:val="20"/>
          <w:szCs w:val="20"/>
        </w:rPr>
        <w:t xml:space="preserve">d – sunlight = economic value (v. soley aesthetic)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Three reasons (which overruled)</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Regulation = a sovereign law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“Nuisance per se” (i.e. gambling, pot)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Moral nuisances</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BUT nuisance per acideas (per the facts)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Unwilling to say couldn’t have nuisance</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w:t>
      </w:r>
      <w:r>
        <w:rPr>
          <w:rFonts w:ascii="Times New Roman" w:eastAsia="Times New Roman" w:hAnsi="Times New Roman" w:cs="Times New Roman"/>
          <w:color w:val="FF0000"/>
          <w:sz w:val="20"/>
          <w:szCs w:val="20"/>
        </w:rPr>
        <w:t>ubsequent H: Eventually settled (house built) – suit (with appeal) recommenced after</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Nuisance does not require showing of damages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How else to resolve?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Cites </w:t>
      </w:r>
      <w:r>
        <w:rPr>
          <w:rFonts w:ascii="Times New Roman" w:eastAsia="Times New Roman" w:hAnsi="Times New Roman" w:cs="Times New Roman"/>
          <w:i/>
          <w:color w:val="FF0000"/>
          <w:sz w:val="20"/>
          <w:szCs w:val="20"/>
        </w:rPr>
        <w:t>Founaine Bleu</w:t>
      </w:r>
      <w:r>
        <w:rPr>
          <w:rFonts w:ascii="Times New Roman" w:eastAsia="Times New Roman" w:hAnsi="Times New Roman" w:cs="Times New Roman"/>
          <w:color w:val="FF0000"/>
          <w:sz w:val="20"/>
          <w:szCs w:val="20"/>
        </w:rPr>
        <w:t xml:space="preserve"> (FL case) – asking for right to light that doesn’t exist</w:t>
      </w:r>
    </w:p>
    <w:p w:rsidR="00E46D95" w:rsidRDefault="006F495B">
      <w:pPr>
        <w:numPr>
          <w:ilvl w:val="3"/>
          <w:numId w:val="19"/>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Prah v. Maretti </w:t>
      </w:r>
      <w:r>
        <w:rPr>
          <w:rFonts w:ascii="Times New Roman" w:eastAsia="Times New Roman" w:hAnsi="Times New Roman" w:cs="Times New Roman"/>
          <w:color w:val="FF0000"/>
          <w:sz w:val="20"/>
          <w:szCs w:val="20"/>
        </w:rPr>
        <w:t>chose not t</w:t>
      </w:r>
      <w:r>
        <w:rPr>
          <w:rFonts w:ascii="Times New Roman" w:eastAsia="Times New Roman" w:hAnsi="Times New Roman" w:cs="Times New Roman"/>
          <w:color w:val="FF0000"/>
          <w:sz w:val="20"/>
          <w:szCs w:val="20"/>
        </w:rPr>
        <w:t>o follow – not a trespass and not a nuisance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83 hypos: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(2) View = aesthetic and nuisance does not often history comp. aesthetics (BUT </w:t>
      </w:r>
      <w:r>
        <w:rPr>
          <w:rFonts w:ascii="Times New Roman" w:eastAsia="Times New Roman" w:hAnsi="Times New Roman" w:cs="Times New Roman"/>
          <w:i/>
          <w:color w:val="FF0000"/>
          <w:sz w:val="20"/>
          <w:szCs w:val="20"/>
        </w:rPr>
        <w:t>Sundowner</w:t>
      </w:r>
      <w:r>
        <w:rPr>
          <w:rFonts w:ascii="Times New Roman" w:eastAsia="Times New Roman" w:hAnsi="Times New Roman" w:cs="Times New Roman"/>
          <w:color w:val="FF0000"/>
          <w:sz w:val="20"/>
          <w:szCs w:val="20"/>
        </w:rPr>
        <w:t xml:space="preserve"> – distinguish home and business); heat = better argument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Pg. 76-77: Definition/explanation of private nuis</w:t>
      </w:r>
      <w:r>
        <w:rPr>
          <w:rFonts w:ascii="Times New Roman" w:eastAsia="Times New Roman" w:hAnsi="Times New Roman" w:cs="Times New Roman"/>
          <w:color w:val="FF0000"/>
          <w:sz w:val="20"/>
          <w:szCs w:val="20"/>
        </w:rPr>
        <w:t xml:space="preserve">ance (unreasonable hard element to meet)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Ad coelum (pg. 77): Latin, old common law maxim (doctrine didn’t anticipate airplanes) → Court rejects </w:t>
      </w:r>
    </w:p>
    <w:p w:rsidR="00E46D95" w:rsidRDefault="006F495B">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 to Destroy – the right to destroy is a logical adjunct to the right to use and the law rarely intervenes</w:t>
      </w:r>
      <w:r>
        <w:rPr>
          <w:rFonts w:ascii="Times New Roman" w:eastAsia="Times New Roman" w:hAnsi="Times New Roman" w:cs="Times New Roman"/>
          <w:sz w:val="20"/>
          <w:szCs w:val="20"/>
        </w:rPr>
        <w:t xml:space="preserve"> to prevent destruction; difficulty arises when an owner seeks to destroy property that retains substantial value to society and some courts have limited this right</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Extreme situation: If an owner is insane or otherwise incompetent to handle his affairs, a court is empowered to appoint a guardian or conservator to preserve his estate </w:t>
      </w:r>
    </w:p>
    <w:p w:rsidR="00E46D95" w:rsidRDefault="006F495B">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Eyerman v. Mercantile Trust Co. </w:t>
      </w:r>
      <w:r>
        <w:rPr>
          <w:rFonts w:ascii="Times New Roman" w:eastAsia="Times New Roman" w:hAnsi="Times New Roman" w:cs="Times New Roman"/>
          <w:color w:val="FF0000"/>
          <w:sz w:val="20"/>
          <w:szCs w:val="20"/>
          <w:shd w:val="clear" w:color="auto" w:fill="FFF2CC"/>
        </w:rPr>
        <w:t>(Court of Appeals of Missouri, 1975)</w:t>
      </w:r>
      <w:r>
        <w:rPr>
          <w:rFonts w:ascii="Times New Roman" w:eastAsia="Times New Roman" w:hAnsi="Times New Roman" w:cs="Times New Roman"/>
          <w:color w:val="FF0000"/>
          <w:sz w:val="20"/>
          <w:szCs w:val="20"/>
        </w:rPr>
        <w:t xml:space="preserve"> –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Former owner’s right to destroy house and sell property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Testamentary; dead hand control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Didn’t say why wanted to destroy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Architectural (historic preservation without an ordinance); neighboring and own property value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Bad for us – property value; &amp;</w:t>
      </w:r>
      <w:r>
        <w:rPr>
          <w:rFonts w:ascii="Times New Roman" w:eastAsia="Times New Roman" w:hAnsi="Times New Roman" w:cs="Times New Roman"/>
          <w:color w:val="FF0000"/>
          <w:sz w:val="20"/>
          <w:szCs w:val="20"/>
        </w:rPr>
        <w:t xml:space="preserve"> bad for community (historic)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Cannot destroy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Public policy reasons (because case of first impression – new rule)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Lose money for estate</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Architectural signif – detrimental to community (Shaw and Cohen quotes)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Waste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Blackstonian argument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Sometim</w:t>
      </w:r>
      <w:r>
        <w:rPr>
          <w:rFonts w:ascii="Times New Roman" w:eastAsia="Times New Roman" w:hAnsi="Times New Roman" w:cs="Times New Roman"/>
          <w:color w:val="FF0000"/>
          <w:sz w:val="20"/>
          <w:szCs w:val="20"/>
        </w:rPr>
        <w:t xml:space="preserve">es when rules changed, prospectively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Can someone order destruction in will (post mortem) when no reason and substantial loss (costs) to them and community?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H/R: Waste; no → limit on otherwise right to destroy (pretty limited to facts of the case(?))</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M</w:t>
      </w:r>
      <w:r>
        <w:rPr>
          <w:rFonts w:ascii="Cardo" w:eastAsia="Cardo" w:hAnsi="Cardo" w:cs="Cardo"/>
          <w:color w:val="FF0000"/>
          <w:sz w:val="20"/>
          <w:szCs w:val="20"/>
        </w:rPr>
        <w:t xml:space="preserve">ajority: Fewer rights in death → community has certain rights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Subsequent: Eventually protected by statute &amp; worth a lot</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Eminent domain – a kind of taking by the gov’t (usually state, can be federal)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 xml:space="preserve">Must justly compensate; as such, paid for by taxpayers </w:t>
      </w:r>
      <w:r>
        <w:rPr>
          <w:rFonts w:ascii="Times New Roman" w:eastAsia="Times New Roman" w:hAnsi="Times New Roman" w:cs="Times New Roman"/>
          <w:color w:val="FF0000"/>
          <w:sz w:val="20"/>
          <w:szCs w:val="20"/>
        </w:rPr>
        <w:t xml:space="preserve">&amp; that becomes public &amp; for public use (not wanted here, presumably) </w:t>
      </w:r>
    </w:p>
    <w:p w:rsidR="00E46D95" w:rsidRDefault="006F495B">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Why not here? Politically unpopular taxpayer money, takes too long</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Property owner does not have right to protect from eminent domain </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Applicability limited to dead owners</w:t>
      </w:r>
    </w:p>
    <w:p w:rsidR="00E46D95" w:rsidRDefault="006F495B">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Review of cases: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First possession: </w:t>
      </w:r>
      <w:r>
        <w:rPr>
          <w:rFonts w:ascii="Times New Roman" w:eastAsia="Times New Roman" w:hAnsi="Times New Roman" w:cs="Times New Roman"/>
          <w:i/>
          <w:color w:val="FF0000"/>
          <w:sz w:val="20"/>
          <w:szCs w:val="20"/>
        </w:rPr>
        <w:t>Pierson v. Post</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White</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Johnson v. M’Intosh</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Labor/utility: </w:t>
      </w:r>
      <w:r>
        <w:rPr>
          <w:rFonts w:ascii="Times New Roman" w:eastAsia="Times New Roman" w:hAnsi="Times New Roman" w:cs="Times New Roman"/>
          <w:i/>
          <w:color w:val="FF0000"/>
          <w:sz w:val="20"/>
          <w:szCs w:val="20"/>
        </w:rPr>
        <w:t>Moore</w:t>
      </w:r>
      <w:r>
        <w:rPr>
          <w:rFonts w:ascii="Times New Roman" w:eastAsia="Times New Roman" w:hAnsi="Times New Roman" w:cs="Times New Roman"/>
          <w:color w:val="FF0000"/>
          <w:sz w:val="20"/>
          <w:szCs w:val="20"/>
        </w:rPr>
        <w:t xml:space="preserve"> (v. prior possession) – not abandoned (no intent)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Personhood &amp; First Possession: </w:t>
      </w:r>
      <w:r>
        <w:rPr>
          <w:rFonts w:ascii="Times New Roman" w:eastAsia="Times New Roman" w:hAnsi="Times New Roman" w:cs="Times New Roman"/>
          <w:i/>
          <w:color w:val="FF0000"/>
          <w:sz w:val="20"/>
          <w:szCs w:val="20"/>
        </w:rPr>
        <w:t xml:space="preserve">Jacque v. Steenberg </w:t>
      </w:r>
      <w:r>
        <w:rPr>
          <w:rFonts w:ascii="Times New Roman" w:eastAsia="Times New Roman" w:hAnsi="Times New Roman" w:cs="Times New Roman"/>
          <w:color w:val="FF0000"/>
          <w:sz w:val="20"/>
          <w:szCs w:val="20"/>
        </w:rPr>
        <w:t xml:space="preserve">(anti-utility), </w:t>
      </w:r>
      <w:r>
        <w:rPr>
          <w:rFonts w:ascii="Times New Roman" w:eastAsia="Times New Roman" w:hAnsi="Times New Roman" w:cs="Times New Roman"/>
          <w:i/>
          <w:color w:val="FF0000"/>
          <w:sz w:val="20"/>
          <w:szCs w:val="20"/>
        </w:rPr>
        <w:t>Shack</w:t>
      </w:r>
      <w:r>
        <w:rPr>
          <w:rFonts w:ascii="Times New Roman" w:eastAsia="Times New Roman" w:hAnsi="Times New Roman" w:cs="Times New Roman"/>
          <w:color w:val="FF0000"/>
          <w:sz w:val="20"/>
          <w:szCs w:val="20"/>
        </w:rPr>
        <w:t xml:space="preserve"> (&amp; Civic Republicanism) </w:t>
      </w:r>
    </w:p>
    <w:p w:rsidR="00E46D95" w:rsidRDefault="006F495B">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Utilit</w:t>
      </w:r>
      <w:r>
        <w:rPr>
          <w:rFonts w:ascii="Times New Roman" w:eastAsia="Times New Roman" w:hAnsi="Times New Roman" w:cs="Times New Roman"/>
          <w:color w:val="FF0000"/>
          <w:sz w:val="20"/>
          <w:szCs w:val="20"/>
        </w:rPr>
        <w:t xml:space="preserve">y: </w:t>
      </w:r>
      <w:r>
        <w:rPr>
          <w:rFonts w:ascii="Times New Roman" w:eastAsia="Times New Roman" w:hAnsi="Times New Roman" w:cs="Times New Roman"/>
          <w:i/>
          <w:color w:val="FF0000"/>
          <w:sz w:val="20"/>
          <w:szCs w:val="20"/>
        </w:rPr>
        <w:t>Sundowner</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 xml:space="preserve">Prah </w:t>
      </w:r>
      <w:r>
        <w:rPr>
          <w:rFonts w:ascii="Times New Roman" w:eastAsia="Times New Roman" w:hAnsi="Times New Roman" w:cs="Times New Roman"/>
          <w:color w:val="FF0000"/>
          <w:sz w:val="20"/>
          <w:szCs w:val="20"/>
        </w:rPr>
        <w:t xml:space="preserve">(nuisance; 1st &amp; Labor) – no resolution, </w:t>
      </w:r>
      <w:r>
        <w:rPr>
          <w:rFonts w:ascii="Times New Roman" w:eastAsia="Times New Roman" w:hAnsi="Times New Roman" w:cs="Times New Roman"/>
          <w:i/>
          <w:color w:val="FF0000"/>
          <w:sz w:val="20"/>
          <w:szCs w:val="20"/>
        </w:rPr>
        <w:t>Eyerman</w:t>
      </w:r>
    </w:p>
    <w:p w:rsidR="00E46D95" w:rsidRDefault="00E46D95">
      <w:pPr>
        <w:ind w:left="720"/>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 Owning Real Property</w:t>
      </w:r>
    </w:p>
    <w:p w:rsidR="00E46D95" w:rsidRDefault="006F495B">
      <w:pPr>
        <w:numPr>
          <w:ilvl w:val="0"/>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Two broad categories of property: </w:t>
      </w:r>
    </w:p>
    <w:p w:rsidR="00E46D95" w:rsidRDefault="006F495B">
      <w:pPr>
        <w:numPr>
          <w:ilvl w:val="1"/>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Real Property </w:t>
      </w:r>
      <w:r>
        <w:rPr>
          <w:rFonts w:ascii="Times New Roman" w:eastAsia="Times New Roman" w:hAnsi="Times New Roman" w:cs="Times New Roman"/>
          <w:sz w:val="20"/>
          <w:szCs w:val="20"/>
        </w:rPr>
        <w:t xml:space="preserve">– rights in land and things attached to land, such as buildings, fences, and trees </w:t>
      </w:r>
    </w:p>
    <w:p w:rsidR="00E46D95" w:rsidRDefault="006F495B">
      <w:pPr>
        <w:numPr>
          <w:ilvl w:val="1"/>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Personal Property </w:t>
      </w:r>
      <w:r>
        <w:rPr>
          <w:rFonts w:ascii="Times New Roman" w:eastAsia="Times New Roman" w:hAnsi="Times New Roman" w:cs="Times New Roman"/>
          <w:sz w:val="20"/>
          <w:szCs w:val="20"/>
        </w:rPr>
        <w:t xml:space="preserve">– rights in moveable items, such as chairs, pens, and computers and intangible things such as patents and shares of stock </w:t>
      </w:r>
    </w:p>
    <w:p w:rsidR="00E46D95" w:rsidRDefault="006F495B">
      <w:pPr>
        <w:numPr>
          <w:ilvl w:val="0"/>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This section explores three aspects of real property law: (1) Adverse possession, (2) the vertical limits of ownership, and (3) water</w:t>
      </w:r>
      <w:r>
        <w:rPr>
          <w:rFonts w:ascii="Times New Roman" w:eastAsia="Times New Roman" w:hAnsi="Times New Roman" w:cs="Times New Roman"/>
          <w:sz w:val="20"/>
          <w:szCs w:val="20"/>
        </w:rPr>
        <w:t xml:space="preserve"> law; the law in these areas have evolved in response to geography, technology, economic conditions, and social forces</w:t>
      </w:r>
    </w:p>
    <w:p w:rsidR="00E46D95" w:rsidRDefault="006F495B">
      <w:pPr>
        <w:numPr>
          <w:ilvl w:val="0"/>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Adverse Possession – a person occupies another person’s land for a long enough period while meeting certain conditions and thereby acquir</w:t>
      </w:r>
      <w:r>
        <w:rPr>
          <w:rFonts w:ascii="Times New Roman" w:eastAsia="Times New Roman" w:hAnsi="Times New Roman" w:cs="Times New Roman"/>
          <w:sz w:val="20"/>
          <w:szCs w:val="20"/>
        </w:rPr>
        <w:t xml:space="preserve">es title to that land without the other person’s (the initial title owner’s) consent </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Justifications for Adverse Possession </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Preventing Frivolous Claims</w:t>
      </w:r>
      <w:r>
        <w:rPr>
          <w:rFonts w:ascii="Times New Roman" w:eastAsia="Times New Roman" w:hAnsi="Times New Roman" w:cs="Times New Roman"/>
          <w:sz w:val="20"/>
          <w:szCs w:val="20"/>
        </w:rPr>
        <w:t xml:space="preserve"> – dominant view that a special statute of limitations for recovering possession of land, barring lawsui</w:t>
      </w:r>
      <w:r>
        <w:rPr>
          <w:rFonts w:ascii="Times New Roman" w:eastAsia="Times New Roman" w:hAnsi="Times New Roman" w:cs="Times New Roman"/>
          <w:sz w:val="20"/>
          <w:szCs w:val="20"/>
        </w:rPr>
        <w:t>ts based on stale, unreliable evidence and protecting the occupant from frivolous claims; provides occupant with security of title, encouraging the productive use of land</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Correcting Title Defects </w:t>
      </w:r>
      <w:r>
        <w:rPr>
          <w:rFonts w:ascii="Times New Roman" w:eastAsia="Times New Roman" w:hAnsi="Times New Roman" w:cs="Times New Roman"/>
          <w:sz w:val="20"/>
          <w:szCs w:val="20"/>
        </w:rPr>
        <w:t>– resolves the technical mistakes that often occur in the pr</w:t>
      </w:r>
      <w:r>
        <w:rPr>
          <w:rFonts w:ascii="Times New Roman" w:eastAsia="Times New Roman" w:hAnsi="Times New Roman" w:cs="Times New Roman"/>
          <w:sz w:val="20"/>
          <w:szCs w:val="20"/>
        </w:rPr>
        <w:t>ocess of conveying title to land by protecting the title of the person who actually occupies the land; lengthy possession serves as proof of title; creating certainty</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Encouraging Development</w:t>
      </w:r>
      <w:r>
        <w:rPr>
          <w:rFonts w:ascii="Times New Roman" w:eastAsia="Times New Roman" w:hAnsi="Times New Roman" w:cs="Times New Roman"/>
          <w:sz w:val="20"/>
          <w:szCs w:val="20"/>
        </w:rPr>
        <w:t xml:space="preserve"> – a legal tool to encourage economic development by reallocating </w:t>
      </w:r>
      <w:r>
        <w:rPr>
          <w:rFonts w:ascii="Times New Roman" w:eastAsia="Times New Roman" w:hAnsi="Times New Roman" w:cs="Times New Roman"/>
          <w:sz w:val="20"/>
          <w:szCs w:val="20"/>
        </w:rPr>
        <w:t>title from the idle owner to the industrious squatter, promoting productive use of land; punishing negligence/laches</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Protecting Personhood</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Oliver Wendell Holmes: “A thing which you have enjoyed and used as your own for a long time takes root in your bein</w:t>
      </w:r>
      <w:r>
        <w:rPr>
          <w:rFonts w:ascii="Times New Roman" w:eastAsia="Times New Roman" w:hAnsi="Times New Roman" w:cs="Times New Roman"/>
          <w:sz w:val="20"/>
          <w:szCs w:val="20"/>
        </w:rPr>
        <w:t>g and cannot be torn away without your resenting the act.”; those who invest get attached and denying their use is demoralizing</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Elements of Adverse Possession</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Actual Possession </w:t>
      </w:r>
      <w:r>
        <w:rPr>
          <w:rFonts w:ascii="Times New Roman" w:eastAsia="Times New Roman" w:hAnsi="Times New Roman" w:cs="Times New Roman"/>
          <w:sz w:val="20"/>
          <w:szCs w:val="20"/>
        </w:rPr>
        <w:t>– the claimant must physically use the land in the same manner that a reasonabl</w:t>
      </w:r>
      <w:r>
        <w:rPr>
          <w:rFonts w:ascii="Times New Roman" w:eastAsia="Times New Roman" w:hAnsi="Times New Roman" w:cs="Times New Roman"/>
          <w:sz w:val="20"/>
          <w:szCs w:val="20"/>
        </w:rPr>
        <w:t>e owner would, given its character, location, and nature</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Exclusive Possession</w:t>
      </w:r>
      <w:r>
        <w:rPr>
          <w:rFonts w:ascii="Times New Roman" w:eastAsia="Times New Roman" w:hAnsi="Times New Roman" w:cs="Times New Roman"/>
          <w:sz w:val="20"/>
          <w:szCs w:val="20"/>
        </w:rPr>
        <w:t xml:space="preserve"> – the claimant’s possession cannot be shared with the owner or with the public in general</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Open and Notorious Possession</w:t>
      </w:r>
      <w:r>
        <w:rPr>
          <w:rFonts w:ascii="Times New Roman" w:eastAsia="Times New Roman" w:hAnsi="Times New Roman" w:cs="Times New Roman"/>
          <w:sz w:val="20"/>
          <w:szCs w:val="20"/>
        </w:rPr>
        <w:t xml:space="preserve"> – the claimant’s possession must be visible and obvious, s</w:t>
      </w:r>
      <w:r>
        <w:rPr>
          <w:rFonts w:ascii="Times New Roman" w:eastAsia="Times New Roman" w:hAnsi="Times New Roman" w:cs="Times New Roman"/>
          <w:sz w:val="20"/>
          <w:szCs w:val="20"/>
        </w:rPr>
        <w:t>o that if the owner made a reasonable inspection of the land, he would become aware of the adverse claim (owner put on notice)</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Adverse and Hostile Possession </w:t>
      </w:r>
      <w:r>
        <w:rPr>
          <w:rFonts w:ascii="Times New Roman" w:eastAsia="Times New Roman" w:hAnsi="Times New Roman" w:cs="Times New Roman"/>
          <w:sz w:val="20"/>
          <w:szCs w:val="20"/>
        </w:rPr>
        <w:t xml:space="preserve">(some states require </w:t>
      </w:r>
      <w:r>
        <w:rPr>
          <w:rFonts w:ascii="Times New Roman" w:eastAsia="Times New Roman" w:hAnsi="Times New Roman" w:cs="Times New Roman"/>
          <w:i/>
          <w:sz w:val="20"/>
          <w:szCs w:val="20"/>
        </w:rPr>
        <w:t>“claim of right”</w:t>
      </w:r>
      <w:r>
        <w:rPr>
          <w:rFonts w:ascii="Times New Roman" w:eastAsia="Times New Roman" w:hAnsi="Times New Roman" w:cs="Times New Roman"/>
          <w:sz w:val="20"/>
          <w:szCs w:val="20"/>
        </w:rPr>
        <w:t>) – complex; possession authorized by the owner does not meet</w:t>
      </w:r>
      <w:r>
        <w:rPr>
          <w:rFonts w:ascii="Times New Roman" w:eastAsia="Times New Roman" w:hAnsi="Times New Roman" w:cs="Times New Roman"/>
          <w:sz w:val="20"/>
          <w:szCs w:val="20"/>
        </w:rPr>
        <w:t xml:space="preserve"> this requirement (agreed upon by all states); some states find the element is met only if the claimant believes in </w:t>
      </w:r>
      <w:r>
        <w:rPr>
          <w:rFonts w:ascii="Times New Roman" w:eastAsia="Times New Roman" w:hAnsi="Times New Roman" w:cs="Times New Roman"/>
          <w:i/>
          <w:sz w:val="20"/>
          <w:szCs w:val="20"/>
        </w:rPr>
        <w:t>good faith</w:t>
      </w:r>
      <w:r>
        <w:rPr>
          <w:rFonts w:ascii="Times New Roman" w:eastAsia="Times New Roman" w:hAnsi="Times New Roman" w:cs="Times New Roman"/>
          <w:sz w:val="20"/>
          <w:szCs w:val="20"/>
        </w:rPr>
        <w:t xml:space="preserve"> that he owns the land; in most states the claimant’s state of mind is irrelevant; some rare states require </w:t>
      </w:r>
      <w:r>
        <w:rPr>
          <w:rFonts w:ascii="Times New Roman" w:eastAsia="Times New Roman" w:hAnsi="Times New Roman" w:cs="Times New Roman"/>
          <w:i/>
          <w:sz w:val="20"/>
          <w:szCs w:val="20"/>
        </w:rPr>
        <w:t>bad faith</w:t>
      </w:r>
      <w:r>
        <w:rPr>
          <w:rFonts w:ascii="Times New Roman" w:eastAsia="Times New Roman" w:hAnsi="Times New Roman" w:cs="Times New Roman"/>
          <w:sz w:val="20"/>
          <w:szCs w:val="20"/>
        </w:rPr>
        <w:t xml:space="preserve"> that the cla</w:t>
      </w:r>
      <w:r>
        <w:rPr>
          <w:rFonts w:ascii="Times New Roman" w:eastAsia="Times New Roman" w:hAnsi="Times New Roman" w:cs="Times New Roman"/>
          <w:sz w:val="20"/>
          <w:szCs w:val="20"/>
        </w:rPr>
        <w:t>imant must intend to take title from the owner</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Continuous Possession</w:t>
      </w:r>
      <w:r>
        <w:rPr>
          <w:rFonts w:ascii="Times New Roman" w:eastAsia="Times New Roman" w:hAnsi="Times New Roman" w:cs="Times New Roman"/>
          <w:sz w:val="20"/>
          <w:szCs w:val="20"/>
        </w:rPr>
        <w:t xml:space="preserve"> – the claimant’s possession must be as continuous as a reasonable owner’s would be, given the character, location, and nature of the land</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For the Statutory Period</w:t>
      </w:r>
      <w:r>
        <w:rPr>
          <w:rFonts w:ascii="Times New Roman" w:eastAsia="Times New Roman" w:hAnsi="Times New Roman" w:cs="Times New Roman"/>
          <w:sz w:val="20"/>
          <w:szCs w:val="20"/>
        </w:rPr>
        <w:t xml:space="preserve"> – the period for adverse</w:t>
      </w:r>
      <w:r>
        <w:rPr>
          <w:rFonts w:ascii="Times New Roman" w:eastAsia="Times New Roman" w:hAnsi="Times New Roman" w:cs="Times New Roman"/>
          <w:sz w:val="20"/>
          <w:szCs w:val="20"/>
        </w:rPr>
        <w:t xml:space="preserve"> possession ranges from 5-40 years depending on the state; most common periods are 10, 15, and 20 years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varies state to state, 5-40 years; eastern states longer (i.e. 20Y, a generation)</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SOL runs against the record owner – have so long to bring claim/COA ot</w:t>
      </w:r>
      <w:r>
        <w:rPr>
          <w:rFonts w:ascii="Times New Roman" w:eastAsia="Times New Roman" w:hAnsi="Times New Roman" w:cs="Times New Roman"/>
          <w:color w:val="FF0000"/>
          <w:sz w:val="20"/>
          <w:szCs w:val="20"/>
        </w:rPr>
        <w:t>herwise loses it per SOL (land may be APed)</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Will be told on exam how to hold possessor’s intent (because varies by JD), i.e. in majority rule JD (know) or good faith JD</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If win: APer gains new title, old goes away or is distinguished; whoever wins may i.e. </w:t>
      </w:r>
      <w:r>
        <w:rPr>
          <w:rFonts w:ascii="Times New Roman" w:eastAsia="Times New Roman" w:hAnsi="Times New Roman" w:cs="Times New Roman"/>
          <w:color w:val="FF0000"/>
          <w:sz w:val="20"/>
          <w:szCs w:val="20"/>
        </w:rPr>
        <w:t>eject the other or file trespass or other COA</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Title comes with obligations</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Burden of proof on APer</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Landowner giving permission defeats AP (need to know enough to stop AP)</w:t>
      </w:r>
    </w:p>
    <w:p w:rsidR="00E46D95" w:rsidRDefault="006F495B">
      <w:pPr>
        <w:numPr>
          <w:ilvl w:val="1"/>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Some people don’t know they own property, i.e. not knowing an heir, etc.</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Gurwit v. Kannatzer</w:t>
      </w:r>
      <w:r>
        <w:rPr>
          <w:rFonts w:ascii="Times New Roman" w:eastAsia="Times New Roman" w:hAnsi="Times New Roman" w:cs="Times New Roman"/>
          <w:color w:val="FF0000"/>
          <w:sz w:val="20"/>
          <w:szCs w:val="20"/>
          <w:shd w:val="clear" w:color="auto" w:fill="FFF2CC"/>
        </w:rPr>
        <w:t xml:space="preserve"> (Court of Appeals of Missouri, 1990)</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Land in dispute: Brushy, rough, unfenced, wild land</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“Possession” – various uses, tending to it on occasion, non-intensive, signs (e.g. “no trespassing”) for 20Y</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Adverse Possession? Adverse if f</w:t>
      </w:r>
      <w:r>
        <w:rPr>
          <w:rFonts w:ascii="Times New Roman" w:eastAsia="Times New Roman" w:hAnsi="Times New Roman" w:cs="Times New Roman"/>
          <w:color w:val="FF0000"/>
          <w:sz w:val="20"/>
          <w:szCs w:val="20"/>
        </w:rPr>
        <w:t>inds out that doesn’t have record title and continues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Quieted land to Gurwit (P), COA: Quiet title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Wasn’t hostile possession (or any other element) because wildland not a “Jeffersonian laborer”</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All elements satisfied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 Affirmed trial court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w:t>
      </w:r>
      <w:r>
        <w:rPr>
          <w:rFonts w:ascii="Times New Roman" w:eastAsia="Times New Roman" w:hAnsi="Times New Roman" w:cs="Times New Roman"/>
          <w:color w:val="FF0000"/>
          <w:sz w:val="20"/>
          <w:szCs w:val="20"/>
        </w:rPr>
        <w:t>rmath: Eventually land sold to state to create conservation area (presumably wanted to use light in order to preserve it)</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Van Valkenburgh v. Lutz</w:t>
      </w:r>
      <w:r>
        <w:rPr>
          <w:rFonts w:ascii="Times New Roman" w:eastAsia="Times New Roman" w:hAnsi="Times New Roman" w:cs="Times New Roman"/>
          <w:color w:val="FF0000"/>
          <w:sz w:val="20"/>
          <w:szCs w:val="20"/>
          <w:shd w:val="clear" w:color="auto" w:fill="FFF2CC"/>
        </w:rPr>
        <w:t xml:space="preserve"> (Court of Appeals of New York, 1952)</w:t>
      </w:r>
      <w:r>
        <w:rPr>
          <w:rFonts w:ascii="Times New Roman" w:eastAsia="Times New Roman" w:hAnsi="Times New Roman" w:cs="Times New Roman"/>
          <w:color w:val="FF0000"/>
          <w:sz w:val="20"/>
          <w:szCs w:val="20"/>
        </w:rPr>
        <w:t xml:space="preserve">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VV purchased land (previously unknown) and Lutz not given notice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 </w:t>
      </w:r>
      <w:r>
        <w:rPr>
          <w:rFonts w:ascii="Times New Roman" w:eastAsia="Times New Roman" w:hAnsi="Times New Roman" w:cs="Times New Roman"/>
          <w:color w:val="FF0000"/>
          <w:sz w:val="20"/>
          <w:szCs w:val="20"/>
        </w:rPr>
        <w:t>sues for easement (non-possessory use right, essentially to cross land) and L wins but acknowledges VV’s ownership/title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Bad move by atty</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Negligence by original owner (don’t know), easement acknowledged (L brought wrong case before death)</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AP by the L’s </w:t>
      </w:r>
      <w:r>
        <w:rPr>
          <w:rFonts w:ascii="Times New Roman" w:eastAsia="Times New Roman" w:hAnsi="Times New Roman" w:cs="Times New Roman"/>
          <w:color w:val="FF0000"/>
          <w:sz w:val="20"/>
          <w:szCs w:val="20"/>
        </w:rPr>
        <w:t>– must show all elements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Lutz’s cultivated the land and brother moved in and whether or not sufficient use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Called L’s gardens (good witness), evidence of nature of possession (open &amp; notorious) – owner put on notice requiring response back (and none?)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w:t>
      </w:r>
      <w:r>
        <w:rPr>
          <w:rFonts w:ascii="Times New Roman" w:eastAsia="Times New Roman" w:hAnsi="Times New Roman" w:cs="Times New Roman"/>
          <w:color w:val="FF0000"/>
          <w:sz w:val="20"/>
          <w:szCs w:val="20"/>
        </w:rPr>
        <w:t>: No AP</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 (PH quieted to L)</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No enclosure (required in NY statute specifics), not “usually cultivated or improved” (because “junky”) (D: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crops in L’s garden)</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Charlie’s house: Why not AP? Because testified that knew wasn’t on land (subjective standard – state of mind) – minority of states require good faith and didn’t have since knew, most property law doesn’t care about </w:t>
      </w:r>
      <w:r>
        <w:rPr>
          <w:rFonts w:ascii="Times New Roman" w:eastAsia="Times New Roman" w:hAnsi="Times New Roman" w:cs="Times New Roman"/>
          <w:i/>
          <w:color w:val="FF0000"/>
          <w:sz w:val="20"/>
          <w:szCs w:val="20"/>
        </w:rPr>
        <w:t xml:space="preserve">mens rea </w:t>
      </w:r>
      <w:r>
        <w:rPr>
          <w:rFonts w:ascii="Times New Roman" w:eastAsia="Times New Roman" w:hAnsi="Times New Roman" w:cs="Times New Roman"/>
          <w:color w:val="FF0000"/>
          <w:sz w:val="20"/>
          <w:szCs w:val="20"/>
        </w:rPr>
        <w:t xml:space="preserve">(state of mind), want objective </w:t>
      </w:r>
      <w:r>
        <w:rPr>
          <w:rFonts w:ascii="Times New Roman" w:eastAsia="Times New Roman" w:hAnsi="Times New Roman" w:cs="Times New Roman"/>
          <w:color w:val="FF0000"/>
          <w:sz w:val="20"/>
          <w:szCs w:val="20"/>
        </w:rPr>
        <w:t>standard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Garage overhang? Thought on land then moved (good faith) then requiring bad faith? Court makes unclear (why state of mind not required by most states, no subjective intent)</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State of mind incomprehensible – can’t have good and can’t have bad</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Encour</w:t>
      </w:r>
      <w:r>
        <w:rPr>
          <w:rFonts w:ascii="Times New Roman" w:eastAsia="Times New Roman" w:hAnsi="Times New Roman" w:cs="Times New Roman"/>
          <w:color w:val="FF0000"/>
          <w:sz w:val="20"/>
          <w:szCs w:val="20"/>
        </w:rPr>
        <w:t>ages clients to lie/exaggerate (unethical, can be manipulating)</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OR requires good faith subjective intent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VV and justification/policies: None, should be punishing negligence laches so poorly litigated (lawyer should have brought these in), overemphasized labor and didn’t want to reward this kind of labor (“junky”)</w:t>
      </w:r>
    </w:p>
    <w:p w:rsidR="00E46D95" w:rsidRDefault="006F495B">
      <w:pPr>
        <w:numPr>
          <w:ilvl w:val="2"/>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How to reconcile </w:t>
      </w:r>
      <w:r>
        <w:rPr>
          <w:rFonts w:ascii="Times New Roman" w:eastAsia="Times New Roman" w:hAnsi="Times New Roman" w:cs="Times New Roman"/>
          <w:i/>
          <w:color w:val="FF0000"/>
          <w:sz w:val="20"/>
          <w:szCs w:val="20"/>
        </w:rPr>
        <w:t>Gurwit</w:t>
      </w:r>
      <w:r>
        <w:rPr>
          <w:rFonts w:ascii="Times New Roman" w:eastAsia="Times New Roman" w:hAnsi="Times New Roman" w:cs="Times New Roman"/>
          <w:color w:val="FF0000"/>
          <w:sz w:val="20"/>
          <w:szCs w:val="20"/>
        </w:rPr>
        <w:t xml:space="preserve"> and </w:t>
      </w:r>
      <w:r>
        <w:rPr>
          <w:rFonts w:ascii="Times New Roman" w:eastAsia="Times New Roman" w:hAnsi="Times New Roman" w:cs="Times New Roman"/>
          <w:i/>
          <w:color w:val="FF0000"/>
          <w:sz w:val="20"/>
          <w:szCs w:val="20"/>
        </w:rPr>
        <w:t>Lutz</w:t>
      </w:r>
      <w:r>
        <w:rPr>
          <w:rFonts w:ascii="Times New Roman" w:eastAsia="Times New Roman" w:hAnsi="Times New Roman" w:cs="Times New Roman"/>
          <w:color w:val="FF0000"/>
          <w:sz w:val="20"/>
          <w:szCs w:val="20"/>
        </w:rPr>
        <w:t>: Difference c</w:t>
      </w:r>
      <w:r>
        <w:rPr>
          <w:rFonts w:ascii="Times New Roman" w:eastAsia="Times New Roman" w:hAnsi="Times New Roman" w:cs="Times New Roman"/>
          <w:color w:val="FF0000"/>
          <w:sz w:val="20"/>
          <w:szCs w:val="20"/>
        </w:rPr>
        <w:t>haracter of land (e.g. wild), state of mind (emphasized in NY case and not MO case), lawyer mistakes (easement action – could be taken as admission/concession in AP case) (arguably malpractice); maybe not consistent but not entirely inconsistent either</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sz w:val="20"/>
          <w:szCs w:val="20"/>
        </w:rPr>
        <w:t>Th</w:t>
      </w:r>
      <w:r>
        <w:rPr>
          <w:rFonts w:ascii="Times New Roman" w:eastAsia="Times New Roman" w:hAnsi="Times New Roman" w:cs="Times New Roman"/>
          <w:sz w:val="20"/>
          <w:szCs w:val="20"/>
        </w:rPr>
        <w:t xml:space="preserve">e Adverse Possessor’s State of Mind; three views: </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 xml:space="preserve">Good faith </w:t>
      </w:r>
      <w:r>
        <w:rPr>
          <w:rFonts w:ascii="Times New Roman" w:eastAsia="Times New Roman" w:hAnsi="Times New Roman" w:cs="Times New Roman"/>
          <w:sz w:val="20"/>
          <w:szCs w:val="20"/>
        </w:rPr>
        <w:t>(some states) – adverse possessor must believe that she is the owner of the land</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Irrelevant </w:t>
      </w:r>
      <w:r>
        <w:rPr>
          <w:rFonts w:ascii="Times New Roman" w:eastAsia="Times New Roman" w:hAnsi="Times New Roman" w:cs="Times New Roman"/>
          <w:sz w:val="20"/>
          <w:szCs w:val="20"/>
        </w:rPr>
        <w:t>(most states) – element [of adverse/hostile possession] satisfied so long as the owner has not authori</w:t>
      </w:r>
      <w:r>
        <w:rPr>
          <w:rFonts w:ascii="Times New Roman" w:eastAsia="Times New Roman" w:hAnsi="Times New Roman" w:cs="Times New Roman"/>
          <w:sz w:val="20"/>
          <w:szCs w:val="20"/>
        </w:rPr>
        <w:t xml:space="preserve">zed the occupancy </w:t>
      </w:r>
    </w:p>
    <w:p w:rsidR="00E46D95" w:rsidRDefault="006F495B">
      <w:pPr>
        <w:numPr>
          <w:ilvl w:val="3"/>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Claim of right </w:t>
      </w:r>
      <w:r>
        <w:rPr>
          <w:rFonts w:ascii="Times New Roman" w:eastAsia="Times New Roman" w:hAnsi="Times New Roman" w:cs="Times New Roman"/>
          <w:sz w:val="20"/>
          <w:szCs w:val="20"/>
        </w:rPr>
        <w:t>(some courts insist needed)</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implies that some type of special mindset is required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essentially meaningless because claimant’s objective conduct, measured by the other adverse possession requirements, demonstrates a cl</w:t>
      </w:r>
      <w:r>
        <w:rPr>
          <w:rFonts w:ascii="Times New Roman" w:eastAsia="Times New Roman" w:hAnsi="Times New Roman" w:cs="Times New Roman"/>
          <w:sz w:val="20"/>
          <w:szCs w:val="20"/>
        </w:rPr>
        <w:t>aim of right</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Bad faith </w:t>
      </w:r>
      <w:r>
        <w:rPr>
          <w:rFonts w:ascii="Times New Roman" w:eastAsia="Times New Roman" w:hAnsi="Times New Roman" w:cs="Times New Roman"/>
          <w:sz w:val="20"/>
          <w:szCs w:val="20"/>
        </w:rPr>
        <w:t>(few states) – adverse possessor must know she is not the owner and intend to take title from the owner</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Fulkerson v. Van Buren </w:t>
      </w:r>
      <w:r>
        <w:rPr>
          <w:rFonts w:ascii="Times New Roman" w:eastAsia="Times New Roman" w:hAnsi="Times New Roman" w:cs="Times New Roman"/>
          <w:color w:val="FF0000"/>
          <w:sz w:val="20"/>
          <w:szCs w:val="20"/>
          <w:shd w:val="clear" w:color="auto" w:fill="FFF2CC"/>
        </w:rPr>
        <w:t>(Court of Appeals of Arkansas, 1998)</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Church labored land to AP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Ejectment COA (by F, landowner) – counterclaim by church that ownership by AP (not record by possessory ownership)</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Favors church’s AP claim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AP because not adverse – knew not owner and AR requirement for bad faith intent in or no inte</w:t>
      </w:r>
      <w:r>
        <w:rPr>
          <w:rFonts w:ascii="Times New Roman" w:eastAsia="Times New Roman" w:hAnsi="Times New Roman" w:cs="Times New Roman"/>
          <w:color w:val="FF0000"/>
          <w:sz w:val="20"/>
          <w:szCs w:val="20"/>
        </w:rPr>
        <w:t>ntion (here good faith)</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Pastor knew (and so did everyone in church) that F had possession; bad faith defeats adversity, need good faith (AR also cares about subjective intent)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Future cases need to show either then that didn’t know or need intent to take</w:t>
      </w:r>
      <w:r>
        <w:rPr>
          <w:rFonts w:ascii="Times New Roman" w:eastAsia="Times New Roman" w:hAnsi="Times New Roman" w:cs="Times New Roman"/>
          <w:color w:val="FF0000"/>
          <w:sz w:val="20"/>
          <w:szCs w:val="20"/>
        </w:rPr>
        <w:t xml:space="preserve"> (but didn’t church have that by not vacating when asked)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Quit claim – asked and denied (otherwise this case would not be existent)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Policy: Not consistent with esp. 3 and others, hinges on state of mind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Focus on actions that reward and punish – loss of sig</w:t>
      </w:r>
      <w:r>
        <w:rPr>
          <w:rFonts w:ascii="Times New Roman" w:eastAsia="Times New Roman" w:hAnsi="Times New Roman" w:cs="Times New Roman"/>
          <w:color w:val="FF0000"/>
          <w:sz w:val="20"/>
          <w:szCs w:val="20"/>
        </w:rPr>
        <w:t>ht of punishing negligence (landowner’s sleeping on right for a generation)</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Tioga Coal Co. v. Supermarkets General Corp. </w:t>
      </w:r>
      <w:r>
        <w:rPr>
          <w:rFonts w:ascii="Times New Roman" w:eastAsia="Times New Roman" w:hAnsi="Times New Roman" w:cs="Times New Roman"/>
          <w:color w:val="FF0000"/>
          <w:sz w:val="20"/>
          <w:szCs w:val="20"/>
          <w:shd w:val="clear" w:color="auto" w:fill="FFF2CC"/>
        </w:rPr>
        <w:t>(Supreme Court of Pennsylvania, 1988)</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All elements except hostility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No AP, intent matters (can’t be hostile if hostility direct</w:t>
      </w:r>
      <w:r>
        <w:rPr>
          <w:rFonts w:ascii="Times New Roman" w:eastAsia="Times New Roman" w:hAnsi="Times New Roman" w:cs="Times New Roman"/>
          <w:color w:val="FF0000"/>
          <w:sz w:val="20"/>
          <w:szCs w:val="20"/>
        </w:rPr>
        <w:t xml:space="preserve">ed at wrong person – misunderstanding of ownership)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AP, intent doesn’t matter, all other elements imply hostility; state of mind doesn’t matter, will only consider objective (distinguished from </w:t>
      </w:r>
      <w:r>
        <w:rPr>
          <w:rFonts w:ascii="Times New Roman" w:eastAsia="Times New Roman" w:hAnsi="Times New Roman" w:cs="Times New Roman"/>
          <w:i/>
          <w:color w:val="FF0000"/>
          <w:sz w:val="20"/>
          <w:szCs w:val="20"/>
        </w:rPr>
        <w:t>Fulkerson</w:t>
      </w:r>
      <w:r>
        <w:rPr>
          <w:rFonts w:ascii="Times New Roman" w:eastAsia="Times New Roman" w:hAnsi="Times New Roman" w:cs="Times New Roman"/>
          <w:color w:val="FF0000"/>
          <w:sz w:val="20"/>
          <w:szCs w:val="20"/>
        </w:rPr>
        <w:t xml:space="preserve"> requiring good faith)</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Adopt Holmesian personhood</w:t>
      </w:r>
      <w:r>
        <w:rPr>
          <w:rFonts w:ascii="Times New Roman" w:eastAsia="Times New Roman" w:hAnsi="Times New Roman" w:cs="Times New Roman"/>
          <w:color w:val="FF0000"/>
          <w:sz w:val="20"/>
          <w:szCs w:val="20"/>
        </w:rPr>
        <w:t xml:space="preserve"> approach, only mistake about who doing it against</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Puts burden on actual title/record owner</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Grocer should know AP by coal co, need to know enough about your land to know AP going on (punish/reward) – if not, not productive and land should go to who is prod</w:t>
      </w:r>
      <w:r>
        <w:rPr>
          <w:rFonts w:ascii="Times New Roman" w:eastAsia="Times New Roman" w:hAnsi="Times New Roman" w:cs="Times New Roman"/>
          <w:color w:val="FF0000"/>
          <w:sz w:val="20"/>
          <w:szCs w:val="20"/>
        </w:rPr>
        <w:t>uctive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State of mind = uncertainty and may be manipulated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Objective – majority view of states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Native Americans and ownership in AK (pg. 126, note d)</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Howard v. Kunto</w:t>
      </w:r>
      <w:r>
        <w:rPr>
          <w:rFonts w:ascii="Times New Roman" w:eastAsia="Times New Roman" w:hAnsi="Times New Roman" w:cs="Times New Roman"/>
          <w:color w:val="FF0000"/>
          <w:sz w:val="20"/>
          <w:szCs w:val="20"/>
          <w:shd w:val="clear" w:color="auto" w:fill="FFF2CC"/>
        </w:rPr>
        <w:t xml:space="preserve"> (Court of Appeals of Washington, 1970)</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Correct title policy/justification (F: Land along caste all incorrectly surveyed)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Howard and Moyer switched papers (to make problems worse)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Howard (P) claims he owns land that Kunto is occupying (has Moyer’s paper) </w:t>
      </w:r>
      <w:r>
        <w:rPr>
          <w:rFonts w:ascii="Times New Roman" w:eastAsia="Times New Roman" w:hAnsi="Times New Roman" w:cs="Times New Roman"/>
          <w:color w:val="FF0000"/>
          <w:sz w:val="20"/>
          <w:szCs w:val="20"/>
        </w:rPr>
        <w:tab/>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 Asking for money (trespass) or eje</w:t>
      </w:r>
      <w:r>
        <w:rPr>
          <w:rFonts w:ascii="Times New Roman" w:eastAsia="Times New Roman" w:hAnsi="Times New Roman" w:cs="Times New Roman"/>
          <w:color w:val="FF0000"/>
          <w:sz w:val="20"/>
          <w:szCs w:val="20"/>
        </w:rPr>
        <w:t xml:space="preserve">ctment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Record titles v. AP, counterclaim: AP</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 Not continuous (summer home), privity – kuntos had just bought the land but line of succession (continuous enough, 10Y required)</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1. Ok because character/nature of the property and improved and enough to g</w:t>
      </w:r>
      <w:r>
        <w:rPr>
          <w:rFonts w:ascii="Times New Roman" w:eastAsia="Times New Roman" w:hAnsi="Times New Roman" w:cs="Times New Roman"/>
          <w:color w:val="FF0000"/>
          <w:sz w:val="20"/>
          <w:szCs w:val="20"/>
        </w:rPr>
        <w:t>ive notice to the title owner that there (as ordinarily marks the conduct of owners, depends on location)</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Alike Gurwit – depending on conditions/character of the land (pg. 130 for definition)</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H2: Reasonable connection between successive occupants of real p</w:t>
      </w:r>
      <w:r>
        <w:rPr>
          <w:rFonts w:ascii="Times New Roman" w:eastAsia="Times New Roman" w:hAnsi="Times New Roman" w:cs="Times New Roman"/>
          <w:color w:val="FF0000"/>
          <w:sz w:val="20"/>
          <w:szCs w:val="20"/>
        </w:rPr>
        <w:t>roperty to raise claim = “tacking” (privity, pg. 131)</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I2: ^ Did Kunto have “privity” with their predecessors (here the Millers)</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Some sort of reasonable connection; successive consent, consensual relationship so you know who it is (someone can’t just take o</w:t>
      </w:r>
      <w:r>
        <w:rPr>
          <w:rFonts w:ascii="Times New Roman" w:eastAsia="Times New Roman" w:hAnsi="Times New Roman" w:cs="Times New Roman"/>
          <w:color w:val="FF0000"/>
          <w:sz w:val="20"/>
          <w:szCs w:val="20"/>
        </w:rPr>
        <w:t xml:space="preserve">ver abandoned land and claim privity)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Possessory title &gt; record title (AP; throwback to </w:t>
      </w:r>
      <w:r>
        <w:rPr>
          <w:rFonts w:ascii="Times New Roman" w:eastAsia="Times New Roman" w:hAnsi="Times New Roman" w:cs="Times New Roman"/>
          <w:i/>
          <w:color w:val="FF0000"/>
          <w:sz w:val="20"/>
          <w:szCs w:val="20"/>
        </w:rPr>
        <w:t>Gurwit</w:t>
      </w:r>
      <w:r>
        <w:rPr>
          <w:rFonts w:ascii="Times New Roman" w:eastAsia="Times New Roman" w:hAnsi="Times New Roman" w:cs="Times New Roman"/>
          <w:color w:val="FF0000"/>
          <w:sz w:val="20"/>
          <w:szCs w:val="20"/>
        </w:rPr>
        <w: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APer should give quit claim to successor to ensure (or almost) privity</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AP reflects that property owners have both rights and duties</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Procedural Issues</w:t>
      </w:r>
    </w:p>
    <w:p w:rsidR="00E46D95" w:rsidRDefault="006F495B">
      <w:pPr>
        <w:numPr>
          <w:ilvl w:val="2"/>
          <w:numId w:val="8"/>
        </w:numPr>
        <w:contextualSpacing/>
        <w:rPr>
          <w:rFonts w:ascii="Times New Roman" w:eastAsia="Times New Roman" w:hAnsi="Times New Roman" w:cs="Times New Roman"/>
          <w:sz w:val="20"/>
          <w:szCs w:val="20"/>
          <w:highlight w:val="yellow"/>
        </w:rPr>
      </w:pPr>
      <w:r>
        <w:rPr>
          <w:rFonts w:ascii="Times New Roman" w:eastAsia="Times New Roman" w:hAnsi="Times New Roman" w:cs="Times New Roman"/>
          <w:i/>
          <w:sz w:val="20"/>
          <w:szCs w:val="20"/>
          <w:highlight w:val="yellow"/>
        </w:rPr>
        <w:t>Tac</w:t>
      </w:r>
      <w:r>
        <w:rPr>
          <w:rFonts w:ascii="Times New Roman" w:eastAsia="Times New Roman" w:hAnsi="Times New Roman" w:cs="Times New Roman"/>
          <w:i/>
          <w:sz w:val="20"/>
          <w:szCs w:val="20"/>
          <w:highlight w:val="yellow"/>
        </w:rPr>
        <w:t xml:space="preserve">king </w:t>
      </w:r>
    </w:p>
    <w:p w:rsidR="00E46D95" w:rsidRDefault="006F495B">
      <w:pPr>
        <w:numPr>
          <w:ilvl w:val="2"/>
          <w:numId w:val="8"/>
        </w:numPr>
        <w:contextualSpacing/>
        <w:rPr>
          <w:rFonts w:ascii="Times New Roman" w:eastAsia="Times New Roman" w:hAnsi="Times New Roman" w:cs="Times New Roman"/>
          <w:i/>
          <w:sz w:val="20"/>
          <w:szCs w:val="20"/>
          <w:highlight w:val="yellow"/>
        </w:rPr>
      </w:pPr>
      <w:r>
        <w:rPr>
          <w:rFonts w:ascii="Times New Roman" w:eastAsia="Times New Roman" w:hAnsi="Times New Roman" w:cs="Times New Roman"/>
          <w:i/>
          <w:sz w:val="20"/>
          <w:szCs w:val="20"/>
          <w:highlight w:val="yellow"/>
        </w:rPr>
        <w:t>Color of Title</w:t>
      </w:r>
      <w:r>
        <w:rPr>
          <w:rFonts w:ascii="Times New Roman" w:eastAsia="Times New Roman" w:hAnsi="Times New Roman" w:cs="Times New Roman"/>
          <w:sz w:val="20"/>
          <w:szCs w:val="20"/>
          <w:highlight w:val="yellow"/>
        </w:rPr>
        <w:t xml:space="preserve"> </w:t>
      </w:r>
      <w:r>
        <w:rPr>
          <w:rFonts w:ascii="Times New Roman" w:eastAsia="Times New Roman" w:hAnsi="Times New Roman" w:cs="Times New Roman"/>
          <w:color w:val="FF0000"/>
          <w:sz w:val="20"/>
          <w:szCs w:val="20"/>
        </w:rPr>
        <w:t>– if have defective deed/title (technical reasons) may adversely possess and expand to all of property(?)</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Disabilities</w:t>
      </w:r>
      <w:r>
        <w:rPr>
          <w:rFonts w:ascii="Times New Roman" w:eastAsia="Times New Roman" w:hAnsi="Times New Roman" w:cs="Times New Roman"/>
          <w:sz w:val="20"/>
          <w:szCs w:val="20"/>
        </w:rPr>
        <w:t xml:space="preserve"> (e.g. imprisonment, minority, lack of mental capacity, owner who is away on military service or lives outside of the US) – the period for adverse possession will be extended but states differ on how a disability affects the statutory period  </w:t>
      </w:r>
    </w:p>
    <w:p w:rsidR="00E46D95" w:rsidRDefault="006F495B">
      <w:pPr>
        <w:numPr>
          <w:ilvl w:val="3"/>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Death ends a</w:t>
      </w:r>
      <w:r>
        <w:rPr>
          <w:rFonts w:ascii="Times New Roman" w:eastAsia="Times New Roman" w:hAnsi="Times New Roman" w:cs="Times New Roman"/>
          <w:sz w:val="20"/>
          <w:szCs w:val="20"/>
        </w:rPr>
        <w:t xml:space="preserve">ll disabilities; disabilities cannot be tacked; a disability does not shorted the standard period for adverse possession </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Identity of the Parties </w:t>
      </w:r>
      <w:r>
        <w:rPr>
          <w:rFonts w:ascii="Times New Roman" w:eastAsia="Times New Roman" w:hAnsi="Times New Roman" w:cs="Times New Roman"/>
          <w:sz w:val="20"/>
          <w:szCs w:val="20"/>
        </w:rPr>
        <w:t>– the identity of the record owner may affect the availability and scope of the adverse possession (e.g. fee s</w:t>
      </w:r>
      <w:r>
        <w:rPr>
          <w:rFonts w:ascii="Times New Roman" w:eastAsia="Times New Roman" w:hAnsi="Times New Roman" w:cs="Times New Roman"/>
          <w:sz w:val="20"/>
          <w:szCs w:val="20"/>
        </w:rPr>
        <w:t xml:space="preserve">imple absolute, life estate), the successful adverse possessor receives only what the owner had; adverse possession is not at all available against a person who does not hold the present right to possession of the land </w:t>
      </w:r>
    </w:p>
    <w:p w:rsidR="00E46D95" w:rsidRDefault="006F495B">
      <w:pPr>
        <w:numPr>
          <w:ilvl w:val="3"/>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jurisdictions (most do not) per</w:t>
      </w:r>
      <w:r>
        <w:rPr>
          <w:rFonts w:ascii="Times New Roman" w:eastAsia="Times New Roman" w:hAnsi="Times New Roman" w:cs="Times New Roman"/>
          <w:sz w:val="20"/>
          <w:szCs w:val="20"/>
        </w:rPr>
        <w:t xml:space="preserve">mit adverse possession against land held by state/local gov’ts if that land is used for a </w:t>
      </w:r>
      <w:r>
        <w:rPr>
          <w:rFonts w:ascii="Times New Roman" w:eastAsia="Times New Roman" w:hAnsi="Times New Roman" w:cs="Times New Roman"/>
          <w:i/>
          <w:sz w:val="20"/>
          <w:szCs w:val="20"/>
        </w:rPr>
        <w:t xml:space="preserve">proprietary </w:t>
      </w:r>
      <w:r>
        <w:rPr>
          <w:rFonts w:ascii="Times New Roman" w:eastAsia="Times New Roman" w:hAnsi="Times New Roman" w:cs="Times New Roman"/>
          <w:sz w:val="20"/>
          <w:szCs w:val="20"/>
        </w:rPr>
        <w:t xml:space="preserve">(or nonpublic) purpose </w:t>
      </w:r>
    </w:p>
    <w:p w:rsidR="00E46D95" w:rsidRDefault="006F495B">
      <w:pPr>
        <w:numPr>
          <w:ilvl w:val="0"/>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Vertical Ownership</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Modified this last century from English doctrine of </w:t>
      </w:r>
      <w:r>
        <w:rPr>
          <w:rFonts w:ascii="Times New Roman" w:eastAsia="Times New Roman" w:hAnsi="Times New Roman" w:cs="Times New Roman"/>
          <w:i/>
          <w:sz w:val="20"/>
          <w:szCs w:val="20"/>
        </w:rPr>
        <w:t>cujus est solem, ejus est usque ad coelum et ad inferos</w:t>
      </w:r>
      <w:r>
        <w:rPr>
          <w:rFonts w:ascii="Times New Roman" w:eastAsia="Times New Roman" w:hAnsi="Times New Roman" w:cs="Times New Roman"/>
          <w:sz w:val="20"/>
          <w:szCs w:val="20"/>
        </w:rPr>
        <w:t>, but beyond near surface situations, the precise upward/downward limits of real property are now less clear than in the past</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Airspace Rights</w:t>
      </w:r>
    </w:p>
    <w:p w:rsidR="00E46D95" w:rsidRDefault="006F495B">
      <w:pPr>
        <w:numPr>
          <w:ilvl w:val="2"/>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Cujus est solem, ejus est usque ad coelum</w:t>
      </w:r>
      <w:r>
        <w:rPr>
          <w:rFonts w:ascii="Times New Roman" w:eastAsia="Times New Roman" w:hAnsi="Times New Roman" w:cs="Times New Roman"/>
          <w:sz w:val="20"/>
          <w:szCs w:val="20"/>
        </w:rPr>
        <w:t xml:space="preserve"> – traditional English doctrine under which a parcel of real property was</w:t>
      </w:r>
      <w:r>
        <w:rPr>
          <w:rFonts w:ascii="Times New Roman" w:eastAsia="Times New Roman" w:hAnsi="Times New Roman" w:cs="Times New Roman"/>
          <w:sz w:val="20"/>
          <w:szCs w:val="20"/>
        </w:rPr>
        <w:t xml:space="preserve"> seen as a long, slender column which stretched upward infinitely outward into space</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Today most authorities agree that the surface owne’s rights do not extend upward indefinitely; one view that the owner holds title only up to a fixed height, usually 500 f</w:t>
      </w:r>
      <w:r>
        <w:rPr>
          <w:rFonts w:ascii="Times New Roman" w:eastAsia="Times New Roman" w:hAnsi="Times New Roman" w:cs="Times New Roman"/>
          <w:sz w:val="20"/>
          <w:szCs w:val="20"/>
        </w:rPr>
        <w:t xml:space="preserve">t. </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United States v. Causby </w:t>
      </w:r>
      <w:r>
        <w:rPr>
          <w:rFonts w:ascii="Times New Roman" w:eastAsia="Times New Roman" w:hAnsi="Times New Roman" w:cs="Times New Roman"/>
          <w:color w:val="FF0000"/>
          <w:sz w:val="20"/>
          <w:szCs w:val="20"/>
          <w:shd w:val="clear" w:color="auto" w:fill="FFF2CC"/>
        </w:rPr>
        <w:t>(Supreme Court of the United States, 1946)</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An </w:t>
      </w:r>
      <w:r>
        <w:rPr>
          <w:rFonts w:ascii="Times New Roman" w:eastAsia="Times New Roman" w:hAnsi="Times New Roman" w:cs="Times New Roman"/>
          <w:i/>
          <w:color w:val="FF0000"/>
          <w:sz w:val="20"/>
          <w:szCs w:val="20"/>
        </w:rPr>
        <w:t>avigation easement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Ad coelum </w:t>
      </w:r>
      <w:r>
        <w:rPr>
          <w:rFonts w:ascii="Times New Roman" w:eastAsia="Times New Roman" w:hAnsi="Times New Roman" w:cs="Times New Roman"/>
          <w:color w:val="FF0000"/>
          <w:sz w:val="20"/>
          <w:szCs w:val="20"/>
        </w:rPr>
        <w:t>doctrine – landowners have a right to center of earth and the heavens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Damage to Causby estate (death of chickens) due to overflights by gov’t during WWII, COA/remedy: </w:t>
      </w:r>
      <w:r>
        <w:rPr>
          <w:rFonts w:ascii="Times New Roman" w:eastAsia="Times New Roman" w:hAnsi="Times New Roman" w:cs="Times New Roman"/>
          <w:i/>
          <w:color w:val="FF0000"/>
          <w:sz w:val="20"/>
          <w:szCs w:val="20"/>
        </w:rPr>
        <w:t>Ad coelum</w:t>
      </w:r>
      <w:r>
        <w:rPr>
          <w:rFonts w:ascii="Times New Roman" w:eastAsia="Times New Roman" w:hAnsi="Times New Roman" w:cs="Times New Roman"/>
          <w:color w:val="FF0000"/>
          <w:sz w:val="20"/>
          <w:szCs w:val="20"/>
        </w:rPr>
        <w:t xml:space="preserve">, want injunction or ejectment and damages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(Douglas) Interference with reasonable/substantial use of property (alike nuisance); meaning not trespa</w:t>
      </w:r>
      <w:r>
        <w:rPr>
          <w:rFonts w:ascii="Times New Roman" w:eastAsia="Times New Roman" w:hAnsi="Times New Roman" w:cs="Times New Roman"/>
          <w:color w:val="FF0000"/>
          <w:sz w:val="20"/>
          <w:szCs w:val="20"/>
        </w:rPr>
        <w:t>ss implicating no ownership</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t>
      </w:r>
      <w:r>
        <w:rPr>
          <w:rFonts w:ascii="Times New Roman" w:eastAsia="Times New Roman" w:hAnsi="Times New Roman" w:cs="Times New Roman"/>
          <w:i/>
          <w:color w:val="FF0000"/>
          <w:sz w:val="20"/>
          <w:szCs w:val="20"/>
        </w:rPr>
        <w:t>Ad coelum</w:t>
      </w:r>
      <w:r>
        <w:rPr>
          <w:rFonts w:ascii="Times New Roman" w:eastAsia="Times New Roman" w:hAnsi="Times New Roman" w:cs="Times New Roman"/>
          <w:color w:val="FF0000"/>
          <w:sz w:val="20"/>
          <w:szCs w:val="20"/>
        </w:rPr>
        <w:t xml:space="preserve"> ineffective in modern times, slippery slope argument; alike </w:t>
      </w:r>
      <w:r>
        <w:rPr>
          <w:rFonts w:ascii="Times New Roman" w:eastAsia="Times New Roman" w:hAnsi="Times New Roman" w:cs="Times New Roman"/>
          <w:i/>
          <w:color w:val="FF0000"/>
          <w:sz w:val="20"/>
          <w:szCs w:val="20"/>
        </w:rPr>
        <w:t>Moore</w:t>
      </w:r>
      <w:r>
        <w:rPr>
          <w:rFonts w:ascii="Times New Roman" w:eastAsia="Times New Roman" w:hAnsi="Times New Roman" w:cs="Times New Roman"/>
          <w:color w:val="FF0000"/>
          <w:sz w:val="20"/>
          <w:szCs w:val="20"/>
        </w:rPr>
        <w:t xml:space="preserve"> slippery slope H?</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Common law being molded to changing times (here air travel; in </w:t>
      </w:r>
      <w:r>
        <w:rPr>
          <w:rFonts w:ascii="Times New Roman" w:eastAsia="Times New Roman" w:hAnsi="Times New Roman" w:cs="Times New Roman"/>
          <w:i/>
          <w:color w:val="FF0000"/>
          <w:sz w:val="20"/>
          <w:szCs w:val="20"/>
        </w:rPr>
        <w:t>Moore</w:t>
      </w:r>
      <w:r>
        <w:rPr>
          <w:rFonts w:ascii="Times New Roman" w:eastAsia="Times New Roman" w:hAnsi="Times New Roman" w:cs="Times New Roman"/>
          <w:color w:val="FF0000"/>
          <w:sz w:val="20"/>
          <w:szCs w:val="20"/>
        </w:rPr>
        <w:t xml:space="preserve"> research) – property rights are relative (they evolve)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Ultimat</w:t>
      </w:r>
      <w:r>
        <w:rPr>
          <w:rFonts w:ascii="Times New Roman" w:eastAsia="Times New Roman" w:hAnsi="Times New Roman" w:cs="Times New Roman"/>
          <w:color w:val="FF0000"/>
          <w:sz w:val="20"/>
          <w:szCs w:val="20"/>
        </w:rPr>
        <w:t>ely easement granted since gov’t implicates 5A taking (if seize, “take”)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Framed as damage: Noise pollution case, transitory (rare), doesn’t happen all the time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Douglas doesn’t want to have to establish a hard-line height rule (if too low and too frequent)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Measured by effects on the surface (court emphasizes damage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exploitability, need both)</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Air rights as far as can build, if can exploit then can get damages if can show adverse effects on surface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E.g. Exploitability of seabeds</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Some air above that </w:t>
      </w:r>
      <w:r>
        <w:rPr>
          <w:rFonts w:ascii="Times New Roman" w:eastAsia="Times New Roman" w:hAnsi="Times New Roman" w:cs="Times New Roman"/>
          <w:color w:val="FF0000"/>
          <w:sz w:val="20"/>
          <w:szCs w:val="20"/>
        </w:rPr>
        <w:t xml:space="preserve">can claim trespass on – must be within area can reasonably exploit; working definition dependent on nature and character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With zoning: Common law changed by statute? </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Subsurface Rights</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Cujus est colem, ejus est usque ad inferos</w:t>
      </w:r>
      <w:r>
        <w:rPr>
          <w:rFonts w:ascii="Times New Roman" w:eastAsia="Times New Roman" w:hAnsi="Times New Roman" w:cs="Times New Roman"/>
          <w:sz w:val="20"/>
          <w:szCs w:val="20"/>
        </w:rPr>
        <w:t xml:space="preserve"> – traditional English doctri</w:t>
      </w:r>
      <w:r>
        <w:rPr>
          <w:rFonts w:ascii="Times New Roman" w:eastAsia="Times New Roman" w:hAnsi="Times New Roman" w:cs="Times New Roman"/>
          <w:sz w:val="20"/>
          <w:szCs w:val="20"/>
        </w:rPr>
        <w:t>ne under which a parcel of real property was seen as a long, slender column which stretched upward from our planet’s center to the surface</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Sprankling: “Broadly speaking, the deeper the disputed region, the less likely courts are to rely on the center of th</w:t>
      </w:r>
      <w:r>
        <w:rPr>
          <w:rFonts w:ascii="Times New Roman" w:eastAsia="Times New Roman" w:hAnsi="Times New Roman" w:cs="Times New Roman"/>
          <w:sz w:val="20"/>
          <w:szCs w:val="20"/>
        </w:rPr>
        <w:t>e earth theory.”</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courts suggest that the surface owner’s rights extend downward only so far as to accommodate a reasonable and foreseeable use of the subsurface </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Chance v. BP Chemicals, Inc. </w:t>
      </w:r>
      <w:r>
        <w:rPr>
          <w:rFonts w:ascii="Times New Roman" w:eastAsia="Times New Roman" w:hAnsi="Times New Roman" w:cs="Times New Roman"/>
          <w:color w:val="FF0000"/>
          <w:sz w:val="20"/>
          <w:szCs w:val="20"/>
          <w:shd w:val="clear" w:color="auto" w:fill="FFF2CC"/>
        </w:rPr>
        <w:t>(Supreme Court of Ohio, 1996)</w:t>
      </w:r>
      <w:r>
        <w:rPr>
          <w:rFonts w:ascii="Times New Roman" w:eastAsia="Times New Roman" w:hAnsi="Times New Roman" w:cs="Times New Roman"/>
          <w:color w:val="FF0000"/>
          <w:sz w:val="20"/>
          <w:szCs w:val="20"/>
        </w:rPr>
        <w:t xml:space="preserve"> –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Potential for lateral migration in groundwater, not a permitting issue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Ps damaged from the lateral migration (even if not adjacent), claim: Trespass, arguing property interest in rock (per </w:t>
      </w:r>
      <w:r>
        <w:rPr>
          <w:rFonts w:ascii="Times New Roman" w:eastAsia="Times New Roman" w:hAnsi="Times New Roman" w:cs="Times New Roman"/>
          <w:i/>
          <w:color w:val="FF0000"/>
          <w:sz w:val="20"/>
          <w:szCs w:val="20"/>
        </w:rPr>
        <w:t>ad inferos</w:t>
      </w:r>
      <w:r>
        <w:rPr>
          <w:rFonts w:ascii="Times New Roman" w:eastAsia="Times New Roman" w:hAnsi="Times New Roman" w:cs="Times New Roman"/>
          <w:color w:val="FF0000"/>
          <w:sz w:val="20"/>
          <w:szCs w:val="20"/>
        </w:rPr>
        <w:t>)</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2,000 ft (1K beyond airspace)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No trespass </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t>
      </w:r>
      <w:r>
        <w:rPr>
          <w:rFonts w:ascii="Times New Roman" w:eastAsia="Times New Roman" w:hAnsi="Times New Roman" w:cs="Times New Roman"/>
          <w:i/>
          <w:color w:val="FF0000"/>
          <w:sz w:val="20"/>
          <w:szCs w:val="20"/>
        </w:rPr>
        <w:t>Ad coelum</w:t>
      </w:r>
      <w:r>
        <w:rPr>
          <w:rFonts w:ascii="Times New Roman" w:eastAsia="Times New Roman" w:hAnsi="Times New Roman" w:cs="Times New Roman"/>
          <w:color w:val="FF0000"/>
          <w:sz w:val="20"/>
          <w:szCs w:val="20"/>
        </w:rPr>
        <w:t xml:space="preserve"> outdated (no place in the modern world) and slippery slope argument (costs would be too high) (and no damages, big costs to BP)</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All damages = speculative, no damage to surface (e.g. pumping out damage to surface, it shrinks); can’t show damage</w:t>
      </w:r>
      <w:r>
        <w:rPr>
          <w:rFonts w:ascii="Times New Roman" w:eastAsia="Times New Roman" w:hAnsi="Times New Roman" w:cs="Times New Roman"/>
          <w:color w:val="FF0000"/>
          <w:sz w:val="20"/>
          <w:szCs w:val="20"/>
        </w:rPr>
        <w:t xml:space="preserve"> from migration</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Fewer demonstrable damages here than in </w:t>
      </w:r>
      <w:r>
        <w:rPr>
          <w:rFonts w:ascii="Times New Roman" w:eastAsia="Times New Roman" w:hAnsi="Times New Roman" w:cs="Times New Roman"/>
          <w:i/>
          <w:color w:val="FF0000"/>
          <w:sz w:val="20"/>
          <w:szCs w:val="20"/>
        </w:rPr>
        <w:t>Causby</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General surface trespass rule = don’t need to show damages, </w:t>
      </w:r>
      <w:r>
        <w:rPr>
          <w:rFonts w:ascii="Times New Roman" w:eastAsia="Times New Roman" w:hAnsi="Times New Roman" w:cs="Times New Roman"/>
          <w:i/>
          <w:color w:val="FF0000"/>
          <w:sz w:val="20"/>
          <w:szCs w:val="20"/>
        </w:rPr>
        <w:t>Chance</w:t>
      </w:r>
      <w:r>
        <w:rPr>
          <w:rFonts w:ascii="Times New Roman" w:eastAsia="Times New Roman" w:hAnsi="Times New Roman" w:cs="Times New Roman"/>
          <w:color w:val="FF0000"/>
          <w:sz w:val="20"/>
          <w:szCs w:val="20"/>
        </w:rPr>
        <w:t xml:space="preserve"> says do need damage in subsurface cases (for airspace?)</w:t>
      </w:r>
    </w:p>
    <w:p w:rsidR="00E46D95" w:rsidRDefault="006F495B">
      <w:pPr>
        <w:numPr>
          <w:ilvl w:val="3"/>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Potentially different outcome if surface damage (e.g. subsidence)</w:t>
      </w:r>
    </w:p>
    <w:p w:rsidR="00E46D95" w:rsidRDefault="006F495B">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Wate</w:t>
      </w:r>
      <w:r>
        <w:rPr>
          <w:rFonts w:ascii="Times New Roman" w:eastAsia="Times New Roman" w:hAnsi="Times New Roman" w:cs="Times New Roman"/>
          <w:sz w:val="20"/>
          <w:szCs w:val="20"/>
        </w:rPr>
        <w:t>r Law</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Surface water, such as lakes, rivers, streams, and other watercourses; three main approaches to surface water ownership: </w:t>
      </w:r>
    </w:p>
    <w:p w:rsidR="00E46D95" w:rsidRDefault="006F495B">
      <w:pPr>
        <w:numPr>
          <w:ilvl w:val="3"/>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Riparian System</w:t>
      </w:r>
      <w:r>
        <w:rPr>
          <w:rFonts w:ascii="Times New Roman" w:eastAsia="Times New Roman" w:hAnsi="Times New Roman" w:cs="Times New Roman"/>
          <w:sz w:val="20"/>
          <w:szCs w:val="20"/>
        </w:rPr>
        <w:t xml:space="preserve"> – eastern states adopted this system which assigns water rights to each landowner whose property adjoins a watercourse (embedded into a FSA); most states following this view have adopted the </w:t>
      </w:r>
      <w:r>
        <w:rPr>
          <w:rFonts w:ascii="Times New Roman" w:eastAsia="Times New Roman" w:hAnsi="Times New Roman" w:cs="Times New Roman"/>
          <w:i/>
          <w:sz w:val="20"/>
          <w:szCs w:val="20"/>
        </w:rPr>
        <w:t>reasonable use doctrine</w:t>
      </w:r>
      <w:r>
        <w:rPr>
          <w:rFonts w:ascii="Times New Roman" w:eastAsia="Times New Roman" w:hAnsi="Times New Roman" w:cs="Times New Roman"/>
          <w:sz w:val="20"/>
          <w:szCs w:val="20"/>
        </w:rPr>
        <w:t xml:space="preserve"> over time</w:t>
      </w:r>
    </w:p>
    <w:p w:rsidR="00E46D95" w:rsidRDefault="006F495B">
      <w:pPr>
        <w:numPr>
          <w:ilvl w:val="4"/>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Reasonable Use Doctrine</w:t>
      </w:r>
      <w:r>
        <w:rPr>
          <w:rFonts w:ascii="Times New Roman" w:eastAsia="Times New Roman" w:hAnsi="Times New Roman" w:cs="Times New Roman"/>
          <w:sz w:val="20"/>
          <w:szCs w:val="20"/>
        </w:rPr>
        <w:t xml:space="preserve"> – allo</w:t>
      </w:r>
      <w:r>
        <w:rPr>
          <w:rFonts w:ascii="Times New Roman" w:eastAsia="Times New Roman" w:hAnsi="Times New Roman" w:cs="Times New Roman"/>
          <w:sz w:val="20"/>
          <w:szCs w:val="20"/>
        </w:rPr>
        <w:t>ws a riparian owner to take water for reasonable uses on her land but not to unreasonably interfere with the uses of other riparian owners</w:t>
      </w:r>
    </w:p>
    <w:p w:rsidR="00E46D95" w:rsidRDefault="006F495B">
      <w:pPr>
        <w:numPr>
          <w:ilvl w:val="3"/>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Prior Appropriation System</w:t>
      </w:r>
      <w:r>
        <w:rPr>
          <w:rFonts w:ascii="Times New Roman" w:eastAsia="Times New Roman" w:hAnsi="Times New Roman" w:cs="Times New Roman"/>
          <w:sz w:val="20"/>
          <w:szCs w:val="20"/>
        </w:rPr>
        <w:t xml:space="preserve"> – followed by many western states where the location of the owner’s land is irrelevant, in</w:t>
      </w:r>
      <w:r>
        <w:rPr>
          <w:rFonts w:ascii="Times New Roman" w:eastAsia="Times New Roman" w:hAnsi="Times New Roman" w:cs="Times New Roman"/>
          <w:sz w:val="20"/>
          <w:szCs w:val="20"/>
        </w:rPr>
        <w:t xml:space="preserve">stead water rights are allocated to the first person to divert the water for </w:t>
      </w:r>
      <w:r>
        <w:rPr>
          <w:rFonts w:ascii="Times New Roman" w:eastAsia="Times New Roman" w:hAnsi="Times New Roman" w:cs="Times New Roman"/>
          <w:i/>
          <w:sz w:val="20"/>
          <w:szCs w:val="20"/>
        </w:rPr>
        <w:t>beneficial use</w:t>
      </w:r>
      <w:r>
        <w:rPr>
          <w:rFonts w:ascii="Times New Roman" w:eastAsia="Times New Roman" w:hAnsi="Times New Roman" w:cs="Times New Roman"/>
          <w:sz w:val="20"/>
          <w:szCs w:val="20"/>
        </w:rPr>
        <w:t xml:space="preserve">, ensuring that an appropriator will not abuse her water rights, serving the same function as the reasonable use doctrine in riparian states ^ </w:t>
      </w:r>
    </w:p>
    <w:p w:rsidR="00E46D95" w:rsidRDefault="006F495B">
      <w:pPr>
        <w:numPr>
          <w:ilvl w:val="3"/>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Permit System</w:t>
      </w:r>
      <w:r>
        <w:rPr>
          <w:rFonts w:ascii="Times New Roman" w:eastAsia="Times New Roman" w:hAnsi="Times New Roman" w:cs="Times New Roman"/>
          <w:sz w:val="20"/>
          <w:szCs w:val="20"/>
        </w:rPr>
        <w:t xml:space="preserve"> – today</w:t>
      </w:r>
      <w:r>
        <w:rPr>
          <w:rFonts w:ascii="Times New Roman" w:eastAsia="Times New Roman" w:hAnsi="Times New Roman" w:cs="Times New Roman"/>
          <w:sz w:val="20"/>
          <w:szCs w:val="20"/>
        </w:rPr>
        <w:t xml:space="preserve"> many states require a permit for the diversion of surface water; the gov’t effectively regulates the amount of water that may be withdrawn</w:t>
      </w:r>
    </w:p>
    <w:p w:rsidR="00E46D95" w:rsidRDefault="006F495B">
      <w:pPr>
        <w:numPr>
          <w:ilvl w:val="2"/>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Groundwater – underground, dispersed water that percolates through permeable subsurface layers </w:t>
      </w:r>
    </w:p>
    <w:p w:rsidR="00E46D95" w:rsidRDefault="006F495B">
      <w:pPr>
        <w:numPr>
          <w:ilvl w:val="3"/>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English </w:t>
      </w:r>
      <w:r>
        <w:rPr>
          <w:rFonts w:ascii="Times New Roman" w:eastAsia="Times New Roman" w:hAnsi="Times New Roman" w:cs="Times New Roman"/>
          <w:i/>
          <w:sz w:val="20"/>
          <w:szCs w:val="20"/>
        </w:rPr>
        <w:t>absolute own</w:t>
      </w:r>
      <w:r>
        <w:rPr>
          <w:rFonts w:ascii="Times New Roman" w:eastAsia="Times New Roman" w:hAnsi="Times New Roman" w:cs="Times New Roman"/>
          <w:i/>
          <w:sz w:val="20"/>
          <w:szCs w:val="20"/>
        </w:rPr>
        <w:t xml:space="preserve">ership rule or rule of capture </w:t>
      </w:r>
      <w:r>
        <w:rPr>
          <w:rFonts w:ascii="Times New Roman" w:eastAsia="Times New Roman" w:hAnsi="Times New Roman" w:cs="Times New Roman"/>
          <w:sz w:val="20"/>
          <w:szCs w:val="20"/>
        </w:rPr>
        <w:t>– the owner of the land surface could remove as much groundwater as he wished even if this process caused severe injury to his neighbors</w:t>
      </w:r>
    </w:p>
    <w:p w:rsidR="00E46D95" w:rsidRDefault="006F495B">
      <w:pPr>
        <w:numPr>
          <w:ilvl w:val="4"/>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American courts adopted then [almost all states have] abandoned this approach in the twe</w:t>
      </w:r>
      <w:r>
        <w:rPr>
          <w:rFonts w:ascii="Times New Roman" w:eastAsia="Times New Roman" w:hAnsi="Times New Roman" w:cs="Times New Roman"/>
          <w:sz w:val="20"/>
          <w:szCs w:val="20"/>
        </w:rPr>
        <w:t>ntieth century when its consequences proved too harsh</w:t>
      </w:r>
    </w:p>
    <w:p w:rsidR="00E46D95" w:rsidRDefault="006F495B">
      <w:pPr>
        <w:numPr>
          <w:ilvl w:val="3"/>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Three approaches to groundwater ownership; each effectively prevents any one owner from injuring other owners by withdrawing too much groundwater (unlike historical absolute ownership) </w:t>
      </w:r>
    </w:p>
    <w:p w:rsidR="00E46D95" w:rsidRDefault="006F495B">
      <w:pPr>
        <w:numPr>
          <w:ilvl w:val="4"/>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Reasonable Use A</w:t>
      </w:r>
      <w:r>
        <w:rPr>
          <w:rFonts w:ascii="Times New Roman" w:eastAsia="Times New Roman" w:hAnsi="Times New Roman" w:cs="Times New Roman"/>
          <w:i/>
          <w:sz w:val="20"/>
          <w:szCs w:val="20"/>
        </w:rPr>
        <w:t>pproach</w:t>
      </w:r>
      <w:r>
        <w:rPr>
          <w:rFonts w:ascii="Times New Roman" w:eastAsia="Times New Roman" w:hAnsi="Times New Roman" w:cs="Times New Roman"/>
          <w:sz w:val="20"/>
          <w:szCs w:val="20"/>
        </w:rPr>
        <w:t xml:space="preserve"> – the dominant view that a surface owner may use groundwater only for a reasonable use on the overlying land</w:t>
      </w:r>
    </w:p>
    <w:p w:rsidR="00E46D95" w:rsidRDefault="006F495B">
      <w:pPr>
        <w:numPr>
          <w:ilvl w:val="4"/>
          <w:numId w:val="8"/>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Correlative Rights</w:t>
      </w:r>
      <w:r>
        <w:rPr>
          <w:rFonts w:ascii="Times New Roman" w:eastAsia="Times New Roman" w:hAnsi="Times New Roman" w:cs="Times New Roman"/>
          <w:sz w:val="20"/>
          <w:szCs w:val="20"/>
        </w:rPr>
        <w:t xml:space="preserve"> – the surface owner is entitled to a proportional share of the groundwater beneath his land</w:t>
      </w:r>
    </w:p>
    <w:p w:rsidR="00E46D95" w:rsidRDefault="006F495B">
      <w:pPr>
        <w:numPr>
          <w:ilvl w:val="4"/>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Permit System</w:t>
      </w:r>
      <w:r>
        <w:rPr>
          <w:rFonts w:ascii="Times New Roman" w:eastAsia="Times New Roman" w:hAnsi="Times New Roman" w:cs="Times New Roman"/>
          <w:sz w:val="20"/>
          <w:szCs w:val="20"/>
        </w:rPr>
        <w:t xml:space="preserve"> – title to gro</w:t>
      </w:r>
      <w:r>
        <w:rPr>
          <w:rFonts w:ascii="Times New Roman" w:eastAsia="Times New Roman" w:hAnsi="Times New Roman" w:cs="Times New Roman"/>
          <w:sz w:val="20"/>
          <w:szCs w:val="20"/>
        </w:rPr>
        <w:t>undwater is vested in the state, so the surface owner can obtain water rights only by securing a permit</w:t>
      </w:r>
    </w:p>
    <w:p w:rsidR="00E46D95" w:rsidRDefault="006F495B">
      <w:pPr>
        <w:numPr>
          <w:ilvl w:val="3"/>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Sipriano v. Great Spring Waters of America, Inc. </w:t>
      </w:r>
      <w:r>
        <w:rPr>
          <w:rFonts w:ascii="Times New Roman" w:eastAsia="Times New Roman" w:hAnsi="Times New Roman" w:cs="Times New Roman"/>
          <w:color w:val="FF0000"/>
          <w:sz w:val="20"/>
          <w:szCs w:val="20"/>
          <w:shd w:val="clear" w:color="auto" w:fill="FFF2CC"/>
        </w:rPr>
        <w:t>(Supreme Court of Texas, 1999)</w:t>
      </w:r>
      <w:r>
        <w:rPr>
          <w:rFonts w:ascii="Times New Roman" w:eastAsia="Times New Roman" w:hAnsi="Times New Roman" w:cs="Times New Roman"/>
          <w:color w:val="FF0000"/>
          <w:sz w:val="20"/>
          <w:szCs w:val="20"/>
        </w:rPr>
        <w:t xml:space="preserve"> – </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Water law = use rights; surface and subsurface rights different; stat</w:t>
      </w:r>
      <w:r>
        <w:rPr>
          <w:rFonts w:ascii="Times New Roman" w:eastAsia="Times New Roman" w:hAnsi="Times New Roman" w:cs="Times New Roman"/>
          <w:color w:val="FF0000"/>
          <w:sz w:val="20"/>
          <w:szCs w:val="20"/>
        </w:rPr>
        <w:t>e not federal law</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Surface: Riparian use (reasonable use – alike nuisance, depends on context), prior appropriation (first in time [to a beneficial use]) – temporal so more certain</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First in time on surface and underground except not requirement for reasonable use (absolute ownership)</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Should TX change subsurface water law to reasonable use doctrine?; doctrine of reasonable subsurface use = can’t export (in most states)</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app. In some states via permits</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Why does TX court say it can’t do anything to the common law?</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of Capture and groundwater (&amp; </w:t>
      </w:r>
      <w:r>
        <w:rPr>
          <w:rFonts w:ascii="Times New Roman" w:eastAsia="Times New Roman" w:hAnsi="Times New Roman" w:cs="Times New Roman"/>
          <w:i/>
          <w:color w:val="FF0000"/>
          <w:sz w:val="20"/>
          <w:szCs w:val="20"/>
        </w:rPr>
        <w:t>ad coelum</w:t>
      </w:r>
      <w:r>
        <w:rPr>
          <w:rFonts w:ascii="Times New Roman" w:eastAsia="Times New Roman" w:hAnsi="Times New Roman" w:cs="Times New Roman"/>
          <w:color w:val="FF0000"/>
          <w:sz w:val="20"/>
          <w:szCs w:val="20"/>
        </w:rPr>
        <w:t>)</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Can you pump out all the groundwater that you can pump?</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Y (v. reasonable use in place of rule of capture</w:t>
      </w:r>
      <w:r>
        <w:rPr>
          <w:rFonts w:ascii="Times New Roman" w:eastAsia="Times New Roman" w:hAnsi="Times New Roman" w:cs="Times New Roman"/>
          <w:color w:val="FF0000"/>
          <w:sz w:val="20"/>
          <w:szCs w:val="20"/>
        </w:rPr>
        <w:t xml:space="preserve"> doctrine)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Should adopt a reasonable use rule?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of Absolute Ownership: As landowner really contingent (not absolute) – don’t own until you drill/pump it out of the ground (encourages drilling/labor v. passive enjoyment of water beneath the land)</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w:t>
      </w:r>
      <w:r>
        <w:rPr>
          <w:rFonts w:ascii="Times New Roman" w:eastAsia="Times New Roman" w:hAnsi="Times New Roman" w:cs="Times New Roman"/>
          <w:color w:val="FF0000"/>
          <w:sz w:val="20"/>
          <w:szCs w:val="20"/>
        </w:rPr>
        <w:t>e of Capture – encourages to put into market/quick development (not sustainable)</w:t>
      </w:r>
    </w:p>
    <w:p w:rsidR="00E46D95" w:rsidRDefault="006F495B">
      <w:pPr>
        <w:numPr>
          <w:ilvl w:val="5"/>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Significant downsides </w:t>
      </w:r>
    </w:p>
    <w:p w:rsidR="00E46D95" w:rsidRDefault="006F495B">
      <w:pPr>
        <w:numPr>
          <w:ilvl w:val="5"/>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Under reasonable use (majority view of groundwater) doctrine would not be able to export, must use on overlying land (limited by evolving CL)</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Correlativ</w:t>
      </w:r>
      <w:r>
        <w:rPr>
          <w:rFonts w:ascii="Times New Roman" w:eastAsia="Times New Roman" w:hAnsi="Times New Roman" w:cs="Times New Roman"/>
          <w:color w:val="FF0000"/>
          <w:sz w:val="20"/>
          <w:szCs w:val="20"/>
        </w:rPr>
        <w:t>e Rights = proportional share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Appropriation = first in time (in modern sense and approved by state)</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Statute and more important Constitution (1917) – interpreted to mean that any changes in water regime requires legislative and leg hadn’t done anyt</w:t>
      </w:r>
      <w:r>
        <w:rPr>
          <w:rFonts w:ascii="Times New Roman" w:eastAsia="Times New Roman" w:hAnsi="Times New Roman" w:cs="Times New Roman"/>
          <w:color w:val="FF0000"/>
          <w:sz w:val="20"/>
          <w:szCs w:val="20"/>
        </w:rPr>
        <w:t>hing (v. Ohio court – more willing to act when the legislature hasn’t)</w:t>
      </w:r>
    </w:p>
    <w:p w:rsidR="00E46D95" w:rsidRDefault="006F495B">
      <w:pPr>
        <w:numPr>
          <w:ilvl w:val="4"/>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Aftermath (legislative action): Would not change the ruling, essentially codified CL regime in place</w:t>
      </w:r>
    </w:p>
    <w:p w:rsidR="00E46D95" w:rsidRDefault="006F495B">
      <w:pPr>
        <w:numPr>
          <w:ilvl w:val="5"/>
          <w:numId w:val="8"/>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Difference: Own water below (true?) Right to drill (but already had right to drill?)</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Chapter 3: Owning Personal Property</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Chattel </w:t>
      </w:r>
      <w:r>
        <w:rPr>
          <w:rFonts w:ascii="Times New Roman" w:eastAsia="Times New Roman" w:hAnsi="Times New Roman" w:cs="Times New Roman"/>
          <w:sz w:val="20"/>
          <w:szCs w:val="20"/>
        </w:rPr>
        <w:t xml:space="preserve">– an item of tangible personal property </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manner in which you acquired each item helps to define the bundle of rights you hold</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of Capture (exploring beyond </w:t>
      </w:r>
      <w:r>
        <w:rPr>
          <w:rFonts w:ascii="Times New Roman" w:eastAsia="Times New Roman" w:hAnsi="Times New Roman" w:cs="Times New Roman"/>
          <w:i/>
          <w:sz w:val="20"/>
          <w:szCs w:val="20"/>
        </w:rPr>
        <w:t>Pierson v. Post</w:t>
      </w:r>
      <w:r>
        <w:rPr>
          <w:rFonts w:ascii="Times New Roman" w:eastAsia="Times New Roman" w:hAnsi="Times New Roman" w:cs="Times New Roman"/>
          <w:sz w:val="20"/>
          <w:szCs w:val="20"/>
        </w:rPr>
        <w:t xml:space="preserve">) – foundational rule applying </w:t>
      </w:r>
      <w:r>
        <w:rPr>
          <w:rFonts w:ascii="Times New Roman" w:eastAsia="Times New Roman" w:hAnsi="Times New Roman" w:cs="Times New Roman"/>
          <w:sz w:val="20"/>
          <w:szCs w:val="20"/>
        </w:rPr>
        <w:t>to different types of personal property</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Pierson v. Post</w:t>
      </w:r>
      <w:r>
        <w:rPr>
          <w:rFonts w:ascii="Times New Roman" w:eastAsia="Times New Roman" w:hAnsi="Times New Roman" w:cs="Times New Roman"/>
          <w:sz w:val="20"/>
          <w:szCs w:val="20"/>
        </w:rPr>
        <w:t>: Doctrine awards property rights to the person who brings a wild animal (</w:t>
      </w:r>
      <w:r>
        <w:rPr>
          <w:rFonts w:ascii="Times New Roman" w:eastAsia="Times New Roman" w:hAnsi="Times New Roman" w:cs="Times New Roman"/>
          <w:i/>
          <w:sz w:val="20"/>
          <w:szCs w:val="20"/>
        </w:rPr>
        <w:t>“ferae naturae</w:t>
      </w:r>
      <w:r>
        <w:rPr>
          <w:rFonts w:ascii="Times New Roman" w:eastAsia="Times New Roman" w:hAnsi="Times New Roman" w:cs="Times New Roman"/>
          <w:sz w:val="20"/>
          <w:szCs w:val="20"/>
        </w:rPr>
        <w:t>”) under her certain control; such wild animals are seen as unowned while roaming in their natural habitat</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State v. Shaw </w:t>
      </w:r>
      <w:r>
        <w:rPr>
          <w:rFonts w:ascii="Times New Roman" w:eastAsia="Times New Roman" w:hAnsi="Times New Roman" w:cs="Times New Roman"/>
          <w:color w:val="FF0000"/>
          <w:sz w:val="20"/>
          <w:szCs w:val="20"/>
          <w:shd w:val="clear" w:color="auto" w:fill="FFF2CC"/>
        </w:rPr>
        <w:t>(Supreme Court of Ohio, 1902)</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State took netowners’ fish, COA: Criminal charge</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Fish not capture (could come and go) – because a wild animal in the wild (</w:t>
      </w:r>
      <w:r>
        <w:rPr>
          <w:rFonts w:ascii="Times New Roman" w:eastAsia="Times New Roman" w:hAnsi="Times New Roman" w:cs="Times New Roman"/>
          <w:i/>
          <w:color w:val="FF0000"/>
          <w:sz w:val="20"/>
          <w:szCs w:val="20"/>
        </w:rPr>
        <w:t>ferae naturae</w:t>
      </w:r>
      <w:r>
        <w:rPr>
          <w:rFonts w:ascii="Times New Roman" w:eastAsia="Times New Roman" w:hAnsi="Times New Roman" w:cs="Times New Roman"/>
          <w:color w:val="FF0000"/>
          <w:sz w:val="20"/>
          <w:szCs w:val="20"/>
        </w:rPr>
        <w:t>) (state would now say it owns wildlife)</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Grand larceny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in </w:t>
      </w:r>
      <w:r>
        <w:rPr>
          <w:rFonts w:ascii="Times New Roman" w:eastAsia="Times New Roman" w:hAnsi="Times New Roman" w:cs="Times New Roman"/>
          <w:i/>
          <w:color w:val="FF0000"/>
          <w:sz w:val="20"/>
          <w:szCs w:val="20"/>
        </w:rPr>
        <w:t>Pierson v. Post</w:t>
      </w:r>
      <w:r>
        <w:rPr>
          <w:rFonts w:ascii="Times New Roman" w:eastAsia="Times New Roman" w:hAnsi="Times New Roman" w:cs="Times New Roman"/>
          <w:color w:val="FF0000"/>
          <w:sz w:val="20"/>
          <w:szCs w:val="20"/>
        </w:rPr>
        <w:t xml:space="preserve"> – need animal in control (“mortally wounded”);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here practically unable to escape (distinguished)</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Not guilty – larceny only when “so confined” – so not here because not enclosed</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Guilty, was captured/controlled (main reason</w:t>
      </w:r>
      <w:r>
        <w:rPr>
          <w:rFonts w:ascii="Times New Roman" w:eastAsia="Times New Roman" w:hAnsi="Times New Roman" w:cs="Times New Roman"/>
          <w:color w:val="FF0000"/>
          <w:sz w:val="20"/>
          <w:szCs w:val="20"/>
        </w:rPr>
        <w:t xml:space="preserve">able precaution against escape) (v. </w:t>
      </w:r>
      <w:r>
        <w:rPr>
          <w:rFonts w:ascii="Times New Roman" w:eastAsia="Times New Roman" w:hAnsi="Times New Roman" w:cs="Times New Roman"/>
          <w:i/>
          <w:color w:val="FF0000"/>
          <w:sz w:val="20"/>
          <w:szCs w:val="20"/>
        </w:rPr>
        <w:t>Pierson</w:t>
      </w:r>
      <w:r>
        <w:rPr>
          <w:rFonts w:ascii="Times New Roman" w:eastAsia="Times New Roman" w:hAnsi="Times New Roman" w:cs="Times New Roman"/>
          <w:color w:val="FF0000"/>
          <w:sz w:val="20"/>
          <w:szCs w:val="20"/>
        </w:rPr>
        <w:t xml:space="preserve"> – unable to escape...); </w:t>
      </w:r>
      <w:r>
        <w:rPr>
          <w:rFonts w:ascii="Times New Roman" w:eastAsia="Times New Roman" w:hAnsi="Times New Roman" w:cs="Times New Roman"/>
          <w:color w:val="FF0000"/>
          <w:sz w:val="20"/>
          <w:szCs w:val="20"/>
          <w:u w:val="single"/>
        </w:rPr>
        <w:t xml:space="preserve">here established a different capture rule – tighten up, don’t need mortally wound to have ownership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of capture and the tragedy of the commons: Resource depletion, assumes open access</w:t>
      </w:r>
      <w:r>
        <w:rPr>
          <w:rFonts w:ascii="Times New Roman" w:eastAsia="Times New Roman" w:hAnsi="Times New Roman" w:cs="Times New Roman"/>
          <w:color w:val="FF0000"/>
          <w:sz w:val="20"/>
          <w:szCs w:val="20"/>
        </w:rPr>
        <w:t xml:space="preserve"> – may impose restrictions (e.g. close open access, regulation/policy); privatization (then no incentive to overharvest)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 xml:space="preserve">Notice and </w:t>
      </w:r>
      <w:r>
        <w:rPr>
          <w:rFonts w:ascii="Times New Roman" w:eastAsia="Times New Roman" w:hAnsi="Times New Roman" w:cs="Times New Roman"/>
          <w:i/>
          <w:color w:val="FF0000"/>
          <w:sz w:val="20"/>
          <w:szCs w:val="20"/>
        </w:rPr>
        <w:t>ferae naturae</w:t>
      </w:r>
      <w:r>
        <w:rPr>
          <w:rFonts w:ascii="Times New Roman" w:eastAsia="Times New Roman" w:hAnsi="Times New Roman" w:cs="Times New Roman"/>
          <w:color w:val="FF0000"/>
          <w:sz w:val="20"/>
          <w:szCs w:val="20"/>
        </w:rPr>
        <w:t xml:space="preserve"> (branding?)</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Defining “Capture”: Post = the chase, Ohio SC = control, Pierson = mortally wounding</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Larceny</w:t>
      </w:r>
      <w:r>
        <w:rPr>
          <w:rFonts w:ascii="Times New Roman" w:eastAsia="Times New Roman" w:hAnsi="Times New Roman" w:cs="Times New Roman"/>
          <w:sz w:val="20"/>
          <w:szCs w:val="20"/>
        </w:rPr>
        <w:t xml:space="preserve"> – the carrying away of personal property belonging to another person with the intent to keep it forever; </w:t>
      </w:r>
      <w:r>
        <w:rPr>
          <w:rFonts w:ascii="Times New Roman" w:eastAsia="Times New Roman" w:hAnsi="Times New Roman" w:cs="Times New Roman"/>
          <w:i/>
          <w:sz w:val="20"/>
          <w:szCs w:val="20"/>
        </w:rPr>
        <w:t>grand larceny</w:t>
      </w:r>
      <w:r>
        <w:rPr>
          <w:rFonts w:ascii="Times New Roman" w:eastAsia="Times New Roman" w:hAnsi="Times New Roman" w:cs="Times New Roman"/>
          <w:sz w:val="20"/>
          <w:szCs w:val="20"/>
        </w:rPr>
        <w:t xml:space="preserve"> – typically larceny of a certain value, generally $200 or more; one cannot commit larceny of real estate (because cannot be “carried awa</w:t>
      </w:r>
      <w:r>
        <w:rPr>
          <w:rFonts w:ascii="Times New Roman" w:eastAsia="Times New Roman" w:hAnsi="Times New Roman" w:cs="Times New Roman"/>
          <w:sz w:val="20"/>
          <w:szCs w:val="20"/>
        </w:rPr>
        <w:t>y”)</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Doctrine originated as a rule for ownership of wild animals, was extended over time to rights in water, oil, natural gas, hard rock minerals, and other resources</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Popov v. Hayashi</w:t>
      </w:r>
      <w:r>
        <w:rPr>
          <w:rFonts w:ascii="Times New Roman" w:eastAsia="Times New Roman" w:hAnsi="Times New Roman" w:cs="Times New Roman"/>
          <w:color w:val="FF0000"/>
          <w:sz w:val="20"/>
          <w:szCs w:val="20"/>
          <w:shd w:val="clear" w:color="auto" w:fill="FFF2CC"/>
        </w:rPr>
        <w:t xml:space="preserve"> (Superior Court of California, County of San Francisco, 2002)</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Conve</w:t>
      </w:r>
      <w:r>
        <w:rPr>
          <w:rFonts w:ascii="Times New Roman" w:eastAsia="Times New Roman" w:hAnsi="Times New Roman" w:cs="Times New Roman"/>
          <w:color w:val="FF0000"/>
          <w:sz w:val="20"/>
          <w:szCs w:val="20"/>
        </w:rPr>
        <w:t>rsion claim (COA) – must have first possession – bring in professors</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out of custom (requires a catch, what is a “catch”)</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Both had a claim and had to split the cost of selling it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Mob acting unlawfully (interfered with Popov’s maintaining possessi</w:t>
      </w:r>
      <w:r>
        <w:rPr>
          <w:rFonts w:ascii="Times New Roman" w:eastAsia="Times New Roman" w:hAnsi="Times New Roman" w:cs="Times New Roman"/>
          <w:color w:val="FF0000"/>
          <w:sz w:val="20"/>
          <w:szCs w:val="20"/>
        </w:rPr>
        <w:t>on – pre-poss interest)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 Would have capture “but for” the mob – entitled to pre-capture protection (given some protection)</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Splits the difference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Pre-capture protection, i.e. in water, mining law – protecting while looking/building</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here not an all or n</w:t>
      </w:r>
      <w:r>
        <w:rPr>
          <w:rFonts w:ascii="Times New Roman" w:eastAsia="Times New Roman" w:hAnsi="Times New Roman" w:cs="Times New Roman"/>
          <w:color w:val="FF0000"/>
          <w:sz w:val="20"/>
          <w:szCs w:val="20"/>
        </w:rPr>
        <w:t>othing decision (unlike water laws)</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 overruling </w:t>
      </w:r>
      <w:r>
        <w:rPr>
          <w:rFonts w:ascii="Times New Roman" w:eastAsia="Times New Roman" w:hAnsi="Times New Roman" w:cs="Times New Roman"/>
          <w:i/>
          <w:color w:val="FF0000"/>
          <w:sz w:val="20"/>
          <w:szCs w:val="20"/>
        </w:rPr>
        <w:t>Pierson v. Post</w:t>
      </w:r>
      <w:r>
        <w:rPr>
          <w:rFonts w:ascii="Times New Roman" w:eastAsia="Times New Roman" w:hAnsi="Times New Roman" w:cs="Times New Roman"/>
          <w:color w:val="FF0000"/>
          <w:sz w:val="20"/>
          <w:szCs w:val="20"/>
        </w:rPr>
        <w:t xml:space="preserve">: (R) Wildlife is different from baseballs; another way of dealing with how you define first-in-time; also distinguish </w:t>
      </w:r>
      <w:r>
        <w:rPr>
          <w:rFonts w:ascii="Times New Roman" w:eastAsia="Times New Roman" w:hAnsi="Times New Roman" w:cs="Times New Roman"/>
          <w:i/>
          <w:color w:val="FF0000"/>
          <w:sz w:val="20"/>
          <w:szCs w:val="20"/>
        </w:rPr>
        <w:t>Pierson</w:t>
      </w:r>
      <w:r>
        <w:rPr>
          <w:rFonts w:ascii="Times New Roman" w:eastAsia="Times New Roman" w:hAnsi="Times New Roman" w:cs="Times New Roman"/>
          <w:color w:val="FF0000"/>
          <w:sz w:val="20"/>
          <w:szCs w:val="20"/>
        </w:rPr>
        <w:t xml:space="preserve"> in that couldn’t show here that first-in-time (there could show Pierson shot first)</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Difficult to show first-in-time applicable too in water law (</w:t>
      </w:r>
      <w:r>
        <w:rPr>
          <w:rFonts w:ascii="Times New Roman" w:eastAsia="Times New Roman" w:hAnsi="Times New Roman" w:cs="Times New Roman"/>
          <w:i/>
          <w:color w:val="FF0000"/>
          <w:sz w:val="20"/>
          <w:szCs w:val="20"/>
        </w:rPr>
        <w:t>Left Hand Ditch</w:t>
      </w:r>
      <w:r>
        <w:rPr>
          <w:rFonts w:ascii="Times New Roman" w:eastAsia="Times New Roman" w:hAnsi="Times New Roman" w:cs="Times New Roman"/>
          <w:color w:val="FF0000"/>
          <w:sz w:val="20"/>
          <w:szCs w:val="20"/>
        </w:rPr>
        <w:t xml:space="preserve">) (and natural resources law) because takes a while to build diversion, that date goes back to </w:t>
      </w:r>
      <w:r>
        <w:rPr>
          <w:rFonts w:ascii="Times New Roman" w:eastAsia="Times New Roman" w:hAnsi="Times New Roman" w:cs="Times New Roman"/>
          <w:color w:val="FF0000"/>
          <w:sz w:val="20"/>
          <w:szCs w:val="20"/>
        </w:rPr>
        <w:t>when it starts</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Because of pre-possessory interest, exercised “feminist jurisprudence”</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Western Water Law</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Coffin v. Left Hand Ditch Co. </w:t>
      </w:r>
      <w:r>
        <w:rPr>
          <w:rFonts w:ascii="Times New Roman" w:eastAsia="Times New Roman" w:hAnsi="Times New Roman" w:cs="Times New Roman"/>
          <w:color w:val="FF0000"/>
          <w:sz w:val="20"/>
          <w:szCs w:val="20"/>
          <w:shd w:val="clear" w:color="auto" w:fill="FFF2CC"/>
        </w:rPr>
        <w:t>(Supreme Court of Colorado, 1882)</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C irrigates land with water; LHD diverting water and likely distributing for many </w:t>
      </w:r>
      <w:r>
        <w:rPr>
          <w:rFonts w:ascii="Times New Roman" w:eastAsia="Times New Roman" w:hAnsi="Times New Roman" w:cs="Times New Roman"/>
          <w:color w:val="FF0000"/>
          <w:sz w:val="20"/>
          <w:szCs w:val="20"/>
        </w:rPr>
        <w:t>others</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LHD: Creates diversion (C doesn’t have) (gives notice)</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 Relying on his FSA and that had first also naturally irrigates (flooding) (no diversion)</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 water law unless water shortage; tears down dam/diversion and claims riparian right (self-help)</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 Unreasonable interference (and trespass)</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right – riparian right doctrine inapplicable in CO (think aridity); abolished riparian rights (or claim never had)</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Aridity, without diversion CO wouldn’t be what it is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 Water Law: LHD has superior w</w:t>
      </w:r>
      <w:r>
        <w:rPr>
          <w:rFonts w:ascii="Times New Roman" w:eastAsia="Times New Roman" w:hAnsi="Times New Roman" w:cs="Times New Roman"/>
          <w:color w:val="FF0000"/>
          <w:sz w:val="20"/>
          <w:szCs w:val="20"/>
        </w:rPr>
        <w:t>ater right and P(C) i sliable fo rdamages and has no riparian right (rejects his argument)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appropriation – first to make economic use – beneficial use (diversion for farming, mining, municipal)</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1876 Con wanted prior appropriation (aridity and prior a</w:t>
      </w:r>
      <w:r>
        <w:rPr>
          <w:rFonts w:ascii="Times New Roman" w:eastAsia="Times New Roman" w:hAnsi="Times New Roman" w:cs="Times New Roman"/>
          <w:color w:val="FF0000"/>
          <w:sz w:val="20"/>
          <w:szCs w:val="20"/>
        </w:rPr>
        <w:t>pp.)</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Where do property rights come from? Utility; person who gets it first in time wins; custom</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Use on condition, must use or can lose (v. riparian: Can’t lose)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Social policy Q: Property rights serve human interests – want water to be used by productive pe</w:t>
      </w:r>
      <w:r>
        <w:rPr>
          <w:rFonts w:ascii="Times New Roman" w:eastAsia="Times New Roman" w:hAnsi="Times New Roman" w:cs="Times New Roman"/>
          <w:color w:val="FF0000"/>
          <w:sz w:val="20"/>
          <w:szCs w:val="20"/>
        </w:rPr>
        <w:t>ople (like LHD) and to be spread around to as many people as possible, ideally to avoid water monopolies (but didn’t work out that way)</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app rewards those who divert first and give rights if beneficially using (displaced riparian (or saying never had to begin with))</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Instrumentalist perspective (outcome and development oriented because perceived to be the best social policy)</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Water law:</w:t>
      </w:r>
      <w:r>
        <w:rPr>
          <w:rFonts w:ascii="Times New Roman" w:eastAsia="Times New Roman" w:hAnsi="Times New Roman" w:cs="Times New Roman"/>
          <w:color w:val="FF0000"/>
          <w:sz w:val="20"/>
          <w:szCs w:val="20"/>
        </w:rPr>
        <w:t xml:space="preserve"> State to state, not federal (exceptions to CO prior app view)</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Winters v. United States </w:t>
      </w:r>
      <w:r>
        <w:rPr>
          <w:rFonts w:ascii="Times New Roman" w:eastAsia="Times New Roman" w:hAnsi="Times New Roman" w:cs="Times New Roman"/>
          <w:color w:val="FF0000"/>
          <w:sz w:val="20"/>
          <w:szCs w:val="20"/>
          <w:shd w:val="clear" w:color="auto" w:fill="FFF2CC"/>
        </w:rPr>
        <w:t>(SCOTUS, 1908)</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1874: Treaty (with larger tract of land later sold); 1888 treaty gov’t help to irrigate (e.g. make pastoral and civilized - promote agrarian system</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said nothing of water</w:t>
      </w:r>
      <w:r>
        <w:rPr>
          <w:rFonts w:ascii="Times New Roman" w:eastAsia="Times New Roman" w:hAnsi="Times New Roman" w:cs="Times New Roman"/>
          <w:color w:val="FF0000"/>
          <w:sz w:val="20"/>
          <w:szCs w:val="20"/>
        </w:rPr>
        <w:t>; 1890s: Settlers upstream begin diverting (like LHD ^); 1905: Drought and lacking water</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US defends tribe and water for agrarian use (had begun irrigation project), not enough for Winters’ diversion and project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 First in time and b</w:t>
      </w:r>
      <w:r>
        <w:rPr>
          <w:rFonts w:ascii="Times New Roman" w:eastAsia="Times New Roman" w:hAnsi="Times New Roman" w:cs="Times New Roman"/>
          <w:color w:val="FF0000"/>
          <w:sz w:val="20"/>
          <w:szCs w:val="20"/>
        </w:rPr>
        <w:t>eneficial users (prior app doctrine in MT)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Indians first in time</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Sides with gov’t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H/J: Affirmed – (R) Indians were first in time as part of grant from the gov’t; implicit in purpose of 1888 treaty to make agrarian (even if delay in making/building </w:t>
      </w:r>
      <w:r>
        <w:rPr>
          <w:rFonts w:ascii="Times New Roman" w:eastAsia="Times New Roman" w:hAnsi="Times New Roman" w:cs="Times New Roman"/>
          <w:color w:val="FF0000"/>
          <w:sz w:val="20"/>
          <w:szCs w:val="20"/>
        </w:rPr>
        <w:t>the diversion project for the indians)</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First-in-time not violated, depends on what first-in-time means (what’s the test)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Gov’t appropriated water by purpose not e.g. diversion</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Court says controls treaties as “unlettered” would understand them – not cons</w:t>
      </w:r>
      <w:r>
        <w:rPr>
          <w:rFonts w:ascii="Times New Roman" w:eastAsia="Times New Roman" w:hAnsi="Times New Roman" w:cs="Times New Roman"/>
          <w:color w:val="FF0000"/>
          <w:sz w:val="20"/>
          <w:szCs w:val="20"/>
        </w:rPr>
        <w:t xml:space="preserve">trued them technically – otherwise gave up land for a small piece of land without water – not what intended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Winans</w:t>
      </w:r>
      <w:r>
        <w:rPr>
          <w:rFonts w:ascii="Times New Roman" w:eastAsia="Times New Roman" w:hAnsi="Times New Roman" w:cs="Times New Roman"/>
          <w:color w:val="FF0000"/>
          <w:sz w:val="20"/>
          <w:szCs w:val="20"/>
        </w:rPr>
        <w:t xml:space="preserve"> – right to fish v. right to exclude</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When the gov’t reserved the land for the Native Americans (and therefore the right for the Natives to us</w:t>
      </w:r>
      <w:r>
        <w:rPr>
          <w:rFonts w:ascii="Times New Roman" w:eastAsia="Times New Roman" w:hAnsi="Times New Roman" w:cs="Times New Roman"/>
          <w:color w:val="FF0000"/>
          <w:sz w:val="20"/>
          <w:szCs w:val="20"/>
        </w:rPr>
        <w:t>e water in the future)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Indian water project being constructed but not being put to use yet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Winters’ claim: That it was first in capturing (diverting) the water</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Gov’t’s (&amp; Natives’) claim: Treaty shows that Natives were “first in time” (but treaty didn’t say anything about water)</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Treaty gave an implicit right to the Natives – still first in time, but it’s regarding what is “first in time”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Federal </w:t>
      </w:r>
      <w:r>
        <w:rPr>
          <w:rFonts w:ascii="Times New Roman" w:eastAsia="Times New Roman" w:hAnsi="Times New Roman" w:cs="Times New Roman"/>
          <w:i/>
          <w:color w:val="FF0000"/>
          <w:sz w:val="20"/>
          <w:szCs w:val="20"/>
        </w:rPr>
        <w:t>not</w:t>
      </w:r>
      <w:r>
        <w:rPr>
          <w:rFonts w:ascii="Times New Roman" w:eastAsia="Times New Roman" w:hAnsi="Times New Roman" w:cs="Times New Roman"/>
          <w:color w:val="FF0000"/>
          <w:sz w:val="20"/>
          <w:szCs w:val="20"/>
        </w:rPr>
        <w:t xml:space="preserve"> state law </w:t>
      </w:r>
      <w:r>
        <w:rPr>
          <w:rFonts w:ascii="Times New Roman" w:eastAsia="Times New Roman" w:hAnsi="Times New Roman" w:cs="Times New Roman"/>
          <w:color w:val="FF0000"/>
          <w:sz w:val="20"/>
          <w:szCs w:val="20"/>
        </w:rPr>
        <w:t>(federal reserved water rights – but still about first in time, but what counts as first is different)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Alike </w:t>
      </w:r>
      <w:r>
        <w:rPr>
          <w:rFonts w:ascii="Times New Roman" w:eastAsia="Times New Roman" w:hAnsi="Times New Roman" w:cs="Times New Roman"/>
          <w:i/>
          <w:color w:val="FF0000"/>
          <w:sz w:val="20"/>
          <w:szCs w:val="20"/>
        </w:rPr>
        <w:t>Johnson v. M’Intosh</w:t>
      </w:r>
      <w:r>
        <w:rPr>
          <w:rFonts w:ascii="Times New Roman" w:eastAsia="Times New Roman" w:hAnsi="Times New Roman" w:cs="Times New Roman"/>
          <w:color w:val="FF0000"/>
          <w:sz w:val="20"/>
          <w:szCs w:val="20"/>
        </w:rPr>
        <w:t xml:space="preserve"> – “first” but Natives cannot alienate to anyone but the gov’t (H)</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Comparable: Winters “diverted” first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implicit right for the Natives (i.e. “first”) in the treaty</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Compared to </w:t>
      </w:r>
      <w:r>
        <w:rPr>
          <w:rFonts w:ascii="Times New Roman" w:eastAsia="Times New Roman" w:hAnsi="Times New Roman" w:cs="Times New Roman"/>
          <w:i/>
          <w:color w:val="FF0000"/>
          <w:sz w:val="20"/>
          <w:szCs w:val="20"/>
        </w:rPr>
        <w:t>United States v. Winans</w:t>
      </w:r>
      <w:r>
        <w:rPr>
          <w:rFonts w:ascii="Times New Roman" w:eastAsia="Times New Roman" w:hAnsi="Times New Roman" w:cs="Times New Roman"/>
          <w:color w:val="FF0000"/>
          <w:sz w:val="20"/>
          <w:szCs w:val="20"/>
        </w:rPr>
        <w:t xml:space="preserve"> – the tribes kept the right to fish in the treaty (clear in the treaty unlike </w:t>
      </w:r>
      <w:r>
        <w:rPr>
          <w:rFonts w:ascii="Times New Roman" w:eastAsia="Times New Roman" w:hAnsi="Times New Roman" w:cs="Times New Roman"/>
          <w:i/>
          <w:color w:val="FF0000"/>
          <w:sz w:val="20"/>
          <w:szCs w:val="20"/>
        </w:rPr>
        <w:t>Winters</w:t>
      </w:r>
      <w:r>
        <w:rPr>
          <w:rFonts w:ascii="Times New Roman" w:eastAsia="Times New Roman" w:hAnsi="Times New Roman" w:cs="Times New Roman"/>
          <w:color w:val="FF0000"/>
          <w:sz w:val="20"/>
          <w:szCs w:val="20"/>
        </w:rPr>
        <w:t>) (and had been using that right forever) (H)</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More expressed, preserving ex</w:t>
      </w:r>
      <w:r>
        <w:rPr>
          <w:rFonts w:ascii="Times New Roman" w:eastAsia="Times New Roman" w:hAnsi="Times New Roman" w:cs="Times New Roman"/>
          <w:color w:val="FF0000"/>
          <w:sz w:val="20"/>
          <w:szCs w:val="20"/>
        </w:rPr>
        <w:t xml:space="preserve">isting right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Notice (in </w:t>
      </w:r>
      <w:r>
        <w:rPr>
          <w:rFonts w:ascii="Times New Roman" w:eastAsia="Times New Roman" w:hAnsi="Times New Roman" w:cs="Times New Roman"/>
          <w:i/>
          <w:color w:val="FF0000"/>
          <w:sz w:val="20"/>
          <w:szCs w:val="20"/>
        </w:rPr>
        <w:t>Winans</w:t>
      </w:r>
      <w:r>
        <w:rPr>
          <w:rFonts w:ascii="Times New Roman" w:eastAsia="Times New Roman" w:hAnsi="Times New Roman" w:cs="Times New Roman"/>
          <w:color w:val="FF0000"/>
          <w:sz w:val="20"/>
          <w:szCs w:val="20"/>
        </w:rPr>
        <w:t>): Fish wheels – can see (actual notice) and likely record notice as well (per treaty)</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v. </w:t>
      </w:r>
      <w:r>
        <w:rPr>
          <w:rFonts w:ascii="Times New Roman" w:eastAsia="Times New Roman" w:hAnsi="Times New Roman" w:cs="Times New Roman"/>
          <w:i/>
          <w:color w:val="FF0000"/>
          <w:sz w:val="20"/>
          <w:szCs w:val="20"/>
        </w:rPr>
        <w:t>Winters</w:t>
      </w:r>
      <w:r>
        <w:rPr>
          <w:rFonts w:ascii="Times New Roman" w:eastAsia="Times New Roman" w:hAnsi="Times New Roman" w:cs="Times New Roman"/>
          <w:color w:val="FF0000"/>
          <w:sz w:val="20"/>
          <w:szCs w:val="20"/>
        </w:rPr>
        <w:t xml:space="preserve"> – distinguished because not yet diverting (but plans to), implicit (v. explicit)</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Notice (in</w:t>
      </w:r>
      <w:r>
        <w:rPr>
          <w:rFonts w:ascii="Times New Roman" w:eastAsia="Times New Roman" w:hAnsi="Times New Roman" w:cs="Times New Roman"/>
          <w:i/>
          <w:color w:val="FF0000"/>
          <w:sz w:val="20"/>
          <w:szCs w:val="20"/>
        </w:rPr>
        <w:t xml:space="preserve"> Winters</w:t>
      </w:r>
      <w:r>
        <w:rPr>
          <w:rFonts w:ascii="Times New Roman" w:eastAsia="Times New Roman" w:hAnsi="Times New Roman" w:cs="Times New Roman"/>
          <w:color w:val="FF0000"/>
          <w:sz w:val="20"/>
          <w:szCs w:val="20"/>
        </w:rPr>
        <w:t>): No actual/record notice (</w:t>
      </w:r>
      <w:r>
        <w:rPr>
          <w:rFonts w:ascii="Times New Roman" w:eastAsia="Times New Roman" w:hAnsi="Times New Roman" w:cs="Times New Roman"/>
          <w:color w:val="FF0000"/>
          <w:sz w:val="20"/>
          <w:szCs w:val="20"/>
        </w:rPr>
        <w:t>if record not explicit)</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w:t>
      </w:r>
      <w:r>
        <w:rPr>
          <w:rFonts w:ascii="Times New Roman" w:eastAsia="Times New Roman" w:hAnsi="Times New Roman" w:cs="Times New Roman"/>
          <w:i/>
          <w:color w:val="FF0000"/>
          <w:sz w:val="20"/>
          <w:szCs w:val="20"/>
        </w:rPr>
        <w:t>Winters</w:t>
      </w:r>
      <w:r>
        <w:rPr>
          <w:rFonts w:ascii="Times New Roman" w:eastAsia="Times New Roman" w:hAnsi="Times New Roman" w:cs="Times New Roman"/>
          <w:color w:val="FF0000"/>
          <w:sz w:val="20"/>
          <w:szCs w:val="20"/>
        </w:rPr>
        <w:t xml:space="preserve"> much weaker than </w:t>
      </w:r>
      <w:r>
        <w:rPr>
          <w:rFonts w:ascii="Times New Roman" w:eastAsia="Times New Roman" w:hAnsi="Times New Roman" w:cs="Times New Roman"/>
          <w:i/>
          <w:color w:val="FF0000"/>
          <w:sz w:val="20"/>
          <w:szCs w:val="20"/>
        </w:rPr>
        <w:t>Winans</w:t>
      </w:r>
      <w:r>
        <w:rPr>
          <w:rFonts w:ascii="Times New Roman" w:eastAsia="Times New Roman" w:hAnsi="Times New Roman" w:cs="Times New Roman"/>
          <w:color w:val="FF0000"/>
          <w:sz w:val="20"/>
          <w:szCs w:val="20"/>
        </w:rPr>
        <w:t xml:space="preserve"> (note distinctions)</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National Audubon Society v. Superior Court of Alpine County</w:t>
      </w:r>
      <w:r>
        <w:rPr>
          <w:rFonts w:ascii="Times New Roman" w:eastAsia="Times New Roman" w:hAnsi="Times New Roman" w:cs="Times New Roman"/>
          <w:color w:val="FF0000"/>
          <w:sz w:val="20"/>
          <w:szCs w:val="20"/>
          <w:shd w:val="clear" w:color="auto" w:fill="FFF2CC"/>
        </w:rPr>
        <w:t xml:space="preserve"> (Supreme Court of California, 1983)</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 gov’t diverting 4/5 streams feeding into Mono Lake – as lake dries up, creat</w:t>
      </w:r>
      <w:r>
        <w:rPr>
          <w:rFonts w:ascii="Times New Roman" w:eastAsia="Times New Roman" w:hAnsi="Times New Roman" w:cs="Times New Roman"/>
          <w:color w:val="FF0000"/>
          <w:sz w:val="20"/>
          <w:szCs w:val="20"/>
        </w:rPr>
        <w:t>es positive environmental feedback loop (exacerbating env harm)</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 [for NAS]: Public trust doctrine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public trust doctrine applies (D says no, P says yes)</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PTD applies to the navigable waters (i.e. Mono Lake), I: Are the streams navigable waters?</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PTD is applicable to the streams (R: Because impacts a navigable waterway (many states have not adopted this idea; this court decision is broad/sweeping))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State says first in time (granted 1940 priority date to LA for municipal purposes, property right)</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appropriation rights v. public trust doctrine – two systems and in conflict with each other</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What does the PTD do to first in time? PTD began when CA </w:t>
      </w:r>
      <w:r>
        <w:rPr>
          <w:rFonts w:ascii="Times New Roman" w:eastAsia="Times New Roman" w:hAnsi="Times New Roman" w:cs="Times New Roman"/>
          <w:color w:val="FF0000"/>
          <w:sz w:val="20"/>
          <w:szCs w:val="20"/>
        </w:rPr>
        <w:t xml:space="preserve">began a state (and perhaps before that) – prior to 1940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When gave away water to LA in 1940, gave away too much (city has no vested right, i.e. no right to compensation) – </w:t>
      </w:r>
      <w:r>
        <w:rPr>
          <w:rFonts w:ascii="Times New Roman" w:eastAsia="Times New Roman" w:hAnsi="Times New Roman" w:cs="Times New Roman"/>
          <w:color w:val="FF0000"/>
          <w:sz w:val="20"/>
          <w:szCs w:val="20"/>
          <w:u w:val="single"/>
        </w:rPr>
        <w:t>no vested rights if harming any resources protected by the public trust</w:t>
      </w:r>
      <w:r>
        <w:rPr>
          <w:rFonts w:ascii="Times New Roman" w:eastAsia="Times New Roman" w:hAnsi="Times New Roman" w:cs="Times New Roman"/>
          <w:color w:val="FF0000"/>
          <w:sz w:val="20"/>
          <w:szCs w:val="20"/>
        </w:rPr>
        <w:t xml:space="preserve"> – people who</w:t>
      </w:r>
      <w:r>
        <w:rPr>
          <w:rFonts w:ascii="Times New Roman" w:eastAsia="Times New Roman" w:hAnsi="Times New Roman" w:cs="Times New Roman"/>
          <w:color w:val="FF0000"/>
          <w:sz w:val="20"/>
          <w:szCs w:val="20"/>
        </w:rPr>
        <w:t xml:space="preserve"> are first in time get vested rights but now not the case in CA</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 vested right – provides right to compensation</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Opinion (H) does require LA to stop draining Mono Lake, but sends back to State Water Board (and lower court) – State Water Board need to reexam</w:t>
      </w:r>
      <w:r>
        <w:rPr>
          <w:rFonts w:ascii="Times New Roman" w:eastAsia="Times New Roman" w:hAnsi="Times New Roman" w:cs="Times New Roman"/>
          <w:color w:val="FF0000"/>
          <w:sz w:val="20"/>
          <w:szCs w:val="20"/>
        </w:rPr>
        <w:t>ine and see if other way to accomplish their goals without harming the env</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 xml:space="preserve">Law changed here substantially – does not change “first in time” but rather changes what counts as first (asks SWB to at least consider the Lake as a part of the PTD) </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Estates and Future Interests</w:t>
      </w:r>
    </w:p>
    <w:p w:rsidR="00E46D95" w:rsidRDefault="006F495B">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Present Possessory Estate</w:t>
      </w:r>
      <w:r>
        <w:rPr>
          <w:rFonts w:ascii="Times New Roman" w:eastAsia="Times New Roman" w:hAnsi="Times New Roman" w:cs="Times New Roman"/>
          <w:sz w:val="20"/>
          <w:szCs w:val="20"/>
        </w:rPr>
        <w:t xml:space="preserve"> – when someone “owns” their home, they actually own this, a bundle of rights concerning the house and the land </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Estate</w:t>
      </w:r>
      <w:r>
        <w:rPr>
          <w:rFonts w:ascii="Times New Roman" w:eastAsia="Times New Roman" w:hAnsi="Times New Roman" w:cs="Times New Roman"/>
          <w:sz w:val="20"/>
          <w:szCs w:val="20"/>
        </w:rPr>
        <w:t xml:space="preserve"> (a </w:t>
      </w:r>
      <w:r>
        <w:rPr>
          <w:rFonts w:ascii="Times New Roman" w:eastAsia="Times New Roman" w:hAnsi="Times New Roman" w:cs="Times New Roman"/>
          <w:i/>
          <w:sz w:val="20"/>
          <w:szCs w:val="20"/>
        </w:rPr>
        <w:t>present possessory interest</w:t>
      </w:r>
      <w:r>
        <w:rPr>
          <w:rFonts w:ascii="Times New Roman" w:eastAsia="Times New Roman" w:hAnsi="Times New Roman" w:cs="Times New Roman"/>
          <w:sz w:val="20"/>
          <w:szCs w:val="20"/>
        </w:rPr>
        <w:t>) – one particular temporal slice of owne</w:t>
      </w:r>
      <w:r>
        <w:rPr>
          <w:rFonts w:ascii="Times New Roman" w:eastAsia="Times New Roman" w:hAnsi="Times New Roman" w:cs="Times New Roman"/>
          <w:sz w:val="20"/>
          <w:szCs w:val="20"/>
        </w:rPr>
        <w:t xml:space="preserve">rship rights in relation to a parcel of land; common law of estates is an elaborate system that allows ownership to be split over </w:t>
      </w:r>
      <w:r>
        <w:rPr>
          <w:rFonts w:ascii="Times New Roman" w:eastAsia="Times New Roman" w:hAnsi="Times New Roman" w:cs="Times New Roman"/>
          <w:i/>
          <w:sz w:val="20"/>
          <w:szCs w:val="20"/>
        </w:rPr>
        <w:t>time</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Future Interest </w:t>
      </w:r>
      <w:r>
        <w:rPr>
          <w:rFonts w:ascii="Times New Roman" w:eastAsia="Times New Roman" w:hAnsi="Times New Roman" w:cs="Times New Roman"/>
          <w:sz w:val="20"/>
          <w:szCs w:val="20"/>
        </w:rPr>
        <w:t xml:space="preserve">(v. </w:t>
      </w:r>
      <w:r>
        <w:rPr>
          <w:rFonts w:ascii="Times New Roman" w:eastAsia="Times New Roman" w:hAnsi="Times New Roman" w:cs="Times New Roman"/>
          <w:i/>
          <w:sz w:val="20"/>
          <w:szCs w:val="20"/>
        </w:rPr>
        <w:t>present possessory interest</w:t>
      </w:r>
      <w:r>
        <w:rPr>
          <w:rFonts w:ascii="Times New Roman" w:eastAsia="Times New Roman" w:hAnsi="Times New Roman" w:cs="Times New Roman"/>
          <w:sz w:val="20"/>
          <w:szCs w:val="20"/>
        </w:rPr>
        <w:t xml:space="preserve">) – a right to future possession </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Short History, evolved from the Englis</w:t>
      </w:r>
      <w:r>
        <w:rPr>
          <w:rFonts w:ascii="Times New Roman" w:eastAsia="Times New Roman" w:hAnsi="Times New Roman" w:cs="Times New Roman"/>
          <w:sz w:val="20"/>
          <w:szCs w:val="20"/>
        </w:rPr>
        <w:t>h law of estates and future interests</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Feudal Foundation – our modern property law system is based on the English system of estates and future interests, which evolved from feudal landholding arrangements. English feudalism’s recognition of both the right t</w:t>
      </w:r>
      <w:r>
        <w:rPr>
          <w:rFonts w:ascii="Times New Roman" w:eastAsia="Times New Roman" w:hAnsi="Times New Roman" w:cs="Times New Roman"/>
          <w:sz w:val="20"/>
          <w:szCs w:val="20"/>
        </w:rPr>
        <w:t xml:space="preserve">o </w:t>
      </w:r>
      <w:r>
        <w:rPr>
          <w:rFonts w:ascii="Times New Roman" w:eastAsia="Times New Roman" w:hAnsi="Times New Roman" w:cs="Times New Roman"/>
          <w:i/>
          <w:sz w:val="20"/>
          <w:szCs w:val="20"/>
        </w:rPr>
        <w:t>present possession</w:t>
      </w:r>
      <w:r>
        <w:rPr>
          <w:rFonts w:ascii="Times New Roman" w:eastAsia="Times New Roman" w:hAnsi="Times New Roman" w:cs="Times New Roman"/>
          <w:sz w:val="20"/>
          <w:szCs w:val="20"/>
        </w:rPr>
        <w:t xml:space="preserve"> and rights to </w:t>
      </w:r>
      <w:r>
        <w:rPr>
          <w:rFonts w:ascii="Times New Roman" w:eastAsia="Times New Roman" w:hAnsi="Times New Roman" w:cs="Times New Roman"/>
          <w:i/>
          <w:sz w:val="20"/>
          <w:szCs w:val="20"/>
        </w:rPr>
        <w:t xml:space="preserve">future possession </w:t>
      </w:r>
      <w:r>
        <w:rPr>
          <w:rFonts w:ascii="Times New Roman" w:eastAsia="Times New Roman" w:hAnsi="Times New Roman" w:cs="Times New Roman"/>
          <w:sz w:val="20"/>
          <w:szCs w:val="20"/>
        </w:rPr>
        <w:t>is the foundation of our modern estates system.</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Statute Quia Emptores</w:t>
      </w:r>
      <w:r>
        <w:rPr>
          <w:rFonts w:ascii="Times New Roman" w:eastAsia="Times New Roman" w:hAnsi="Times New Roman" w:cs="Times New Roman"/>
          <w:sz w:val="20"/>
          <w:szCs w:val="20"/>
        </w:rPr>
        <w:t xml:space="preserve"> (1290) –</w:t>
      </w:r>
      <w:r>
        <w:rPr>
          <w:rFonts w:ascii="Times New Roman" w:eastAsia="Times New Roman" w:hAnsi="Times New Roman" w:cs="Times New Roman"/>
          <w:sz w:val="20"/>
          <w:szCs w:val="20"/>
        </w:rPr>
        <w:t xml:space="preserve"> gave a tenant the right to transfer his land without permission from the lord, marking the beginning of free alienability and signaling the impending demise of the feudal system; with adoption, the forms of land ownership we now call estates began to evol</w:t>
      </w:r>
      <w:r>
        <w:rPr>
          <w:rFonts w:ascii="Times New Roman" w:eastAsia="Times New Roman" w:hAnsi="Times New Roman" w:cs="Times New Roman"/>
          <w:sz w:val="20"/>
          <w:szCs w:val="20"/>
        </w:rPr>
        <w:t xml:space="preserve">ve </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Seisin</w:t>
      </w:r>
      <w:r>
        <w:rPr>
          <w:rFonts w:ascii="Times New Roman" w:eastAsia="Times New Roman" w:hAnsi="Times New Roman" w:cs="Times New Roman"/>
          <w:sz w:val="20"/>
          <w:szCs w:val="20"/>
        </w:rPr>
        <w:t xml:space="preserve"> – a special form of possession [for those nobles and gentry holding freehold estates], created by an elaborate ceremony called </w:t>
      </w:r>
      <w:r>
        <w:rPr>
          <w:rFonts w:ascii="Times New Roman" w:eastAsia="Times New Roman" w:hAnsi="Times New Roman" w:cs="Times New Roman"/>
          <w:i/>
          <w:sz w:val="20"/>
          <w:szCs w:val="20"/>
        </w:rPr>
        <w:t>feoffment with livery of seisin</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Livery of seisin</w:t>
      </w:r>
      <w:r>
        <w:rPr>
          <w:rFonts w:ascii="Times New Roman" w:eastAsia="Times New Roman" w:hAnsi="Times New Roman" w:cs="Times New Roman"/>
          <w:color w:val="FF0000"/>
          <w:sz w:val="20"/>
          <w:szCs w:val="20"/>
        </w:rPr>
        <w:t xml:space="preserve"> (pg. 313) – official ceremony for passing of deed (transferring)</w:t>
      </w:r>
    </w:p>
    <w:p w:rsidR="00E46D95" w:rsidRDefault="006F495B">
      <w:pPr>
        <w:numPr>
          <w:ilvl w:val="3"/>
          <w:numId w:val="1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Seis</w:t>
      </w:r>
      <w:r>
        <w:rPr>
          <w:rFonts w:ascii="Times New Roman" w:eastAsia="Times New Roman" w:hAnsi="Times New Roman" w:cs="Times New Roman"/>
          <w:i/>
          <w:color w:val="FF0000"/>
          <w:sz w:val="20"/>
          <w:szCs w:val="20"/>
        </w:rPr>
        <w:t>in</w:t>
      </w:r>
      <w:r>
        <w:rPr>
          <w:rFonts w:ascii="Times New Roman" w:eastAsia="Times New Roman" w:hAnsi="Times New Roman" w:cs="Times New Roman"/>
          <w:color w:val="FF0000"/>
          <w:sz w:val="20"/>
          <w:szCs w:val="20"/>
        </w:rPr>
        <w:t xml:space="preserve"> – a right to possess a “freehold” (will distinguish between freeholds and non-freeholds) (i.e. landlord has seisin/freeholds not tenants – now tax related); a kind of dignified estate</w:t>
      </w:r>
    </w:p>
    <w:p w:rsidR="00E46D95" w:rsidRDefault="006F495B">
      <w:pPr>
        <w:numPr>
          <w:ilvl w:val="3"/>
          <w:numId w:val="1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Livery</w:t>
      </w:r>
      <w:r>
        <w:rPr>
          <w:rFonts w:ascii="Times New Roman" w:eastAsia="Times New Roman" w:hAnsi="Times New Roman" w:cs="Times New Roman"/>
          <w:color w:val="FF0000"/>
          <w:sz w:val="20"/>
          <w:szCs w:val="20"/>
        </w:rPr>
        <w:t xml:space="preserve"> – the ceremony (often involving minor child as grantee) to let</w:t>
      </w:r>
      <w:r>
        <w:rPr>
          <w:rFonts w:ascii="Times New Roman" w:eastAsia="Times New Roman" w:hAnsi="Times New Roman" w:cs="Times New Roman"/>
          <w:color w:val="FF0000"/>
          <w:sz w:val="20"/>
          <w:szCs w:val="20"/>
        </w:rPr>
        <w:t xml:space="preserve"> everyone know that serious (a conveyance of something important); alike seals and notaries today; a ceremony designed to mark conveyance</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Two Categories of Estates:</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Non-freehold Estates</w:t>
      </w:r>
      <w:r>
        <w:rPr>
          <w:rFonts w:ascii="Times New Roman" w:eastAsia="Times New Roman" w:hAnsi="Times New Roman" w:cs="Times New Roman"/>
          <w:sz w:val="20"/>
          <w:szCs w:val="20"/>
        </w:rPr>
        <w:t xml:space="preserve"> – created informally and held by common people, later evolved into the</w:t>
      </w:r>
      <w:r>
        <w:rPr>
          <w:rFonts w:ascii="Times New Roman" w:eastAsia="Times New Roman" w:hAnsi="Times New Roman" w:cs="Times New Roman"/>
          <w:sz w:val="20"/>
          <w:szCs w:val="20"/>
        </w:rPr>
        <w:t xml:space="preserve"> modern leasehold estates between landlord and tenant</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Freehold Estates </w:t>
      </w:r>
      <w:r>
        <w:rPr>
          <w:rFonts w:ascii="Times New Roman" w:eastAsia="Times New Roman" w:hAnsi="Times New Roman" w:cs="Times New Roman"/>
          <w:sz w:val="20"/>
          <w:szCs w:val="20"/>
        </w:rPr>
        <w:t>(6), categorized according to how long they exist</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 xml:space="preserve">Fee Simple Absolute </w:t>
      </w:r>
      <w:r>
        <w:rPr>
          <w:rFonts w:ascii="Times New Roman" w:eastAsia="Times New Roman" w:hAnsi="Times New Roman" w:cs="Times New Roman"/>
          <w:sz w:val="20"/>
          <w:szCs w:val="20"/>
        </w:rPr>
        <w:t>(FSA)</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 xml:space="preserve">Life Estate </w:t>
      </w:r>
      <w:r>
        <w:rPr>
          <w:rFonts w:ascii="Times New Roman" w:eastAsia="Times New Roman" w:hAnsi="Times New Roman" w:cs="Times New Roman"/>
          <w:sz w:val="20"/>
          <w:szCs w:val="20"/>
        </w:rPr>
        <w:t>(LE)</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Traditional Life Estate</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Equitable Life Estate</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 xml:space="preserve">Fee Tail </w:t>
      </w:r>
      <w:r>
        <w:rPr>
          <w:rFonts w:ascii="Times New Roman" w:eastAsia="Times New Roman" w:hAnsi="Times New Roman" w:cs="Times New Roman"/>
          <w:sz w:val="20"/>
          <w:szCs w:val="20"/>
        </w:rPr>
        <w:t>(FT)</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Fee Simple Defeasibl</w:t>
      </w:r>
      <w:r>
        <w:rPr>
          <w:rFonts w:ascii="Times New Roman" w:eastAsia="Times New Roman" w:hAnsi="Times New Roman" w:cs="Times New Roman"/>
          <w:i/>
          <w:sz w:val="20"/>
          <w:szCs w:val="20"/>
        </w:rPr>
        <w:t>es</w:t>
      </w:r>
      <w:r>
        <w:rPr>
          <w:rFonts w:ascii="Times New Roman" w:eastAsia="Times New Roman" w:hAnsi="Times New Roman" w:cs="Times New Roman"/>
          <w:sz w:val="20"/>
          <w:szCs w:val="20"/>
        </w:rPr>
        <w:t xml:space="preserve"> – variants on the fee simple (3)</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 xml:space="preserve">Fee Simple Determinable </w:t>
      </w:r>
      <w:r>
        <w:rPr>
          <w:rFonts w:ascii="Times New Roman" w:eastAsia="Times New Roman" w:hAnsi="Times New Roman" w:cs="Times New Roman"/>
          <w:sz w:val="20"/>
          <w:szCs w:val="20"/>
        </w:rPr>
        <w:t>(FSD)</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Fee Simple Subject to a Condition Subsequent</w:t>
      </w:r>
      <w:r>
        <w:rPr>
          <w:rFonts w:ascii="Times New Roman" w:eastAsia="Times New Roman" w:hAnsi="Times New Roman" w:cs="Times New Roman"/>
          <w:sz w:val="20"/>
          <w:szCs w:val="20"/>
        </w:rPr>
        <w:t xml:space="preserve"> (FSSCS)</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(6) </w:t>
      </w:r>
      <w:r>
        <w:rPr>
          <w:rFonts w:ascii="Times New Roman" w:eastAsia="Times New Roman" w:hAnsi="Times New Roman" w:cs="Times New Roman"/>
          <w:i/>
          <w:sz w:val="20"/>
          <w:szCs w:val="20"/>
        </w:rPr>
        <w:t>Fee Simple Subject to an Executory Limitation</w:t>
      </w:r>
      <w:r>
        <w:rPr>
          <w:rFonts w:ascii="Times New Roman" w:eastAsia="Times New Roman" w:hAnsi="Times New Roman" w:cs="Times New Roman"/>
          <w:sz w:val="20"/>
          <w:szCs w:val="20"/>
        </w:rPr>
        <w:t xml:space="preserve"> (FSSEL)</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Future Interests </w:t>
      </w:r>
      <w:r>
        <w:rPr>
          <w:rFonts w:ascii="Times New Roman" w:eastAsia="Times New Roman" w:hAnsi="Times New Roman" w:cs="Times New Roman"/>
          <w:sz w:val="20"/>
          <w:szCs w:val="20"/>
        </w:rPr>
        <w:t>(8)</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Future Interests Retained by the Transferor:</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Reversion</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Possibility of Reverter</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Right of Entry</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Future Interests Created in a Transferee:</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Indefeasibly Vested Remainder</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Vested Remainder Subject to Divestment</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(6) </w:t>
      </w:r>
      <w:r>
        <w:rPr>
          <w:rFonts w:ascii="Times New Roman" w:eastAsia="Times New Roman" w:hAnsi="Times New Roman" w:cs="Times New Roman"/>
          <w:i/>
          <w:sz w:val="20"/>
          <w:szCs w:val="20"/>
        </w:rPr>
        <w:t>Vested Remainder Subject to Open</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(7) </w:t>
      </w:r>
      <w:r>
        <w:rPr>
          <w:rFonts w:ascii="Times New Roman" w:eastAsia="Times New Roman" w:hAnsi="Times New Roman" w:cs="Times New Roman"/>
          <w:i/>
          <w:sz w:val="20"/>
          <w:szCs w:val="20"/>
        </w:rPr>
        <w:t>Contingent Remainder</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(8) </w:t>
      </w:r>
      <w:r>
        <w:rPr>
          <w:rFonts w:ascii="Times New Roman" w:eastAsia="Times New Roman" w:hAnsi="Times New Roman" w:cs="Times New Roman"/>
          <w:i/>
          <w:sz w:val="20"/>
          <w:szCs w:val="20"/>
        </w:rPr>
        <w:t>Executory Inte</w:t>
      </w:r>
      <w:r>
        <w:rPr>
          <w:rFonts w:ascii="Times New Roman" w:eastAsia="Times New Roman" w:hAnsi="Times New Roman" w:cs="Times New Roman"/>
          <w:i/>
          <w:sz w:val="20"/>
          <w:szCs w:val="20"/>
        </w:rPr>
        <w:t>rest</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estate or future interest is usually transferred in one of three ways:</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Transfer by Deed</w:t>
      </w:r>
      <w:r>
        <w:rPr>
          <w:rFonts w:ascii="Times New Roman" w:eastAsia="Times New Roman" w:hAnsi="Times New Roman" w:cs="Times New Roman"/>
          <w:sz w:val="20"/>
          <w:szCs w:val="20"/>
        </w:rPr>
        <w:t xml:space="preserve"> – a living person may transfer real property by a deed</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Conveyance</w:t>
      </w:r>
      <w:r>
        <w:rPr>
          <w:rFonts w:ascii="Times New Roman" w:eastAsia="Times New Roman" w:hAnsi="Times New Roman" w:cs="Times New Roman"/>
          <w:sz w:val="20"/>
          <w:szCs w:val="20"/>
        </w:rPr>
        <w:t xml:space="preserve"> or </w:t>
      </w:r>
      <w:r>
        <w:rPr>
          <w:rFonts w:ascii="Times New Roman" w:eastAsia="Times New Roman" w:hAnsi="Times New Roman" w:cs="Times New Roman"/>
          <w:i/>
          <w:sz w:val="20"/>
          <w:szCs w:val="20"/>
        </w:rPr>
        <w:t xml:space="preserve">grant </w:t>
      </w:r>
      <w:r>
        <w:rPr>
          <w:rFonts w:ascii="Times New Roman" w:eastAsia="Times New Roman" w:hAnsi="Times New Roman" w:cs="Times New Roman"/>
          <w:sz w:val="20"/>
          <w:szCs w:val="20"/>
        </w:rPr>
        <w:t>– the completed transfer by deed</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Grantor</w:t>
      </w:r>
      <w:r>
        <w:rPr>
          <w:rFonts w:ascii="Times New Roman" w:eastAsia="Times New Roman" w:hAnsi="Times New Roman" w:cs="Times New Roman"/>
          <w:sz w:val="20"/>
          <w:szCs w:val="20"/>
        </w:rPr>
        <w:t xml:space="preserve"> – the person who makes the transfer by deed</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Grantee</w:t>
      </w:r>
      <w:r>
        <w:rPr>
          <w:rFonts w:ascii="Times New Roman" w:eastAsia="Times New Roman" w:hAnsi="Times New Roman" w:cs="Times New Roman"/>
          <w:sz w:val="20"/>
          <w:szCs w:val="20"/>
        </w:rPr>
        <w:t xml:space="preserve"> – the recipient of a transfer by deed</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Transfer by Will</w:t>
      </w:r>
      <w:r>
        <w:rPr>
          <w:rFonts w:ascii="Times New Roman" w:eastAsia="Times New Roman" w:hAnsi="Times New Roman" w:cs="Times New Roman"/>
          <w:sz w:val="20"/>
          <w:szCs w:val="20"/>
        </w:rPr>
        <w:t xml:space="preserve"> – the property of a decedent may be transferred by a will </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Devise</w:t>
      </w:r>
      <w:r>
        <w:rPr>
          <w:rFonts w:ascii="Times New Roman" w:eastAsia="Times New Roman" w:hAnsi="Times New Roman" w:cs="Times New Roman"/>
          <w:sz w:val="20"/>
          <w:szCs w:val="20"/>
        </w:rPr>
        <w:t xml:space="preserve"> – the completed transfer of property by will as well as the verb used to describe transfer by will</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Testator</w:t>
      </w:r>
      <w:r>
        <w:rPr>
          <w:rFonts w:ascii="Times New Roman" w:eastAsia="Times New Roman" w:hAnsi="Times New Roman" w:cs="Times New Roman"/>
          <w:sz w:val="20"/>
          <w:szCs w:val="20"/>
        </w:rPr>
        <w:t xml:space="preserve"> (male) or </w:t>
      </w:r>
      <w:r>
        <w:rPr>
          <w:rFonts w:ascii="Times New Roman" w:eastAsia="Times New Roman" w:hAnsi="Times New Roman" w:cs="Times New Roman"/>
          <w:i/>
          <w:sz w:val="20"/>
          <w:szCs w:val="20"/>
        </w:rPr>
        <w:t>Testatrix</w:t>
      </w:r>
      <w:r>
        <w:rPr>
          <w:rFonts w:ascii="Times New Roman" w:eastAsia="Times New Roman" w:hAnsi="Times New Roman" w:cs="Times New Roman"/>
          <w:sz w:val="20"/>
          <w:szCs w:val="20"/>
        </w:rPr>
        <w:t xml:space="preserve"> (female) – the person whose will contains the devise </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Devisee</w:t>
      </w:r>
      <w:r>
        <w:rPr>
          <w:rFonts w:ascii="Times New Roman" w:eastAsia="Times New Roman" w:hAnsi="Times New Roman" w:cs="Times New Roman"/>
          <w:sz w:val="20"/>
          <w:szCs w:val="20"/>
        </w:rPr>
        <w:t xml:space="preserve"> – the recipient of a transfer by will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terms apply to the transfer of personal property by will</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Transfer by Intestate Succession</w:t>
      </w:r>
      <w:r>
        <w:rPr>
          <w:rFonts w:ascii="Times New Roman" w:eastAsia="Times New Roman" w:hAnsi="Times New Roman" w:cs="Times New Roman"/>
          <w:sz w:val="20"/>
          <w:szCs w:val="20"/>
        </w:rPr>
        <w:t xml:space="preserve"> – if a person dies without a will, her property will be distributed according to state statutes, usually to her closest living relatives</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Intestate Succession</w:t>
      </w:r>
      <w:r>
        <w:rPr>
          <w:rFonts w:ascii="Times New Roman" w:eastAsia="Times New Roman" w:hAnsi="Times New Roman" w:cs="Times New Roman"/>
          <w:sz w:val="20"/>
          <w:szCs w:val="20"/>
        </w:rPr>
        <w:t xml:space="preserve"> – the completed transfer</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Descend</w:t>
      </w:r>
      <w:r>
        <w:rPr>
          <w:rFonts w:ascii="Times New Roman" w:eastAsia="Times New Roman" w:hAnsi="Times New Roman" w:cs="Times New Roman"/>
          <w:sz w:val="20"/>
          <w:szCs w:val="20"/>
        </w:rPr>
        <w:t xml:space="preserve"> – the verb to describe the transfer of real property by intestat</w:t>
      </w:r>
      <w:r>
        <w:rPr>
          <w:rFonts w:ascii="Times New Roman" w:eastAsia="Times New Roman" w:hAnsi="Times New Roman" w:cs="Times New Roman"/>
          <w:sz w:val="20"/>
          <w:szCs w:val="20"/>
        </w:rPr>
        <w:t xml:space="preserve">e succession  </w:t>
      </w:r>
    </w:p>
    <w:p w:rsidR="00E46D95" w:rsidRDefault="006F495B">
      <w:pPr>
        <w:numPr>
          <w:ilvl w:val="2"/>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Heir</w:t>
      </w:r>
      <w:r>
        <w:rPr>
          <w:rFonts w:ascii="Times New Roman" w:eastAsia="Times New Roman" w:hAnsi="Times New Roman" w:cs="Times New Roman"/>
          <w:sz w:val="20"/>
          <w:szCs w:val="20"/>
        </w:rPr>
        <w:t xml:space="preserve"> – the recipient of real property by intestate succession</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terms apply to the transfer of personal property by intestate succession</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Freehold Estates</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Fee Simple [Absolute] (FSA) (often shortened to </w:t>
      </w:r>
      <w:r>
        <w:rPr>
          <w:rFonts w:ascii="Times New Roman" w:eastAsia="Times New Roman" w:hAnsi="Times New Roman" w:cs="Times New Roman"/>
          <w:i/>
          <w:sz w:val="20"/>
          <w:szCs w:val="20"/>
        </w:rPr>
        <w:t>Fee Simple</w:t>
      </w:r>
      <w:r>
        <w:rPr>
          <w:rFonts w:ascii="Times New Roman" w:eastAsia="Times New Roman" w:hAnsi="Times New Roman" w:cs="Times New Roman"/>
          <w:sz w:val="20"/>
          <w:szCs w:val="20"/>
        </w:rPr>
        <w:t>) – embodies the larg</w:t>
      </w:r>
      <w:r>
        <w:rPr>
          <w:rFonts w:ascii="Times New Roman" w:eastAsia="Times New Roman" w:hAnsi="Times New Roman" w:cs="Times New Roman"/>
          <w:sz w:val="20"/>
          <w:szCs w:val="20"/>
        </w:rPr>
        <w:t xml:space="preserve">est group of private property rights recognized by our legal system (over 99% of the land in the US is held in this estate); the holder has </w:t>
      </w:r>
      <w:r>
        <w:rPr>
          <w:rFonts w:ascii="Times New Roman" w:eastAsia="Times New Roman" w:hAnsi="Times New Roman" w:cs="Times New Roman"/>
          <w:i/>
          <w:sz w:val="20"/>
          <w:szCs w:val="20"/>
        </w:rPr>
        <w:t>all</w:t>
      </w:r>
      <w:r>
        <w:rPr>
          <w:rFonts w:ascii="Times New Roman" w:eastAsia="Times New Roman" w:hAnsi="Times New Roman" w:cs="Times New Roman"/>
          <w:sz w:val="20"/>
          <w:szCs w:val="20"/>
        </w:rPr>
        <w:t xml:space="preserve"> of the rights in the bundle of sticks jerk</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Duration</w:t>
      </w:r>
      <w:r>
        <w:rPr>
          <w:rFonts w:ascii="Times New Roman" w:eastAsia="Times New Roman" w:hAnsi="Times New Roman" w:cs="Times New Roman"/>
          <w:sz w:val="20"/>
          <w:szCs w:val="20"/>
        </w:rPr>
        <w:t>: Potentially infinite, no future interest accompanies the FS</w:t>
      </w:r>
      <w:r>
        <w:rPr>
          <w:rFonts w:ascii="Times New Roman" w:eastAsia="Times New Roman" w:hAnsi="Times New Roman" w:cs="Times New Roman"/>
          <w:sz w:val="20"/>
          <w:szCs w:val="20"/>
        </w:rPr>
        <w:t>A</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Created</w:t>
      </w:r>
      <w:r>
        <w:rPr>
          <w:rFonts w:ascii="Times New Roman" w:eastAsia="Times New Roman" w:hAnsi="Times New Roman" w:cs="Times New Roman"/>
          <w:sz w:val="20"/>
          <w:szCs w:val="20"/>
        </w:rPr>
        <w:t>: Traditionally a person could only convey a fee simple if the words “and heirs” were included in the deed, otherwise a life estate was presumed, e.g. O conveying “to B and his heirs”; today almost all states presume that the grantor intends to convey a fe</w:t>
      </w:r>
      <w:r>
        <w:rPr>
          <w:rFonts w:ascii="Times New Roman" w:eastAsia="Times New Roman" w:hAnsi="Times New Roman" w:cs="Times New Roman"/>
          <w:sz w:val="20"/>
          <w:szCs w:val="20"/>
        </w:rPr>
        <w:t>e simple</w:t>
      </w:r>
      <w:r>
        <w:rPr>
          <w:rFonts w:ascii="Times New Roman" w:eastAsia="Times New Roman" w:hAnsi="Times New Roman" w:cs="Times New Roman"/>
          <w:i/>
          <w:sz w:val="20"/>
          <w:szCs w:val="20"/>
        </w:rPr>
        <w:t xml:space="preserve"> unless</w:t>
      </w:r>
      <w:r>
        <w:rPr>
          <w:rFonts w:ascii="Times New Roman" w:eastAsia="Times New Roman" w:hAnsi="Times New Roman" w:cs="Times New Roman"/>
          <w:sz w:val="20"/>
          <w:szCs w:val="20"/>
        </w:rPr>
        <w:t xml:space="preserve"> he uses </w:t>
      </w:r>
      <w:r>
        <w:rPr>
          <w:rFonts w:ascii="Times New Roman" w:eastAsia="Times New Roman" w:hAnsi="Times New Roman" w:cs="Times New Roman"/>
          <w:i/>
          <w:sz w:val="20"/>
          <w:szCs w:val="20"/>
        </w:rPr>
        <w:t>words of limitation</w:t>
      </w:r>
      <w:r>
        <w:rPr>
          <w:rFonts w:ascii="Times New Roman" w:eastAsia="Times New Roman" w:hAnsi="Times New Roman" w:cs="Times New Roman"/>
          <w:sz w:val="20"/>
          <w:szCs w:val="20"/>
        </w:rPr>
        <w:t xml:space="preserve"> that specifically convey a different estate, e.g. “to B” creates a fee simple in B</w:t>
      </w:r>
    </w:p>
    <w:p w:rsidR="00E46D95" w:rsidRDefault="006F495B">
      <w:pPr>
        <w:numPr>
          <w:ilvl w:val="3"/>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Words of limitation </w:t>
      </w:r>
      <w:r>
        <w:rPr>
          <w:rFonts w:ascii="Times New Roman" w:eastAsia="Times New Roman" w:hAnsi="Times New Roman" w:cs="Times New Roman"/>
          <w:sz w:val="20"/>
          <w:szCs w:val="20"/>
        </w:rPr>
        <w:t xml:space="preserve">– e.g. “and his heirs,” describe the estate being granted rather than </w:t>
      </w:r>
      <w:r>
        <w:rPr>
          <w:rFonts w:ascii="Times New Roman" w:eastAsia="Times New Roman" w:hAnsi="Times New Roman" w:cs="Times New Roman"/>
          <w:i/>
          <w:sz w:val="20"/>
          <w:szCs w:val="20"/>
        </w:rPr>
        <w:t>words of purchase</w:t>
      </w:r>
      <w:r>
        <w:rPr>
          <w:rFonts w:ascii="Times New Roman" w:eastAsia="Times New Roman" w:hAnsi="Times New Roman" w:cs="Times New Roman"/>
          <w:sz w:val="20"/>
          <w:szCs w:val="20"/>
        </w:rPr>
        <w:t xml:space="preserve"> that identify the gra</w:t>
      </w:r>
      <w:r>
        <w:rPr>
          <w:rFonts w:ascii="Times New Roman" w:eastAsia="Times New Roman" w:hAnsi="Times New Roman" w:cs="Times New Roman"/>
          <w:sz w:val="20"/>
          <w:szCs w:val="20"/>
        </w:rPr>
        <w:t xml:space="preserve">ntee, as such a conveyance with “and his heirs” conveys no interests to the grantees heirs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Freely </w:t>
      </w:r>
      <w:r>
        <w:rPr>
          <w:rFonts w:ascii="Times New Roman" w:eastAsia="Times New Roman" w:hAnsi="Times New Roman" w:cs="Times New Roman"/>
          <w:i/>
          <w:sz w:val="20"/>
          <w:szCs w:val="20"/>
        </w:rPr>
        <w:t>alienable</w:t>
      </w:r>
      <w:r>
        <w:rPr>
          <w:rFonts w:ascii="Times New Roman" w:eastAsia="Times New Roman" w:hAnsi="Times New Roman" w:cs="Times New Roman"/>
          <w:sz w:val="20"/>
          <w:szCs w:val="20"/>
        </w:rPr>
        <w:t xml:space="preserve"> (may be sold or given away during the owner’s lifetime), </w:t>
      </w:r>
      <w:r>
        <w:rPr>
          <w:rFonts w:ascii="Times New Roman" w:eastAsia="Times New Roman" w:hAnsi="Times New Roman" w:cs="Times New Roman"/>
          <w:i/>
          <w:sz w:val="20"/>
          <w:szCs w:val="20"/>
        </w:rPr>
        <w:t>devisable</w:t>
      </w:r>
      <w:r>
        <w:rPr>
          <w:rFonts w:ascii="Times New Roman" w:eastAsia="Times New Roman" w:hAnsi="Times New Roman" w:cs="Times New Roman"/>
          <w:sz w:val="20"/>
          <w:szCs w:val="20"/>
        </w:rPr>
        <w:t xml:space="preserve"> (it can be transferred by will at death), and </w:t>
      </w:r>
      <w:r>
        <w:rPr>
          <w:rFonts w:ascii="Times New Roman" w:eastAsia="Times New Roman" w:hAnsi="Times New Roman" w:cs="Times New Roman"/>
          <w:i/>
          <w:sz w:val="20"/>
          <w:szCs w:val="20"/>
        </w:rPr>
        <w:t>descendible</w:t>
      </w:r>
      <w:r>
        <w:rPr>
          <w:rFonts w:ascii="Times New Roman" w:eastAsia="Times New Roman" w:hAnsi="Times New Roman" w:cs="Times New Roman"/>
          <w:sz w:val="20"/>
          <w:szCs w:val="20"/>
        </w:rPr>
        <w:t xml:space="preserve"> (it can pass by the la</w:t>
      </w:r>
      <w:r>
        <w:rPr>
          <w:rFonts w:ascii="Times New Roman" w:eastAsia="Times New Roman" w:hAnsi="Times New Roman" w:cs="Times New Roman"/>
          <w:sz w:val="20"/>
          <w:szCs w:val="20"/>
        </w:rPr>
        <w:t>ws of intestate succession if the owner dies without a will)</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Cole v. Steinlauf</w:t>
      </w:r>
      <w:r>
        <w:rPr>
          <w:rFonts w:ascii="Times New Roman" w:eastAsia="Times New Roman" w:hAnsi="Times New Roman" w:cs="Times New Roman"/>
          <w:color w:val="FF0000"/>
          <w:sz w:val="20"/>
          <w:szCs w:val="20"/>
          <w:shd w:val="clear" w:color="auto" w:fill="FFF2CC"/>
        </w:rPr>
        <w:t xml:space="preserve"> (Supreme Court of Errors of Connecticut, 1957)</w:t>
      </w:r>
      <w:r>
        <w:rPr>
          <w:rFonts w:ascii="Times New Roman" w:eastAsia="Times New Roman" w:hAnsi="Times New Roman" w:cs="Times New Roman"/>
          <w:color w:val="FF0000"/>
          <w:sz w:val="20"/>
          <w:szCs w:val="20"/>
        </w:rPr>
        <w:t xml:space="preserv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Did not use exact phrase (words of limitation) “and her heirs”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Not fee simple (despite intention), creation of life estate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Rising to state SC, H: “Rule inconsistent with settled rule that the construction of a conveyance is to be determined by the intention expressed therein” (common law England, like PH, would have held as LE)</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Life Estate (LE) – preferred interest in medieval</w:t>
      </w:r>
      <w:r>
        <w:rPr>
          <w:rFonts w:ascii="Times New Roman" w:eastAsia="Times New Roman" w:hAnsi="Times New Roman" w:cs="Times New Roman"/>
          <w:sz w:val="20"/>
          <w:szCs w:val="20"/>
        </w:rPr>
        <w:t xml:space="preserve"> England so traditionally presumed that a grantor intended to convey a life estate (v. today most jurisdictions assume a FSA where any ambiguity in conveyance)</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Duration</w:t>
      </w:r>
      <w:r>
        <w:rPr>
          <w:rFonts w:ascii="Times New Roman" w:eastAsia="Times New Roman" w:hAnsi="Times New Roman" w:cs="Times New Roman"/>
          <w:sz w:val="20"/>
          <w:szCs w:val="20"/>
        </w:rPr>
        <w:t>: Measured by the lifetime of a particular person, when that person dies, the estate ter</w:t>
      </w:r>
      <w:r>
        <w:rPr>
          <w:rFonts w:ascii="Times New Roman" w:eastAsia="Times New Roman" w:hAnsi="Times New Roman" w:cs="Times New Roman"/>
          <w:sz w:val="20"/>
          <w:szCs w:val="20"/>
        </w:rPr>
        <w:t>minates; may be measured by the life of a person other than the grantee, e.g. O “to B for the life of C” (“life estate</w:t>
      </w:r>
      <w:r>
        <w:rPr>
          <w:rFonts w:ascii="Times New Roman" w:eastAsia="Times New Roman" w:hAnsi="Times New Roman" w:cs="Times New Roman"/>
          <w:i/>
          <w:sz w:val="20"/>
          <w:szCs w:val="20"/>
        </w:rPr>
        <w:t xml:space="preserve"> pur autre vie</w:t>
      </w:r>
      <w:r>
        <w:rPr>
          <w:rFonts w:ascii="Times New Roman" w:eastAsia="Times New Roman" w:hAnsi="Times New Roman" w:cs="Times New Roman"/>
          <w:sz w:val="20"/>
          <w:szCs w:val="20"/>
        </w:rPr>
        <w:t>” (“for the life of another”))</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Life estate</w:t>
      </w:r>
      <w:r>
        <w:rPr>
          <w:rFonts w:ascii="Times New Roman" w:eastAsia="Times New Roman" w:hAnsi="Times New Roman" w:cs="Times New Roman"/>
          <w:i/>
          <w:sz w:val="20"/>
          <w:szCs w:val="20"/>
        </w:rPr>
        <w:t xml:space="preserve"> pur autre vie </w:t>
      </w:r>
      <w:r>
        <w:rPr>
          <w:rFonts w:ascii="Times New Roman" w:eastAsia="Times New Roman" w:hAnsi="Times New Roman" w:cs="Times New Roman"/>
          <w:sz w:val="20"/>
          <w:szCs w:val="20"/>
        </w:rPr>
        <w:t>– usually created when the holder of a life estate conveys his inte</w:t>
      </w:r>
      <w:r>
        <w:rPr>
          <w:rFonts w:ascii="Times New Roman" w:eastAsia="Times New Roman" w:hAnsi="Times New Roman" w:cs="Times New Roman"/>
          <w:sz w:val="20"/>
          <w:szCs w:val="20"/>
        </w:rPr>
        <w:t xml:space="preserve">rest to someone else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Created</w:t>
      </w:r>
      <w:r>
        <w:rPr>
          <w:rFonts w:ascii="Times New Roman" w:eastAsia="Times New Roman" w:hAnsi="Times New Roman" w:cs="Times New Roman"/>
          <w:sz w:val="20"/>
          <w:szCs w:val="20"/>
        </w:rPr>
        <w:t>: By language that clearly indicates the intention of creating a life estate, e.g. “to B for life,” “until B dies” or “while B is alive” are commonly accepted as long as they demonstrate the grantor’s intent</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Future Interest(s)</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Commonly automatically creates a </w:t>
      </w:r>
      <w:r>
        <w:rPr>
          <w:rFonts w:ascii="Times New Roman" w:eastAsia="Times New Roman" w:hAnsi="Times New Roman" w:cs="Times New Roman"/>
          <w:i/>
          <w:sz w:val="20"/>
          <w:szCs w:val="20"/>
        </w:rPr>
        <w:t>reversion</w:t>
      </w:r>
      <w:r>
        <w:rPr>
          <w:rFonts w:ascii="Times New Roman" w:eastAsia="Times New Roman" w:hAnsi="Times New Roman" w:cs="Times New Roman"/>
          <w:sz w:val="20"/>
          <w:szCs w:val="20"/>
        </w:rPr>
        <w:t>, a future interest in the grantor, that becomes possessory upon the end of the grantee’s life estate</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May also create a </w:t>
      </w:r>
      <w:r>
        <w:rPr>
          <w:rFonts w:ascii="Times New Roman" w:eastAsia="Times New Roman" w:hAnsi="Times New Roman" w:cs="Times New Roman"/>
          <w:i/>
          <w:sz w:val="20"/>
          <w:szCs w:val="20"/>
        </w:rPr>
        <w:t>remainder</w:t>
      </w:r>
      <w:r>
        <w:rPr>
          <w:rFonts w:ascii="Times New Roman" w:eastAsia="Times New Roman" w:hAnsi="Times New Roman" w:cs="Times New Roman"/>
          <w:sz w:val="20"/>
          <w:szCs w:val="20"/>
        </w:rPr>
        <w:t xml:space="preserve"> – where the future interest is held by a third party, e.g. “to B for life, then to </w:t>
      </w:r>
      <w:r>
        <w:rPr>
          <w:rFonts w:ascii="Times New Roman" w:eastAsia="Times New Roman" w:hAnsi="Times New Roman" w:cs="Times New Roman"/>
          <w:sz w:val="20"/>
          <w:szCs w:val="20"/>
        </w:rPr>
        <w:t>C”</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Waste</w:t>
      </w:r>
      <w:r>
        <w:rPr>
          <w:rFonts w:ascii="Times New Roman" w:eastAsia="Times New Roman" w:hAnsi="Times New Roman" w:cs="Times New Roman"/>
          <w:sz w:val="20"/>
          <w:szCs w:val="20"/>
        </w:rPr>
        <w:t xml:space="preserve"> – this doctrine imposes a duty on the life tenant to use the property in a manner that does not significantly injure the rights of the future interest holders</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Life tenant</w:t>
      </w:r>
      <w:r>
        <w:rPr>
          <w:rFonts w:ascii="Times New Roman" w:eastAsia="Times New Roman" w:hAnsi="Times New Roman" w:cs="Times New Roman"/>
          <w:sz w:val="20"/>
          <w:szCs w:val="20"/>
        </w:rPr>
        <w:t xml:space="preserve"> – the holder of  a life estate</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Alienable but not devisable or descendible – </w:t>
      </w:r>
      <w:r>
        <w:rPr>
          <w:rFonts w:ascii="Times New Roman" w:eastAsia="Times New Roman" w:hAnsi="Times New Roman" w:cs="Times New Roman"/>
          <w:sz w:val="20"/>
          <w:szCs w:val="20"/>
        </w:rPr>
        <w:t>because the estate ends at the holder’s death, no interest is left to transfer</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grantee who holds a life estate</w:t>
      </w:r>
      <w:r>
        <w:rPr>
          <w:rFonts w:ascii="Times New Roman" w:eastAsia="Times New Roman" w:hAnsi="Times New Roman" w:cs="Times New Roman"/>
          <w:i/>
          <w:sz w:val="20"/>
          <w:szCs w:val="20"/>
        </w:rPr>
        <w:t xml:space="preserve"> pur autre vie</w:t>
      </w:r>
      <w:r>
        <w:rPr>
          <w:rFonts w:ascii="Times New Roman" w:eastAsia="Times New Roman" w:hAnsi="Times New Roman" w:cs="Times New Roman"/>
          <w:sz w:val="20"/>
          <w:szCs w:val="20"/>
        </w:rPr>
        <w:t xml:space="preserve"> can devise his estate or descend to his heirs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lastRenderedPageBreak/>
        <w:t>White v. Brown</w:t>
      </w:r>
      <w:r>
        <w:rPr>
          <w:rFonts w:ascii="Times New Roman" w:eastAsia="Times New Roman" w:hAnsi="Times New Roman" w:cs="Times New Roman"/>
          <w:color w:val="FF0000"/>
          <w:sz w:val="20"/>
          <w:szCs w:val="20"/>
          <w:shd w:val="clear" w:color="auto" w:fill="FFF2CC"/>
        </w:rPr>
        <w:t xml:space="preserve"> (Supreme Court of Tennessee, 1977)</w:t>
      </w:r>
      <w:r>
        <w:rPr>
          <w:rFonts w:ascii="Times New Roman" w:eastAsia="Times New Roman" w:hAnsi="Times New Roman" w:cs="Times New Roman"/>
          <w:color w:val="FF0000"/>
          <w:sz w:val="20"/>
          <w:szCs w:val="20"/>
        </w:rPr>
        <w:t xml:space="preserv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“Holographic will” – handwritten will (in own handwriting presumed substitute for lack of witness if known their handwriting), unlikely witnessed</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live in and not sold” (says not to be sold a few times – very clear)</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Passes estate to sister-in-law (close</w:t>
      </w:r>
      <w:r>
        <w:rPr>
          <w:rFonts w:ascii="Times New Roman" w:eastAsia="Times New Roman" w:hAnsi="Times New Roman" w:cs="Times New Roman"/>
          <w:color w:val="FF0000"/>
          <w:sz w:val="20"/>
          <w:szCs w:val="20"/>
        </w:rPr>
        <w:t xml:space="preserve"> relationship, lived together); didn’t want house sold because Chrysler Corp. purchasing much of the neighborhood’s property)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Fee simple or life estate? (Ms. White (sister-in-law) wants declared fee simple)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Defendants = natural heirs of the law (collat</w:t>
      </w:r>
      <w:r>
        <w:rPr>
          <w:rFonts w:ascii="Times New Roman" w:eastAsia="Times New Roman" w:hAnsi="Times New Roman" w:cs="Times New Roman"/>
          <w:color w:val="FF0000"/>
          <w:sz w:val="20"/>
          <w:szCs w:val="20"/>
        </w:rPr>
        <w:t xml:space="preserve">erals, i.e. nieces and nephews) – she conveyed them nothing </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They want life estate so that they receive the property rights after Ms. White (rather than Ms. White’s heirs, etc.) – natural heirs claiming reversion right (future interest in property)</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Inte</w:t>
      </w:r>
      <w:r>
        <w:rPr>
          <w:rFonts w:ascii="Times New Roman" w:eastAsia="Times New Roman" w:hAnsi="Times New Roman" w:cs="Times New Roman"/>
          <w:color w:val="FF0000"/>
          <w:sz w:val="20"/>
          <w:szCs w:val="20"/>
        </w:rPr>
        <w:t>nt is ambiguous (use statutory canons of construction, R) – declared a fee absolute and voids limitation on alienability of a fee simple (because against public policy – important that a fee simple; once determine a fee simple, strike limitation)</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If unc</w:t>
      </w:r>
      <w:r>
        <w:rPr>
          <w:rFonts w:ascii="Times New Roman" w:eastAsia="Times New Roman" w:hAnsi="Times New Roman" w:cs="Times New Roman"/>
          <w:color w:val="FF0000"/>
          <w:sz w:val="20"/>
          <w:szCs w:val="20"/>
        </w:rPr>
        <w:t>lear, (1) presumption against partial intestacy (i.e. nieces and nephews), (2) gives greater estate (i.e. fee simple)...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Knew how to create a fee simple but didn’t here;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Purpose: To provide for Ms. White and to keep from Chrysler, turns out can’t have both (H)</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Life estates bad idea for those being providing them (uneconomical; not marketable; too uncertain); could alternatively created a life estate in equity per </w:t>
      </w:r>
      <w:r>
        <w:rPr>
          <w:rFonts w:ascii="Times New Roman" w:eastAsia="Times New Roman" w:hAnsi="Times New Roman" w:cs="Times New Roman"/>
          <w:color w:val="FF0000"/>
          <w:sz w:val="20"/>
          <w:szCs w:val="20"/>
          <w:u w:val="single"/>
        </w:rPr>
        <w:t>a trust</w:t>
      </w:r>
      <w:r>
        <w:rPr>
          <w:rFonts w:ascii="Times New Roman" w:eastAsia="Times New Roman" w:hAnsi="Times New Roman" w:cs="Times New Roman"/>
          <w:color w:val="FF0000"/>
          <w:sz w:val="20"/>
          <w:szCs w:val="20"/>
        </w:rPr>
        <w:t xml:space="preserve"> (then can petition the trustee to do stuff, she’s the beneficiary)</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Three types of restraints [on alienability (pg. 328)]: (1) Disabling, (2) forfeiture, and (3) promissory</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“Devises” (for a will, death conveyance)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Term/condition creates a non-freehold</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Prob</w:t>
      </w:r>
      <w:r>
        <w:rPr>
          <w:rFonts w:ascii="Times New Roman" w:eastAsia="Times New Roman" w:hAnsi="Times New Roman" w:cs="Times New Roman"/>
          <w:color w:val="FF0000"/>
          <w:sz w:val="20"/>
          <w:szCs w:val="20"/>
        </w:rPr>
        <w:t xml:space="preserve">lem #4 on pg. 339 – creates a life estate, a remainder in a life estate, and then a reversion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Remainders and reversions are nonpossessory but going to become possessory (vested interest?)</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Woodrick v. Wood </w:t>
      </w:r>
      <w:r>
        <w:rPr>
          <w:rFonts w:ascii="Times New Roman" w:eastAsia="Times New Roman" w:hAnsi="Times New Roman" w:cs="Times New Roman"/>
          <w:color w:val="FF0000"/>
          <w:sz w:val="20"/>
          <w:szCs w:val="20"/>
          <w:shd w:val="clear" w:color="auto" w:fill="FFF2CC"/>
        </w:rPr>
        <w:t>(Court of Appeals of Ohio, 1994)</w:t>
      </w:r>
      <w:r>
        <w:rPr>
          <w:rFonts w:ascii="Times New Roman" w:eastAsia="Times New Roman" w:hAnsi="Times New Roman" w:cs="Times New Roman"/>
          <w:color w:val="FF0000"/>
          <w:sz w:val="20"/>
          <w:szCs w:val="20"/>
        </w:rPr>
        <w:t xml:space="preserv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Wife devised a</w:t>
      </w:r>
      <w:r>
        <w:rPr>
          <w:rFonts w:ascii="Times New Roman" w:eastAsia="Times New Roman" w:hAnsi="Times New Roman" w:cs="Times New Roman"/>
          <w:color w:val="FF0000"/>
          <w:sz w:val="20"/>
          <w:szCs w:val="20"/>
        </w:rPr>
        <w:t xml:space="preserve"> life estate and children future interest, “remainder in a fee simple” (split between two siblings)</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“Merger” to create a fee simple?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One of daughter’s claims riding of barn is “waste”; likely sentimentally attached to barn (“personhood”)</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Future interest holders always have COA of waste (she has vested remainder therefore has standing to make a waste claim)</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BUT type of waste involved here is “ameliorative waste”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Per common law – “anything which in any way altered the identity of lease</w:t>
      </w:r>
      <w:r>
        <w:rPr>
          <w:rFonts w:ascii="Times New Roman" w:eastAsia="Times New Roman" w:hAnsi="Times New Roman" w:cs="Times New Roman"/>
          <w:color w:val="FF0000"/>
          <w:sz w:val="20"/>
          <w:szCs w:val="20"/>
        </w:rPr>
        <w:t>d premises, regardless of whether the act happened to be beneficial or detrimental to the remainder interest”</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Per Ohio law (binding precedent, hasn’t adopted/followed common law rule) – life tenant has a right to make beneficial use of the property even th</w:t>
      </w:r>
      <w:r>
        <w:rPr>
          <w:rFonts w:ascii="Times New Roman" w:eastAsia="Times New Roman" w:hAnsi="Times New Roman" w:cs="Times New Roman"/>
          <w:color w:val="FF0000"/>
          <w:sz w:val="20"/>
          <w:szCs w:val="20"/>
        </w:rPr>
        <w:t>ough would be altering land to do so</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Types of waste: (1) Voluntary waste, (2) permissive waste (negligence in a way), (3) ameliorative waste (courts ultimately ignore claims (anti-development/”un-American”))</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Not waste (ok to tear down because increasing</w:t>
      </w:r>
      <w:r>
        <w:rPr>
          <w:rFonts w:ascii="Times New Roman" w:eastAsia="Times New Roman" w:hAnsi="Times New Roman" w:cs="Times New Roman"/>
          <w:color w:val="FF0000"/>
          <w:sz w:val="20"/>
          <w:szCs w:val="20"/>
        </w:rPr>
        <w:t xml:space="preserve"> property value, ameliorative) – remedy to provide $3,200 (strange per Blumm because she’s not really entitled to anything here as a future remainder)</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Tail (FT) – the most important estate for the landed aristocracy in medieval England; could keep land</w:t>
      </w:r>
      <w:r>
        <w:rPr>
          <w:rFonts w:ascii="Times New Roman" w:eastAsia="Times New Roman" w:hAnsi="Times New Roman" w:cs="Times New Roman"/>
          <w:sz w:val="20"/>
          <w:szCs w:val="20"/>
        </w:rPr>
        <w:t xml:space="preserve"> within the family for generations, safeguarding the wealth and prestige of his descendants, often moved </w:t>
      </w:r>
      <w:r>
        <w:rPr>
          <w:rFonts w:ascii="Times New Roman" w:eastAsia="Times New Roman" w:hAnsi="Times New Roman" w:cs="Times New Roman"/>
          <w:sz w:val="20"/>
          <w:szCs w:val="20"/>
        </w:rPr>
        <w:lastRenderedPageBreak/>
        <w:t>from eldest son to eldest son, continuing as long as the bloodline lasted; almost extinct in the US (abolished in England in 1925), may be created in f</w:t>
      </w:r>
      <w:r>
        <w:rPr>
          <w:rFonts w:ascii="Times New Roman" w:eastAsia="Times New Roman" w:hAnsi="Times New Roman" w:cs="Times New Roman"/>
          <w:sz w:val="20"/>
          <w:szCs w:val="20"/>
        </w:rPr>
        <w:t>our states – Delaware, Maine, Massachusetts, and Rhode Island and mostly theoretical in those states</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Duration</w:t>
      </w:r>
      <w:r>
        <w:rPr>
          <w:rFonts w:ascii="Times New Roman" w:eastAsia="Times New Roman" w:hAnsi="Times New Roman" w:cs="Times New Roman"/>
          <w:sz w:val="20"/>
          <w:szCs w:val="20"/>
        </w:rPr>
        <w:t>: Determined by the lives of the lineal descendants of a particular person</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Created</w:t>
      </w:r>
      <w:r>
        <w:rPr>
          <w:rFonts w:ascii="Times New Roman" w:eastAsia="Times New Roman" w:hAnsi="Times New Roman" w:cs="Times New Roman"/>
          <w:sz w:val="20"/>
          <w:szCs w:val="20"/>
        </w:rPr>
        <w:t>: E.g. “to B and the heirs of his body”</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Future Interest(s)</w:t>
      </w:r>
      <w:r>
        <w:rPr>
          <w:rFonts w:ascii="Times New Roman" w:eastAsia="Times New Roman" w:hAnsi="Times New Roman" w:cs="Times New Roman"/>
          <w:sz w:val="20"/>
          <w:szCs w:val="20"/>
        </w:rPr>
        <w:t>: Grant</w:t>
      </w:r>
      <w:r>
        <w:rPr>
          <w:rFonts w:ascii="Times New Roman" w:eastAsia="Times New Roman" w:hAnsi="Times New Roman" w:cs="Times New Roman"/>
          <w:sz w:val="20"/>
          <w:szCs w:val="20"/>
        </w:rPr>
        <w:t>or (or his assignee, devisee, or heir) retains a reversion in FSA which will become possessory if the grantee’s line of lineal descendants expires</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holder of a fee tail has only a limited right to transfer the estate – may only alienate his right to pos</w:t>
      </w:r>
      <w:r>
        <w:rPr>
          <w:rFonts w:ascii="Times New Roman" w:eastAsia="Times New Roman" w:hAnsi="Times New Roman" w:cs="Times New Roman"/>
          <w:sz w:val="20"/>
          <w:szCs w:val="20"/>
        </w:rPr>
        <w:t>session until grantee’s death and then regardless of who is in possession, the estate passes to grantee’s lineal heir; not devisable because it automatically passes to the lineal heir upon the holder’s death</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Defeasible – an estate that may conti</w:t>
      </w:r>
      <w:r>
        <w:rPr>
          <w:rFonts w:ascii="Times New Roman" w:eastAsia="Times New Roman" w:hAnsi="Times New Roman" w:cs="Times New Roman"/>
          <w:sz w:val="20"/>
          <w:szCs w:val="20"/>
        </w:rPr>
        <w:t xml:space="preserve">nue forever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may end upon the occurrence of some future event; three types: (also possible to create defeasible forms of other basic estates, e.g. a life estate determinable or a term of years subject to a condition subsequent); often used to make gifts </w:t>
      </w:r>
      <w:r>
        <w:rPr>
          <w:rFonts w:ascii="Times New Roman" w:eastAsia="Times New Roman" w:hAnsi="Times New Roman" w:cs="Times New Roman"/>
          <w:sz w:val="20"/>
          <w:szCs w:val="20"/>
        </w:rPr>
        <w:t>of land to public entities or charitable institutions</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 Simple Determinable (FSD) – a fee simple estate that automatically ends when a certain event or condition occurs, giving the right of possession to the transferor; in effect, the potentially infinit</w:t>
      </w:r>
      <w:r>
        <w:rPr>
          <w:rFonts w:ascii="Times New Roman" w:eastAsia="Times New Roman" w:hAnsi="Times New Roman" w:cs="Times New Roman"/>
          <w:sz w:val="20"/>
          <w:szCs w:val="20"/>
        </w:rPr>
        <w:t>e duration of the fee simple will be cut short if the event or condition happens</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Created</w:t>
      </w:r>
      <w:r>
        <w:rPr>
          <w:rFonts w:ascii="Times New Roman" w:eastAsia="Times New Roman" w:hAnsi="Times New Roman" w:cs="Times New Roman"/>
          <w:sz w:val="20"/>
          <w:szCs w:val="20"/>
        </w:rPr>
        <w:t>: Characterized by words (</w:t>
      </w:r>
      <w:r>
        <w:rPr>
          <w:rFonts w:ascii="Times New Roman" w:eastAsia="Times New Roman" w:hAnsi="Times New Roman" w:cs="Times New Roman"/>
          <w:i/>
          <w:sz w:val="20"/>
          <w:szCs w:val="20"/>
        </w:rPr>
        <w:t>words of limitation</w:t>
      </w:r>
      <w:r>
        <w:rPr>
          <w:rFonts w:ascii="Times New Roman" w:eastAsia="Times New Roman" w:hAnsi="Times New Roman" w:cs="Times New Roman"/>
          <w:sz w:val="20"/>
          <w:szCs w:val="20"/>
        </w:rPr>
        <w:t>) of duration, e.g. “so long as,” “while,” “until,” and “during”</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Future Interest(s)</w:t>
      </w:r>
      <w:r>
        <w:rPr>
          <w:rFonts w:ascii="Times New Roman" w:eastAsia="Times New Roman" w:hAnsi="Times New Roman" w:cs="Times New Roman"/>
          <w:sz w:val="20"/>
          <w:szCs w:val="20"/>
        </w:rPr>
        <w:t xml:space="preserve">: Always creates a </w:t>
      </w:r>
      <w:r>
        <w:rPr>
          <w:rFonts w:ascii="Times New Roman" w:eastAsia="Times New Roman" w:hAnsi="Times New Roman" w:cs="Times New Roman"/>
          <w:i/>
          <w:sz w:val="20"/>
          <w:szCs w:val="20"/>
        </w:rPr>
        <w:t>possibility of reverter</w:t>
      </w:r>
    </w:p>
    <w:p w:rsidR="00E46D95" w:rsidRDefault="006F495B">
      <w:pPr>
        <w:numPr>
          <w:ilvl w:val="4"/>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Possibility of reverter</w:t>
      </w:r>
      <w:r>
        <w:rPr>
          <w:rFonts w:ascii="Times New Roman" w:eastAsia="Times New Roman" w:hAnsi="Times New Roman" w:cs="Times New Roman"/>
          <w:sz w:val="20"/>
          <w:szCs w:val="20"/>
        </w:rPr>
        <w:t xml:space="preserve"> – only retained by the transferor (or his heirs), cannot be created in a transferee; automatically becomes possessory upon the happening of the stated condition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FSD: Freely alienable, devisable, and descendi</w:t>
      </w:r>
      <w:r>
        <w:rPr>
          <w:rFonts w:ascii="Times New Roman" w:eastAsia="Times New Roman" w:hAnsi="Times New Roman" w:cs="Times New Roman"/>
          <w:sz w:val="20"/>
          <w:szCs w:val="20"/>
        </w:rPr>
        <w:t xml:space="preserve">ble but the durational condition continues to apply to any transferee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Possibility of Reverter: Today freely alienable, devisable, and descendible in most jurisdictions (traditionally at common law was not devisable or assignable and could only be transfe</w:t>
      </w:r>
      <w:r>
        <w:rPr>
          <w:rFonts w:ascii="Times New Roman" w:eastAsia="Times New Roman" w:hAnsi="Times New Roman" w:cs="Times New Roman"/>
          <w:sz w:val="20"/>
          <w:szCs w:val="20"/>
        </w:rPr>
        <w:t>rred by intestate succession)</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Fee Simple Subject to a Condition Subsequent (FSSCS) – a fee simple estate created in a transferee that may be terminated at the </w:t>
      </w:r>
      <w:r>
        <w:rPr>
          <w:rFonts w:ascii="Times New Roman" w:eastAsia="Times New Roman" w:hAnsi="Times New Roman" w:cs="Times New Roman"/>
          <w:i/>
          <w:sz w:val="20"/>
          <w:szCs w:val="20"/>
        </w:rPr>
        <w:t>election</w:t>
      </w:r>
      <w:r>
        <w:rPr>
          <w:rFonts w:ascii="Times New Roman" w:eastAsia="Times New Roman" w:hAnsi="Times New Roman" w:cs="Times New Roman"/>
          <w:sz w:val="20"/>
          <w:szCs w:val="20"/>
        </w:rPr>
        <w:t xml:space="preserve"> of the transferor when a certain condition or event occurs; if that condition occurs, th</w:t>
      </w:r>
      <w:r>
        <w:rPr>
          <w:rFonts w:ascii="Times New Roman" w:eastAsia="Times New Roman" w:hAnsi="Times New Roman" w:cs="Times New Roman"/>
          <w:sz w:val="20"/>
          <w:szCs w:val="20"/>
        </w:rPr>
        <w:t>e estate does not end automatically, rather the transferor has the power to terminate the estate by taking action</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Created</w:t>
      </w:r>
      <w:r>
        <w:rPr>
          <w:rFonts w:ascii="Times New Roman" w:eastAsia="Times New Roman" w:hAnsi="Times New Roman" w:cs="Times New Roman"/>
          <w:sz w:val="20"/>
          <w:szCs w:val="20"/>
        </w:rPr>
        <w:t>: Characterized by words (</w:t>
      </w:r>
      <w:r>
        <w:rPr>
          <w:rFonts w:ascii="Times New Roman" w:eastAsia="Times New Roman" w:hAnsi="Times New Roman" w:cs="Times New Roman"/>
          <w:i/>
          <w:sz w:val="20"/>
          <w:szCs w:val="20"/>
        </w:rPr>
        <w:t>words of limitation</w:t>
      </w:r>
      <w:r>
        <w:rPr>
          <w:rFonts w:ascii="Times New Roman" w:eastAsia="Times New Roman" w:hAnsi="Times New Roman" w:cs="Times New Roman"/>
          <w:sz w:val="20"/>
          <w:szCs w:val="20"/>
        </w:rPr>
        <w:t>) of condition which expressly allow the estate to be divested upon a specified event, e.g</w:t>
      </w:r>
      <w:r>
        <w:rPr>
          <w:rFonts w:ascii="Times New Roman" w:eastAsia="Times New Roman" w:hAnsi="Times New Roman" w:cs="Times New Roman"/>
          <w:sz w:val="20"/>
          <w:szCs w:val="20"/>
        </w:rPr>
        <w:t>. “provided that,” “but if,” and “on condition that,” to avoid ambiguity, it is helpful to include a clause stating that “the transferor has the right to re-enter and reclaim the property”</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Future Interest(s)</w:t>
      </w:r>
      <w:r>
        <w:rPr>
          <w:rFonts w:ascii="Times New Roman" w:eastAsia="Times New Roman" w:hAnsi="Times New Roman" w:cs="Times New Roman"/>
          <w:sz w:val="20"/>
          <w:szCs w:val="20"/>
        </w:rPr>
        <w:t xml:space="preserve">: Also creates a </w:t>
      </w:r>
      <w:r>
        <w:rPr>
          <w:rFonts w:ascii="Times New Roman" w:eastAsia="Times New Roman" w:hAnsi="Times New Roman" w:cs="Times New Roman"/>
          <w:i/>
          <w:sz w:val="20"/>
          <w:szCs w:val="20"/>
        </w:rPr>
        <w:t>right of entry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power of termination</w:t>
      </w:r>
      <w:r>
        <w:rPr>
          <w:rFonts w:ascii="Times New Roman" w:eastAsia="Times New Roman" w:hAnsi="Times New Roman" w:cs="Times New Roman"/>
          <w:sz w:val="20"/>
          <w:szCs w:val="20"/>
        </w:rPr>
        <w:t xml:space="preserve">”) – can only be retained by the transferor (or his heirs), cannot be created in a transferee; when the condition occurs, the transferor can </w:t>
      </w:r>
      <w:r>
        <w:rPr>
          <w:rFonts w:ascii="Times New Roman" w:eastAsia="Times New Roman" w:hAnsi="Times New Roman" w:cs="Times New Roman"/>
          <w:i/>
          <w:sz w:val="20"/>
          <w:szCs w:val="20"/>
        </w:rPr>
        <w:t>elect</w:t>
      </w:r>
      <w:r>
        <w:rPr>
          <w:rFonts w:ascii="Times New Roman" w:eastAsia="Times New Roman" w:hAnsi="Times New Roman" w:cs="Times New Roman"/>
          <w:sz w:val="20"/>
          <w:szCs w:val="20"/>
        </w:rPr>
        <w:t xml:space="preserve"> to re-enter the property, divesting the transferee of possession </w:t>
      </w:r>
      <w:r>
        <w:rPr>
          <w:rFonts w:ascii="Times New Roman" w:eastAsia="Times New Roman" w:hAnsi="Times New Roman" w:cs="Times New Roman"/>
          <w:i/>
          <w:sz w:val="20"/>
          <w:szCs w:val="20"/>
        </w:rPr>
        <w:t>but not</w:t>
      </w:r>
      <w:r>
        <w:rPr>
          <w:rFonts w:ascii="Times New Roman" w:eastAsia="Times New Roman" w:hAnsi="Times New Roman" w:cs="Times New Roman"/>
          <w:sz w:val="20"/>
          <w:szCs w:val="20"/>
        </w:rPr>
        <w:t xml:space="preserve"> automatically te</w:t>
      </w:r>
      <w:r>
        <w:rPr>
          <w:rFonts w:ascii="Times New Roman" w:eastAsia="Times New Roman" w:hAnsi="Times New Roman" w:cs="Times New Roman"/>
          <w:sz w:val="20"/>
          <w:szCs w:val="20"/>
        </w:rPr>
        <w:t>rminated</w:t>
      </w:r>
    </w:p>
    <w:p w:rsidR="00E46D95" w:rsidRDefault="006F495B">
      <w:pPr>
        <w:numPr>
          <w:ilvl w:val="4"/>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Traditionally transferor would physically re-enter the land and retake possession through </w:t>
      </w:r>
      <w:r>
        <w:rPr>
          <w:rFonts w:ascii="Times New Roman" w:eastAsia="Times New Roman" w:hAnsi="Times New Roman" w:cs="Times New Roman"/>
          <w:i/>
          <w:sz w:val="20"/>
          <w:szCs w:val="20"/>
        </w:rPr>
        <w:t>self-help</w:t>
      </w:r>
      <w:r>
        <w:rPr>
          <w:rFonts w:ascii="Times New Roman" w:eastAsia="Times New Roman" w:hAnsi="Times New Roman" w:cs="Times New Roman"/>
          <w:sz w:val="20"/>
          <w:szCs w:val="20"/>
        </w:rPr>
        <w:t xml:space="preserve">; today many states allow the transferor to end the estate by giving notice to the transferee or by filing a quiet title action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FSSCS: Freely alien</w:t>
      </w:r>
      <w:r>
        <w:rPr>
          <w:rFonts w:ascii="Times New Roman" w:eastAsia="Times New Roman" w:hAnsi="Times New Roman" w:cs="Times New Roman"/>
          <w:sz w:val="20"/>
          <w:szCs w:val="20"/>
        </w:rPr>
        <w:t>able, devisable, and descendible, with transferee bound by the condition</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 of Re-Entry: Today freely alienable, devisable, and descendible in most jurisdictions (traditionally at common law could not be assigned or devised, could only be transferred th</w:t>
      </w:r>
      <w:r>
        <w:rPr>
          <w:rFonts w:ascii="Times New Roman" w:eastAsia="Times New Roman" w:hAnsi="Times New Roman" w:cs="Times New Roman"/>
          <w:sz w:val="20"/>
          <w:szCs w:val="20"/>
        </w:rPr>
        <w:t>rough intestate succession)</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Fee Simple Subject to an Executory Limitation (FSSEL) (also called a </w:t>
      </w:r>
      <w:r>
        <w:rPr>
          <w:rFonts w:ascii="Times New Roman" w:eastAsia="Times New Roman" w:hAnsi="Times New Roman" w:cs="Times New Roman"/>
          <w:i/>
          <w:sz w:val="20"/>
          <w:szCs w:val="20"/>
        </w:rPr>
        <w:t>fee simple on executory limitation</w:t>
      </w:r>
      <w:r>
        <w:rPr>
          <w:rFonts w:ascii="Times New Roman" w:eastAsia="Times New Roman" w:hAnsi="Times New Roman" w:cs="Times New Roman"/>
          <w:sz w:val="20"/>
          <w:szCs w:val="20"/>
        </w:rPr>
        <w:t>) – a defeasible fee simple estate created in a transferee that is followed by a future interest in another transferee; futur</w:t>
      </w:r>
      <w:r>
        <w:rPr>
          <w:rFonts w:ascii="Times New Roman" w:eastAsia="Times New Roman" w:hAnsi="Times New Roman" w:cs="Times New Roman"/>
          <w:sz w:val="20"/>
          <w:szCs w:val="20"/>
        </w:rPr>
        <w:t xml:space="preserve">e interest held by a </w:t>
      </w:r>
      <w:r>
        <w:rPr>
          <w:rFonts w:ascii="Times New Roman" w:eastAsia="Times New Roman" w:hAnsi="Times New Roman" w:cs="Times New Roman"/>
          <w:i/>
          <w:sz w:val="20"/>
          <w:szCs w:val="20"/>
        </w:rPr>
        <w:t xml:space="preserve">third party </w:t>
      </w:r>
      <w:r>
        <w:rPr>
          <w:rFonts w:ascii="Times New Roman" w:eastAsia="Times New Roman" w:hAnsi="Times New Roman" w:cs="Times New Roman"/>
          <w:sz w:val="20"/>
          <w:szCs w:val="20"/>
        </w:rPr>
        <w:t>(v. the transferor in FSD and FSSCS)</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lastRenderedPageBreak/>
        <w:t>Created</w:t>
      </w:r>
      <w:r>
        <w:rPr>
          <w:rFonts w:ascii="Times New Roman" w:eastAsia="Times New Roman" w:hAnsi="Times New Roman" w:cs="Times New Roman"/>
          <w:sz w:val="20"/>
          <w:szCs w:val="20"/>
        </w:rPr>
        <w:t>: By the same words of duration or condition that create the other two fee simple defeasible estates, e.g. “so long as,” “while,” “during,” “until,” “provided that,” “but if,” and</w:t>
      </w:r>
      <w:r>
        <w:rPr>
          <w:rFonts w:ascii="Times New Roman" w:eastAsia="Times New Roman" w:hAnsi="Times New Roman" w:cs="Times New Roman"/>
          <w:sz w:val="20"/>
          <w:szCs w:val="20"/>
        </w:rPr>
        <w:t xml:space="preserve"> “on condition that”; distinguishing characteristic that the future interest is held by a transferee, not the transferor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Future Interest(s)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Executory interest,</w:t>
      </w:r>
      <w:r>
        <w:rPr>
          <w:rFonts w:ascii="Times New Roman" w:eastAsia="Times New Roman" w:hAnsi="Times New Roman" w:cs="Times New Roman"/>
          <w:sz w:val="20"/>
          <w:szCs w:val="20"/>
        </w:rPr>
        <w:t xml:space="preserve"> held by a third party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FSSEL: Freely alienable, devisable, and descendible; any transferee is </w:t>
      </w:r>
      <w:r>
        <w:rPr>
          <w:rFonts w:ascii="Times New Roman" w:eastAsia="Times New Roman" w:hAnsi="Times New Roman" w:cs="Times New Roman"/>
          <w:sz w:val="20"/>
          <w:szCs w:val="20"/>
        </w:rPr>
        <w:t xml:space="preserve">also subject to that condition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Executory Interest: Freely alienable, devisable, and descendible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Mahrenholz v. County Board of School Trustees of Lawrence County </w:t>
      </w:r>
      <w:r>
        <w:rPr>
          <w:rFonts w:ascii="Times New Roman" w:eastAsia="Times New Roman" w:hAnsi="Times New Roman" w:cs="Times New Roman"/>
          <w:color w:val="FF0000"/>
          <w:sz w:val="20"/>
          <w:szCs w:val="20"/>
          <w:shd w:val="clear" w:color="auto" w:fill="FFF2CC"/>
        </w:rPr>
        <w:t>(Appellate Court of Illinois, 1981)</w:t>
      </w:r>
      <w:r>
        <w:rPr>
          <w:rFonts w:ascii="Times New Roman" w:eastAsia="Times New Roman" w:hAnsi="Times New Roman" w:cs="Times New Roman"/>
          <w:color w:val="FF0000"/>
          <w:sz w:val="20"/>
          <w:szCs w:val="20"/>
        </w:rPr>
        <w:t xml:space="preserv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Distinguishes between FSD and FSSCS (mostly doesn’t matter, just important that identify have a defeasible fee)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H → part of land to School Board, H → full to J, J → M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HH → M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Language: “This land to be used for school purpose only; otherwis</w:t>
      </w:r>
      <w:r>
        <w:rPr>
          <w:rFonts w:ascii="Times New Roman" w:eastAsia="Times New Roman" w:hAnsi="Times New Roman" w:cs="Times New Roman"/>
          <w:color w:val="FF0000"/>
          <w:sz w:val="20"/>
          <w:szCs w:val="20"/>
        </w:rPr>
        <w:t>e to revert to Grantors herein” (very ambiguous – don’t know “school purposes” (determined later in court) and “to otherwise revert” (what this case is about))</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School using now for storage (stop actively teaching there) – subsequently trial court and then </w:t>
      </w:r>
      <w:r>
        <w:rPr>
          <w:rFonts w:ascii="Times New Roman" w:eastAsia="Times New Roman" w:hAnsi="Times New Roman" w:cs="Times New Roman"/>
          <w:color w:val="FF0000"/>
          <w:sz w:val="20"/>
          <w:szCs w:val="20"/>
        </w:rPr>
        <w:t>appellate say was within “school purposes”</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HH conveys by quit claim to the property (</w:t>
      </w:r>
      <w:r>
        <w:rPr>
          <w:rFonts w:ascii="Times New Roman" w:eastAsia="Times New Roman" w:hAnsi="Times New Roman" w:cs="Times New Roman"/>
          <w:color w:val="FF0000"/>
          <w:sz w:val="20"/>
          <w:szCs w:val="20"/>
          <w:u w:val="single"/>
        </w:rPr>
        <w:t xml:space="preserve">creating by merger a fee simple absolute to the </w:t>
      </w:r>
      <w:r>
        <w:rPr>
          <w:rFonts w:ascii="Times New Roman" w:eastAsia="Times New Roman" w:hAnsi="Times New Roman" w:cs="Times New Roman"/>
          <w:color w:val="FF0000"/>
          <w:sz w:val="20"/>
          <w:szCs w:val="20"/>
          <w:u w:val="single"/>
        </w:rPr>
        <w:t>𝝅</w:t>
      </w:r>
      <w:r>
        <w:rPr>
          <w:rFonts w:ascii="Times New Roman" w:eastAsia="Times New Roman" w:hAnsi="Times New Roman" w:cs="Times New Roman"/>
          <w:color w:val="FF0000"/>
          <w:sz w:val="20"/>
          <w:szCs w:val="20"/>
          <w:u w:val="single"/>
        </w:rPr>
        <w:t>s</w:t>
      </w:r>
      <w:r>
        <w:rPr>
          <w:rFonts w:ascii="Times New Roman" w:eastAsia="Times New Roman" w:hAnsi="Times New Roman" w:cs="Times New Roman"/>
          <w:color w:val="FF0000"/>
          <w:sz w:val="20"/>
          <w:szCs w:val="20"/>
        </w:rPr>
        <w:t xml:space="preserve">); then HH releases interest to Δs –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can only release if current owner(?))</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State Statute: “Rights of reentry for con</w:t>
      </w:r>
      <w:r>
        <w:rPr>
          <w:rFonts w:ascii="Times New Roman" w:eastAsia="Times New Roman" w:hAnsi="Times New Roman" w:cs="Times New Roman"/>
          <w:color w:val="FF0000"/>
          <w:sz w:val="20"/>
          <w:szCs w:val="20"/>
        </w:rPr>
        <w:t>dition broken and possibilities of reverter are neither alienable nor devisable, they are inheritable” (meaning no inter vivos conveyances or conveyance(?) through will – must be intestate succession (how gets to HH))</w:t>
      </w:r>
    </w:p>
    <w:p w:rsidR="00E46D95" w:rsidRDefault="006F495B">
      <w:pPr>
        <w:numPr>
          <w:ilvl w:val="5"/>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Why statute? Likely that IL leg. had i</w:t>
      </w:r>
      <w:r>
        <w:rPr>
          <w:rFonts w:ascii="Times New Roman" w:eastAsia="Times New Roman" w:hAnsi="Times New Roman" w:cs="Times New Roman"/>
          <w:color w:val="FF0000"/>
          <w:sz w:val="20"/>
          <w:szCs w:val="20"/>
        </w:rPr>
        <w:t>ssue with defeasible fees and banned them (peculiar prop. law)</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FSD (possible reverter – automatic) or FSSCS (and right of reentry – not auto)?</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Charitable gifts [and family transactions] are often defeasible fees (dead hand control)</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FSD</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If FSD then AP SOL begins to run immediately (next case)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FSSCS</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If FSSCS then lapse of an extensive period of time between a breach and an election of forfeiture waives or otherwise extinguishes the condition (AP inapplicable) (next case)</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(specific): W</w:t>
      </w:r>
      <w:r>
        <w:rPr>
          <w:rFonts w:ascii="Times New Roman" w:eastAsia="Times New Roman" w:hAnsi="Times New Roman" w:cs="Times New Roman"/>
          <w:color w:val="FF0000"/>
          <w:sz w:val="20"/>
          <w:szCs w:val="20"/>
        </w:rPr>
        <w:t xml:space="preserve">hich of HH’s conveyances is proper?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Court does not decide whether condition happens (subsequently decided in trial)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Possibility of reverter (as FSD)</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Text/lang. of 1951 deed: “Only” = automatic, “revert” and nothing about right to enter/termin</w:t>
      </w:r>
      <w:r>
        <w:rPr>
          <w:rFonts w:ascii="Times New Roman" w:eastAsia="Times New Roman" w:hAnsi="Times New Roman" w:cs="Times New Roman"/>
          <w:color w:val="FF0000"/>
          <w:sz w:val="20"/>
          <w:szCs w:val="20"/>
        </w:rPr>
        <w:t>ate</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Constructural preference actually FSSCS because larger estate (court doesn’t decide this way – because constructural preference only applicable if ambiguous and says not(?) based on lang. ^) </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HH → School (immediately after to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s) – court likely would </w:t>
      </w:r>
      <w:r>
        <w:rPr>
          <w:rFonts w:ascii="Times New Roman" w:eastAsia="Times New Roman" w:hAnsi="Times New Roman" w:cs="Times New Roman"/>
          <w:color w:val="FF0000"/>
          <w:sz w:val="20"/>
          <w:szCs w:val="20"/>
        </w:rPr>
        <w:t xml:space="preserve">consider a conveyance v. release when HH →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and release can only go to one party and releases all of the rights</w:t>
      </w:r>
    </w:p>
    <w:p w:rsidR="00E46D95" w:rsidRDefault="006F495B">
      <w:pPr>
        <w:ind w:left="3600"/>
        <w:rPr>
          <w:rFonts w:ascii="Times New Roman" w:eastAsia="Times New Roman" w:hAnsi="Times New Roman" w:cs="Times New Roman"/>
          <w:color w:val="FF0000"/>
          <w:sz w:val="20"/>
          <w:szCs w:val="20"/>
        </w:rPr>
      </w:pPr>
      <w:r>
        <w:rPr>
          <w:rFonts w:ascii="Cardo" w:eastAsia="Cardo" w:hAnsi="Cardo" w:cs="Cardo"/>
          <w:color w:val="FF0000"/>
          <w:sz w:val="20"/>
          <w:szCs w:val="20"/>
        </w:rPr>
        <w:t>→ Statute applies to conveyance not releases</w:t>
      </w:r>
      <w:r>
        <w:rPr>
          <w:rFonts w:ascii="Cardo" w:eastAsia="Cardo" w:hAnsi="Cardo" w:cs="Cardo"/>
          <w:color w:val="FF0000"/>
          <w:sz w:val="20"/>
          <w:szCs w:val="20"/>
        </w:rPr>
        <w:br/>
        <w:t xml:space="preserve">→ Policy behind: Leg didn’t like, limited,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a release solves the problem by creating a fee si</w:t>
      </w:r>
      <w:r>
        <w:rPr>
          <w:rFonts w:ascii="Times New Roman" w:eastAsia="Times New Roman" w:hAnsi="Times New Roman" w:cs="Times New Roman"/>
          <w:color w:val="FF0000"/>
          <w:sz w:val="20"/>
          <w:szCs w:val="20"/>
        </w:rPr>
        <w:t>mple</w:t>
      </w:r>
    </w:p>
    <w:p w:rsidR="00E46D95" w:rsidRDefault="006F495B">
      <w:pPr>
        <w:ind w:left="3600"/>
        <w:rPr>
          <w:rFonts w:ascii="Times New Roman" w:eastAsia="Times New Roman" w:hAnsi="Times New Roman" w:cs="Times New Roman"/>
          <w:color w:val="FF0000"/>
          <w:sz w:val="20"/>
          <w:szCs w:val="20"/>
        </w:rPr>
      </w:pPr>
      <w:r>
        <w:rPr>
          <w:rFonts w:ascii="Cardo" w:eastAsia="Cardo" w:hAnsi="Cardo" w:cs="Cardo"/>
          <w:color w:val="FF0000"/>
          <w:sz w:val="20"/>
          <w:szCs w:val="20"/>
        </w:rPr>
        <w:t>→ Mostly just need to know if defeasible fee and forfeiture is result of not abiding by conditions put into defeasible fee (remedy for violation of a condition is a forfeiture) – policy consideration: Not received very well/unsettling</w:t>
      </w:r>
    </w:p>
    <w:p w:rsidR="00E46D95" w:rsidRDefault="006F495B">
      <w:pPr>
        <w:ind w:left="216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Only case wher</w:t>
      </w:r>
      <w:r>
        <w:rPr>
          <w:rFonts w:ascii="Cardo" w:eastAsia="Cardo" w:hAnsi="Cardo" w:cs="Cardo"/>
          <w:color w:val="FF0000"/>
          <w:sz w:val="20"/>
          <w:szCs w:val="20"/>
        </w:rPr>
        <w:t xml:space="preserve">e mattered = </w:t>
      </w:r>
      <w:r>
        <w:rPr>
          <w:rFonts w:ascii="Times New Roman" w:eastAsia="Times New Roman" w:hAnsi="Times New Roman" w:cs="Times New Roman"/>
          <w:i/>
          <w:color w:val="FF0000"/>
          <w:sz w:val="20"/>
          <w:szCs w:val="20"/>
        </w:rPr>
        <w:t>Mahrenholz</w:t>
      </w:r>
      <w:r>
        <w:rPr>
          <w:rFonts w:ascii="Times New Roman" w:eastAsia="Times New Roman" w:hAnsi="Times New Roman" w:cs="Times New Roman"/>
          <w:color w:val="FF0000"/>
          <w:sz w:val="20"/>
          <w:szCs w:val="20"/>
        </w:rPr>
        <w:t xml:space="preserve"> (usually doesn’t matter)</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 xml:space="preserve">Important in </w:t>
      </w:r>
      <w:r>
        <w:rPr>
          <w:rFonts w:ascii="Times New Roman" w:eastAsia="Times New Roman" w:hAnsi="Times New Roman" w:cs="Times New Roman"/>
          <w:i/>
          <w:color w:val="FF0000"/>
          <w:sz w:val="20"/>
          <w:szCs w:val="20"/>
        </w:rPr>
        <w:t>Mahrenholz</w:t>
      </w:r>
      <w:r>
        <w:rPr>
          <w:rFonts w:ascii="Times New Roman" w:eastAsia="Times New Roman" w:hAnsi="Times New Roman" w:cs="Times New Roman"/>
          <w:color w:val="FF0000"/>
          <w:sz w:val="20"/>
          <w:szCs w:val="20"/>
        </w:rPr>
        <w:t xml:space="preserve"> context because matters </w:t>
      </w:r>
      <w:r>
        <w:rPr>
          <w:rFonts w:ascii="Times New Roman" w:eastAsia="Times New Roman" w:hAnsi="Times New Roman" w:cs="Times New Roman"/>
          <w:i/>
          <w:color w:val="FF0000"/>
          <w:sz w:val="20"/>
          <w:szCs w:val="20"/>
        </w:rPr>
        <w:t>when</w:t>
      </w:r>
      <w:r>
        <w:rPr>
          <w:rFonts w:ascii="Times New Roman" w:eastAsia="Times New Roman" w:hAnsi="Times New Roman" w:cs="Times New Roman"/>
          <w:color w:val="FF0000"/>
          <w:sz w:val="20"/>
          <w:szCs w:val="20"/>
        </w:rPr>
        <w:t xml:space="preserve"> (distinction that one automatic and the other not; less forfeitable) </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350: Part c – “so long as” </w:t>
      </w:r>
      <w:r>
        <w:rPr>
          <w:rFonts w:ascii="Times New Roman" w:eastAsia="Times New Roman" w:hAnsi="Times New Roman" w:cs="Times New Roman"/>
          <w:i/>
          <w:color w:val="FF0000"/>
          <w:sz w:val="20"/>
          <w:szCs w:val="20"/>
        </w:rPr>
        <w:t xml:space="preserve">and </w:t>
      </w:r>
      <w:r>
        <w:rPr>
          <w:rFonts w:ascii="Times New Roman" w:eastAsia="Times New Roman" w:hAnsi="Times New Roman" w:cs="Times New Roman"/>
          <w:color w:val="FF0000"/>
          <w:sz w:val="20"/>
          <w:szCs w:val="20"/>
        </w:rPr>
        <w:t xml:space="preserve">“may reenter”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preference for FSSCS so likely to be FSSCS (but could also argue FSD), advice to X: V has right of reentry (if buy may be subject to forfeiture), suggest to buy right of entry from V (and if in IL, try to arrange for V to release like HH in </w:t>
      </w:r>
      <w:r>
        <w:rPr>
          <w:rFonts w:ascii="Times New Roman" w:eastAsia="Times New Roman" w:hAnsi="Times New Roman" w:cs="Times New Roman"/>
          <w:i/>
          <w:color w:val="FF0000"/>
          <w:sz w:val="20"/>
          <w:szCs w:val="20"/>
        </w:rPr>
        <w:t>Mahrenholz</w:t>
      </w:r>
      <w:r>
        <w:rPr>
          <w:rFonts w:ascii="Times New Roman" w:eastAsia="Times New Roman" w:hAnsi="Times New Roman" w:cs="Times New Roman"/>
          <w:color w:val="FF0000"/>
          <w:sz w:val="20"/>
          <w:szCs w:val="20"/>
        </w:rPr>
        <w:t>) an</w:t>
      </w:r>
      <w:r>
        <w:rPr>
          <w:rFonts w:ascii="Times New Roman" w:eastAsia="Times New Roman" w:hAnsi="Times New Roman" w:cs="Times New Roman"/>
          <w:color w:val="FF0000"/>
          <w:sz w:val="20"/>
          <w:szCs w:val="20"/>
        </w:rPr>
        <w:t>d perhaps arrange warranty to back out of deal because risky; (1) Creates FSD (PI) and possibility of reverter (FI); (2) Creates FSSCS (PI) and right of reentry (FI) (or subject to an Executory Interest (FSSEL because heirs)? Doesn’t matter which); (4) Cre</w:t>
      </w:r>
      <w:r>
        <w:rPr>
          <w:rFonts w:ascii="Times New Roman" w:eastAsia="Times New Roman" w:hAnsi="Times New Roman" w:cs="Times New Roman"/>
          <w:color w:val="FF0000"/>
          <w:sz w:val="20"/>
          <w:szCs w:val="20"/>
        </w:rPr>
        <w:t>ates FSSCS (PI) and right to reentry (FI); (5) Creates FSSEL (or FSSCS?) (PI) and executory interest (FI in Google)</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Metropolitan Park District v. Unknown Heirs of Rigney</w:t>
      </w:r>
      <w:r>
        <w:rPr>
          <w:rFonts w:ascii="Times New Roman" w:eastAsia="Times New Roman" w:hAnsi="Times New Roman" w:cs="Times New Roman"/>
          <w:color w:val="FF0000"/>
          <w:sz w:val="20"/>
          <w:szCs w:val="20"/>
          <w:shd w:val="clear" w:color="auto" w:fill="FFF2CC"/>
        </w:rPr>
        <w:t xml:space="preserve"> (Supreme Court of Washington, 1965)</w:t>
      </w:r>
      <w:r>
        <w:rPr>
          <w:rFonts w:ascii="Times New Roman" w:eastAsia="Times New Roman" w:hAnsi="Times New Roman" w:cs="Times New Roman"/>
          <w:color w:val="FF0000"/>
          <w:sz w:val="20"/>
          <w:szCs w:val="20"/>
        </w:rPr>
        <w:t xml:space="preserve"> –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About right of entry, clearer than </w:t>
      </w:r>
      <w:r>
        <w:rPr>
          <w:rFonts w:ascii="Times New Roman" w:eastAsia="Times New Roman" w:hAnsi="Times New Roman" w:cs="Times New Roman"/>
          <w:i/>
          <w:color w:val="FF0000"/>
          <w:sz w:val="20"/>
          <w:szCs w:val="20"/>
        </w:rPr>
        <w:t>Mahrenholz</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new issue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FSSCS because “shall” and “may” and “reentry” used and constructural preference</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be used for water conveyance purposes (but heirs not watching, someone wakes up and makes a claim many years later) – stopped being used in 1905 (formalize</w:t>
      </w:r>
      <w:r>
        <w:rPr>
          <w:rFonts w:ascii="Times New Roman" w:eastAsia="Times New Roman" w:hAnsi="Times New Roman" w:cs="Times New Roman"/>
          <w:color w:val="FF0000"/>
          <w:sz w:val="20"/>
          <w:szCs w:val="20"/>
        </w:rPr>
        <w:t xml:space="preserve">d for park purposes in 1951), now claim in 1965 </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Two things to become fee simple when right of reentry: (1) Condition and (2) to do something about it</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Is: (1) Whether the grantee of such an estate may acquire title by AP follow a breach of the condition su</w:t>
      </w:r>
      <w:r>
        <w:rPr>
          <w:rFonts w:ascii="Times New Roman" w:eastAsia="Times New Roman" w:hAnsi="Times New Roman" w:cs="Times New Roman"/>
          <w:color w:val="FF0000"/>
          <w:sz w:val="20"/>
          <w:szCs w:val="20"/>
        </w:rPr>
        <w:t xml:space="preserve">bsequent but prior to a claim of forfeiture?, if not, (2) whether the lapse of an extensive period of time between breach and an election of forfeiture waives or otherwise extinguishes the condition? </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H1: No, AP doesn’t work because (R1) only works against</w:t>
      </w:r>
      <w:r>
        <w:rPr>
          <w:rFonts w:ascii="Times New Roman" w:eastAsia="Times New Roman" w:hAnsi="Times New Roman" w:cs="Times New Roman"/>
          <w:color w:val="FF0000"/>
          <w:sz w:val="20"/>
          <w:szCs w:val="20"/>
        </w:rPr>
        <w:t xml:space="preserve"> possessory interest (not possessory in FSSCS until do something about it)</w:t>
      </w:r>
    </w:p>
    <w:p w:rsidR="00E46D95" w:rsidRDefault="006F495B">
      <w:pPr>
        <w:numPr>
          <w:ilvl w:val="3"/>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H2: Yes</w:t>
      </w:r>
    </w:p>
    <w:p w:rsidR="00E46D95" w:rsidRDefault="006F495B">
      <w:pPr>
        <w:numPr>
          <w:ilvl w:val="4"/>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R2: Equitable doctrine that must act on your rights before too long (not AP because future interests but effect the same, waited too long – don’t know how long would be, unc</w:t>
      </w:r>
      <w:r>
        <w:rPr>
          <w:rFonts w:ascii="Times New Roman" w:eastAsia="Times New Roman" w:hAnsi="Times New Roman" w:cs="Times New Roman"/>
          <w:color w:val="FF0000"/>
          <w:sz w:val="20"/>
          <w:szCs w:val="20"/>
        </w:rPr>
        <w:t>ertain because equitable and therefore up to the court to determine (judicial discretion))</w:t>
      </w:r>
    </w:p>
    <w:p w:rsidR="00E46D95" w:rsidRDefault="006F495B">
      <w:pPr>
        <w:ind w:left="4320"/>
        <w:rPr>
          <w:rFonts w:ascii="Times New Roman" w:eastAsia="Times New Roman" w:hAnsi="Times New Roman" w:cs="Times New Roman"/>
          <w:sz w:val="20"/>
          <w:szCs w:val="20"/>
        </w:rPr>
      </w:pPr>
      <w:r>
        <w:rPr>
          <w:rFonts w:ascii="Cardo" w:eastAsia="Cardo" w:hAnsi="Cardo" w:cs="Cardo"/>
          <w:color w:val="FF0000"/>
          <w:sz w:val="20"/>
          <w:szCs w:val="20"/>
        </w:rPr>
        <w:t xml:space="preserve">→Outcome would be different if possibility of reverter rather than right of reentry </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Future Interests</w:t>
      </w:r>
      <w:r>
        <w:rPr>
          <w:rFonts w:ascii="Times New Roman" w:eastAsia="Times New Roman" w:hAnsi="Times New Roman" w:cs="Times New Roman"/>
          <w:sz w:val="20"/>
          <w:szCs w:val="20"/>
        </w:rPr>
        <w:t xml:space="preserve"> – an existing, non-possessory property right that may become possessory in the future </w:t>
      </w:r>
      <w:r>
        <w:rPr>
          <w:noProof/>
        </w:rPr>
        <mc:AlternateContent>
          <mc:Choice Requires="wpg">
            <w:drawing>
              <wp:anchor distT="114300" distB="114300" distL="114300" distR="114300" simplePos="0" relativeHeight="251658240" behindDoc="1" locked="0" layoutInCell="1" hidden="0" allowOverlap="1">
                <wp:simplePos x="0" y="0"/>
                <wp:positionH relativeFrom="margin">
                  <wp:posOffset>63500</wp:posOffset>
                </wp:positionH>
                <wp:positionV relativeFrom="paragraph">
                  <wp:posOffset>66675</wp:posOffset>
                </wp:positionV>
                <wp:extent cx="6092759" cy="4454525"/>
                <wp:effectExtent l="0" t="0" r="0" b="0"/>
                <wp:wrapTopAndBottom distT="114300" distB="114300"/>
                <wp:docPr id="3" name="Group 3"/>
                <wp:cNvGraphicFramePr/>
                <a:graphic xmlns:a="http://schemas.openxmlformats.org/drawingml/2006/main">
                  <a:graphicData uri="http://schemas.microsoft.com/office/word/2010/wordprocessingGroup">
                    <wpg:wgp>
                      <wpg:cNvGrpSpPr/>
                      <wpg:grpSpPr>
                        <a:xfrm>
                          <a:off x="0" y="0"/>
                          <a:ext cx="6092759" cy="4454525"/>
                          <a:chOff x="400050" y="123825"/>
                          <a:chExt cx="6286350" cy="4591275"/>
                        </a:xfrm>
                      </wpg:grpSpPr>
                      <wps:wsp>
                        <wps:cNvPr id="1" name="Text Box 1"/>
                        <wps:cNvSpPr txBox="1"/>
                        <wps:spPr>
                          <a:xfrm>
                            <a:off x="400050" y="123825"/>
                            <a:ext cx="1238400" cy="257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20"/>
                                </w:rPr>
                                <w:t>Words of Limitation</w:t>
                              </w:r>
                            </w:p>
                          </w:txbxContent>
                        </wps:txbx>
                        <wps:bodyPr spcFirstLastPara="1" wrap="square" lIns="91425" tIns="91425" rIns="91425" bIns="91425" anchor="t" anchorCtr="0"/>
                      </wps:wsp>
                      <wps:wsp>
                        <wps:cNvPr id="2" name="Text Box 2"/>
                        <wps:cNvSpPr txBox="1"/>
                        <wps:spPr>
                          <a:xfrm>
                            <a:off x="419100" y="46695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and her heirs</w:t>
                              </w:r>
                            </w:p>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xml:space="preserve"> in fee simple</w:t>
                              </w:r>
                            </w:p>
                            <w:p w:rsidR="00E46D95" w:rsidRDefault="006F495B">
                              <w:pPr>
                                <w:spacing w:line="240" w:lineRule="auto"/>
                                <w:textDirection w:val="btLr"/>
                              </w:pPr>
                              <w:r>
                                <w:rPr>
                                  <w:rFonts w:ascii="Times New Roman" w:eastAsia="Times New Roman" w:hAnsi="Times New Roman" w:cs="Times New Roman"/>
                                  <w:sz w:val="16"/>
                                </w:rPr>
                                <w:t>To A</w:t>
                              </w:r>
                            </w:p>
                          </w:txbxContent>
                        </wps:txbx>
                        <wps:bodyPr spcFirstLastPara="1" wrap="square" lIns="91425" tIns="91425" rIns="91425" bIns="91425" anchor="ctr" anchorCtr="0"/>
                      </wps:wsp>
                      <wps:wsp>
                        <wps:cNvPr id="4" name="Text Box 4"/>
                        <wps:cNvSpPr txBox="1"/>
                        <wps:spPr>
                          <a:xfrm>
                            <a:off x="419100" y="1105575"/>
                            <a:ext cx="1143000" cy="6375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xml:space="preserve"> as long as </w:t>
                              </w:r>
                            </w:p>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while</w:t>
                              </w:r>
                            </w:p>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until</w:t>
                              </w:r>
                            </w:p>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during</w:t>
                              </w:r>
                            </w:p>
                          </w:txbxContent>
                        </wps:txbx>
                        <wps:bodyPr spcFirstLastPara="1" wrap="square" lIns="91425" tIns="91425" rIns="91425" bIns="91425" anchor="ctr" anchorCtr="0"/>
                      </wps:wsp>
                      <wps:wsp>
                        <wps:cNvPr id="5" name="Text Box 5"/>
                        <wps:cNvSpPr txBox="1"/>
                        <wps:spPr>
                          <a:xfrm>
                            <a:off x="419100" y="182910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w:t>
                              </w:r>
                              <w:r>
                                <w:rPr>
                                  <w:rFonts w:ascii="Times New Roman" w:eastAsia="Times New Roman" w:hAnsi="Times New Roman" w:cs="Times New Roman"/>
                                  <w:sz w:val="16"/>
                                </w:rPr>
                                <w:t xml:space="preserve"> </w:t>
                              </w:r>
                              <w:r>
                                <w:rPr>
                                  <w:rFonts w:ascii="Times New Roman" w:eastAsia="Times New Roman" w:hAnsi="Times New Roman" w:cs="Times New Roman"/>
                                  <w:i/>
                                  <w:sz w:val="16"/>
                                </w:rPr>
                                <w:t>provided that</w:t>
                              </w:r>
                            </w:p>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xml:space="preserve">, but if </w:t>
                              </w:r>
                            </w:p>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on condition that</w:t>
                              </w:r>
                            </w:p>
                          </w:txbxContent>
                        </wps:txbx>
                        <wps:bodyPr spcFirstLastPara="1" wrap="square" lIns="91425" tIns="91425" rIns="91425" bIns="91425" anchor="ctr" anchorCtr="0"/>
                      </wps:wsp>
                      <wps:wsp>
                        <wps:cNvPr id="6" name="Text Box 6"/>
                        <wps:cNvSpPr txBox="1"/>
                        <wps:spPr>
                          <a:xfrm>
                            <a:off x="419100" y="2467725"/>
                            <a:ext cx="1143000" cy="7422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xml:space="preserve"> as long as, while, until, during, provided that, but if, on condition that,... </w:t>
                              </w:r>
                              <w:r>
                                <w:rPr>
                                  <w:rFonts w:ascii="Times New Roman" w:eastAsia="Times New Roman" w:hAnsi="Times New Roman" w:cs="Times New Roman"/>
                                  <w:sz w:val="16"/>
                                </w:rPr>
                                <w:t>then to B</w:t>
                              </w:r>
                            </w:p>
                            <w:p w:rsidR="00E46D95" w:rsidRDefault="00E46D95">
                              <w:pPr>
                                <w:spacing w:line="240" w:lineRule="auto"/>
                                <w:textDirection w:val="btLr"/>
                              </w:pPr>
                            </w:p>
                          </w:txbxContent>
                        </wps:txbx>
                        <wps:bodyPr spcFirstLastPara="1" wrap="square" lIns="91425" tIns="91425" rIns="91425" bIns="91425" anchor="ctr" anchorCtr="0"/>
                      </wps:wsp>
                      <wps:wsp>
                        <wps:cNvPr id="7" name="Text Box 7"/>
                        <wps:cNvSpPr txBox="1"/>
                        <wps:spPr>
                          <a:xfrm>
                            <a:off x="419100" y="329595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and the heirs of her body</w:t>
                              </w:r>
                            </w:p>
                          </w:txbxContent>
                        </wps:txbx>
                        <wps:bodyPr spcFirstLastPara="1" wrap="square" lIns="91425" tIns="91425" rIns="91425" bIns="91425" anchor="ctr" anchorCtr="0"/>
                      </wps:wsp>
                      <wps:wsp>
                        <wps:cNvPr id="8" name="Text Box 8"/>
                        <wps:cNvSpPr txBox="1"/>
                        <wps:spPr>
                          <a:xfrm>
                            <a:off x="419100" y="3772275"/>
                            <a:ext cx="1143000" cy="4764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for life</w:t>
                              </w:r>
                            </w:p>
                            <w:p w:rsidR="00E46D95" w:rsidRDefault="006F495B">
                              <w:pPr>
                                <w:spacing w:line="240" w:lineRule="auto"/>
                                <w:textDirection w:val="btLr"/>
                              </w:pPr>
                              <w:r>
                                <w:rPr>
                                  <w:rFonts w:ascii="Times New Roman" w:eastAsia="Times New Roman" w:hAnsi="Times New Roman" w:cs="Times New Roman"/>
                                  <w:sz w:val="16"/>
                                </w:rPr>
                                <w:t>To A</w:t>
                              </w:r>
                              <w:r>
                                <w:rPr>
                                  <w:rFonts w:ascii="Times New Roman" w:eastAsia="Times New Roman" w:hAnsi="Times New Roman" w:cs="Times New Roman"/>
                                  <w:i/>
                                  <w:sz w:val="16"/>
                                </w:rPr>
                                <w:t xml:space="preserve"> until she dies</w:t>
                              </w:r>
                            </w:p>
                          </w:txbxContent>
                        </wps:txbx>
                        <wps:bodyPr spcFirstLastPara="1" wrap="square" lIns="91425" tIns="91425" rIns="91425" bIns="91425" anchor="ctr" anchorCtr="0"/>
                      </wps:wsp>
                      <wps:wsp>
                        <wps:cNvPr id="9" name="Text Box 9"/>
                        <wps:cNvSpPr txBox="1"/>
                        <wps:spPr>
                          <a:xfrm>
                            <a:off x="419100" y="432480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To A </w:t>
                              </w:r>
                              <w:r>
                                <w:rPr>
                                  <w:rFonts w:ascii="Times New Roman" w:eastAsia="Times New Roman" w:hAnsi="Times New Roman" w:cs="Times New Roman"/>
                                  <w:i/>
                                  <w:sz w:val="16"/>
                                </w:rPr>
                                <w:t>for 20 years</w:t>
                              </w:r>
                            </w:p>
                          </w:txbxContent>
                        </wps:txbx>
                        <wps:bodyPr spcFirstLastPara="1" wrap="square" lIns="91425" tIns="91425" rIns="91425" bIns="91425" anchor="ctr" anchorCtr="0"/>
                      </wps:wsp>
                      <wps:wsp>
                        <wps:cNvPr id="10" name="Text Box 10"/>
                        <wps:cNvSpPr txBox="1"/>
                        <wps:spPr>
                          <a:xfrm>
                            <a:off x="2000250" y="123825"/>
                            <a:ext cx="1238400" cy="257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20"/>
                                </w:rPr>
                                <w:t>Estates</w:t>
                              </w:r>
                            </w:p>
                          </w:txbxContent>
                        </wps:txbx>
                        <wps:bodyPr spcFirstLastPara="1" wrap="square" lIns="91425" tIns="91425" rIns="91425" bIns="91425" anchor="t" anchorCtr="0"/>
                      </wps:wsp>
                      <wps:wsp>
                        <wps:cNvPr id="11" name="Text Box 11"/>
                        <wps:cNvSpPr txBox="1"/>
                        <wps:spPr>
                          <a:xfrm>
                            <a:off x="2047950" y="46695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Simple</w:t>
                              </w:r>
                            </w:p>
                          </w:txbxContent>
                        </wps:txbx>
                        <wps:bodyPr spcFirstLastPara="1" wrap="square" lIns="91425" tIns="91425" rIns="91425" bIns="91425" anchor="ctr" anchorCtr="0"/>
                      </wps:wsp>
                      <wps:wsp>
                        <wps:cNvPr id="12" name="Text Box 12"/>
                        <wps:cNvSpPr txBox="1"/>
                        <wps:spPr>
                          <a:xfrm>
                            <a:off x="2047950" y="1105575"/>
                            <a:ext cx="1143000" cy="6375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Simple Determinable</w:t>
                              </w:r>
                            </w:p>
                          </w:txbxContent>
                        </wps:txbx>
                        <wps:bodyPr spcFirstLastPara="1" wrap="square" lIns="91425" tIns="91425" rIns="91425" bIns="91425" anchor="ctr" anchorCtr="0"/>
                      </wps:wsp>
                      <wps:wsp>
                        <wps:cNvPr id="13" name="Text Box 13"/>
                        <wps:cNvSpPr txBox="1"/>
                        <wps:spPr>
                          <a:xfrm>
                            <a:off x="2047950" y="182910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Simple Subject to a Condition Subsequent</w:t>
                              </w:r>
                            </w:p>
                          </w:txbxContent>
                        </wps:txbx>
                        <wps:bodyPr spcFirstLastPara="1" wrap="square" lIns="91425" tIns="91425" rIns="91425" bIns="91425" anchor="ctr" anchorCtr="0"/>
                      </wps:wsp>
                      <wps:wsp>
                        <wps:cNvPr id="14" name="Text Box 14"/>
                        <wps:cNvSpPr txBox="1"/>
                        <wps:spPr>
                          <a:xfrm>
                            <a:off x="2047950" y="2467725"/>
                            <a:ext cx="1143000" cy="7422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Simple Subject to an Executory Interest</w:t>
                              </w:r>
                            </w:p>
                          </w:txbxContent>
                        </wps:txbx>
                        <wps:bodyPr spcFirstLastPara="1" wrap="square" lIns="91425" tIns="91425" rIns="91425" bIns="91425" anchor="ctr" anchorCtr="0"/>
                      </wps:wsp>
                      <wps:wsp>
                        <wps:cNvPr id="15" name="Text Box 15"/>
                        <wps:cNvSpPr txBox="1"/>
                        <wps:spPr>
                          <a:xfrm>
                            <a:off x="2047950" y="329595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Tail</w:t>
                              </w:r>
                            </w:p>
                          </w:txbxContent>
                        </wps:txbx>
                        <wps:bodyPr spcFirstLastPara="1" wrap="square" lIns="91425" tIns="91425" rIns="91425" bIns="91425" anchor="ctr" anchorCtr="0"/>
                      </wps:wsp>
                      <wps:wsp>
                        <wps:cNvPr id="16" name="Text Box 16"/>
                        <wps:cNvSpPr txBox="1"/>
                        <wps:spPr>
                          <a:xfrm>
                            <a:off x="2047950" y="3772275"/>
                            <a:ext cx="1143000" cy="4521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Life Estate</w:t>
                              </w:r>
                            </w:p>
                          </w:txbxContent>
                        </wps:txbx>
                        <wps:bodyPr spcFirstLastPara="1" wrap="square" lIns="91425" tIns="91425" rIns="91425" bIns="91425" anchor="ctr" anchorCtr="0"/>
                      </wps:wsp>
                      <wps:wsp>
                        <wps:cNvPr id="17" name="Text Box 17"/>
                        <wps:cNvSpPr txBox="1"/>
                        <wps:spPr>
                          <a:xfrm>
                            <a:off x="2047950" y="432480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Term of Years</w:t>
                              </w:r>
                            </w:p>
                          </w:txbxContent>
                        </wps:txbx>
                        <wps:bodyPr spcFirstLastPara="1" wrap="square" lIns="91425" tIns="91425" rIns="91425" bIns="91425" anchor="ctr" anchorCtr="0"/>
                      </wps:wsp>
                      <wps:wsp>
                        <wps:cNvPr id="18" name="Text Box 18"/>
                        <wps:cNvSpPr txBox="1"/>
                        <wps:spPr>
                          <a:xfrm>
                            <a:off x="3371925" y="46695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Alienable</w:t>
                              </w:r>
                            </w:p>
                            <w:p w:rsidR="00E46D95" w:rsidRDefault="006F495B">
                              <w:pPr>
                                <w:spacing w:line="240" w:lineRule="auto"/>
                                <w:textDirection w:val="btLr"/>
                              </w:pPr>
                              <w:r>
                                <w:rPr>
                                  <w:rFonts w:ascii="Times New Roman" w:eastAsia="Times New Roman" w:hAnsi="Times New Roman" w:cs="Times New Roman"/>
                                  <w:sz w:val="16"/>
                                </w:rPr>
                                <w:t>Devisable</w:t>
                              </w:r>
                            </w:p>
                            <w:p w:rsidR="00E46D95" w:rsidRDefault="006F495B">
                              <w:pPr>
                                <w:spacing w:line="240" w:lineRule="auto"/>
                                <w:textDirection w:val="btLr"/>
                              </w:pPr>
                              <w:r>
                                <w:rPr>
                                  <w:rFonts w:ascii="Times New Roman" w:eastAsia="Times New Roman" w:hAnsi="Times New Roman" w:cs="Times New Roman"/>
                                  <w:sz w:val="16"/>
                                </w:rPr>
                                <w:t>Descendible</w:t>
                              </w:r>
                            </w:p>
                          </w:txbxContent>
                        </wps:txbx>
                        <wps:bodyPr spcFirstLastPara="1" wrap="square" lIns="91425" tIns="91425" rIns="91425" bIns="91425" anchor="ctr" anchorCtr="0"/>
                      </wps:wsp>
                      <wps:wsp>
                        <wps:cNvPr id="19" name="Text Box 19"/>
                        <wps:cNvSpPr txBox="1"/>
                        <wps:spPr>
                          <a:xfrm>
                            <a:off x="3371925" y="1105575"/>
                            <a:ext cx="1143000" cy="6375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Alienable</w:t>
                              </w:r>
                            </w:p>
                            <w:p w:rsidR="00E46D95" w:rsidRDefault="006F495B">
                              <w:pPr>
                                <w:spacing w:line="240" w:lineRule="auto"/>
                                <w:textDirection w:val="btLr"/>
                              </w:pPr>
                              <w:r>
                                <w:rPr>
                                  <w:rFonts w:ascii="Times New Roman" w:eastAsia="Times New Roman" w:hAnsi="Times New Roman" w:cs="Times New Roman"/>
                                  <w:sz w:val="16"/>
                                </w:rPr>
                                <w:t>Devisable</w:t>
                              </w:r>
                            </w:p>
                            <w:p w:rsidR="00E46D95" w:rsidRDefault="006F495B">
                              <w:pPr>
                                <w:spacing w:line="240" w:lineRule="auto"/>
                                <w:textDirection w:val="btLr"/>
                              </w:pPr>
                              <w:r>
                                <w:rPr>
                                  <w:rFonts w:ascii="Times New Roman" w:eastAsia="Times New Roman" w:hAnsi="Times New Roman" w:cs="Times New Roman"/>
                                  <w:sz w:val="16"/>
                                </w:rPr>
                                <w:t>Descendible</w:t>
                              </w:r>
                            </w:p>
                          </w:txbxContent>
                        </wps:txbx>
                        <wps:bodyPr spcFirstLastPara="1" wrap="square" lIns="91425" tIns="91425" rIns="91425" bIns="91425" anchor="ctr" anchorCtr="0"/>
                      </wps:wsp>
                      <wps:wsp>
                        <wps:cNvPr id="20" name="Text Box 20"/>
                        <wps:cNvSpPr txBox="1"/>
                        <wps:spPr>
                          <a:xfrm>
                            <a:off x="3371925" y="1829100"/>
                            <a:ext cx="11430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Alienable</w:t>
                              </w:r>
                            </w:p>
                            <w:p w:rsidR="00E46D95" w:rsidRDefault="006F495B">
                              <w:pPr>
                                <w:spacing w:line="240" w:lineRule="auto"/>
                                <w:textDirection w:val="btLr"/>
                              </w:pPr>
                              <w:r>
                                <w:rPr>
                                  <w:rFonts w:ascii="Times New Roman" w:eastAsia="Times New Roman" w:hAnsi="Times New Roman" w:cs="Times New Roman"/>
                                  <w:sz w:val="16"/>
                                </w:rPr>
                                <w:t>Devisable</w:t>
                              </w:r>
                            </w:p>
                            <w:p w:rsidR="00E46D95" w:rsidRDefault="006F495B">
                              <w:pPr>
                                <w:spacing w:line="240" w:lineRule="auto"/>
                                <w:textDirection w:val="btLr"/>
                              </w:pPr>
                              <w:r>
                                <w:rPr>
                                  <w:rFonts w:ascii="Times New Roman" w:eastAsia="Times New Roman" w:hAnsi="Times New Roman" w:cs="Times New Roman"/>
                                  <w:sz w:val="16"/>
                                </w:rPr>
                                <w:t>Descendible</w:t>
                              </w:r>
                            </w:p>
                          </w:txbxContent>
                        </wps:txbx>
                        <wps:bodyPr spcFirstLastPara="1" wrap="square" lIns="91425" tIns="91425" rIns="91425" bIns="91425" anchor="ctr" anchorCtr="0"/>
                      </wps:wsp>
                      <wps:wsp>
                        <wps:cNvPr id="21" name="Text Box 21"/>
                        <wps:cNvSpPr txBox="1"/>
                        <wps:spPr>
                          <a:xfrm>
                            <a:off x="3371925" y="2467725"/>
                            <a:ext cx="1143000" cy="7422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Alienable</w:t>
                              </w:r>
                            </w:p>
                            <w:p w:rsidR="00E46D95" w:rsidRDefault="006F495B">
                              <w:pPr>
                                <w:spacing w:line="240" w:lineRule="auto"/>
                                <w:textDirection w:val="btLr"/>
                              </w:pPr>
                              <w:r>
                                <w:rPr>
                                  <w:rFonts w:ascii="Times New Roman" w:eastAsia="Times New Roman" w:hAnsi="Times New Roman" w:cs="Times New Roman"/>
                                  <w:sz w:val="16"/>
                                </w:rPr>
                                <w:t>Devisable</w:t>
                              </w:r>
                            </w:p>
                            <w:p w:rsidR="00E46D95" w:rsidRDefault="006F495B">
                              <w:pPr>
                                <w:spacing w:line="240" w:lineRule="auto"/>
                                <w:textDirection w:val="btLr"/>
                              </w:pPr>
                              <w:r>
                                <w:rPr>
                                  <w:rFonts w:ascii="Times New Roman" w:eastAsia="Times New Roman" w:hAnsi="Times New Roman" w:cs="Times New Roman"/>
                                  <w:sz w:val="16"/>
                                </w:rPr>
                                <w:t>Descendible</w:t>
                              </w:r>
                            </w:p>
                          </w:txbxContent>
                        </wps:txbx>
                        <wps:bodyPr spcFirstLastPara="1" wrap="square" lIns="91425" tIns="91425" rIns="91425" bIns="91425" anchor="ctr" anchorCtr="0"/>
                      </wps:wsp>
                      <wps:wsp>
                        <wps:cNvPr id="22" name="Text Box 22"/>
                        <wps:cNvSpPr txBox="1"/>
                        <wps:spPr>
                          <a:xfrm>
                            <a:off x="3371925" y="329595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Alienable, descendible; </w:t>
                              </w:r>
                              <w:r>
                                <w:rPr>
                                  <w:rFonts w:ascii="Times New Roman" w:eastAsia="Times New Roman" w:hAnsi="Times New Roman" w:cs="Times New Roman"/>
                                  <w:i/>
                                  <w:sz w:val="16"/>
                                </w:rPr>
                                <w:t>not</w:t>
                              </w:r>
                              <w:r>
                                <w:rPr>
                                  <w:rFonts w:ascii="Times New Roman" w:eastAsia="Times New Roman" w:hAnsi="Times New Roman" w:cs="Times New Roman"/>
                                  <w:sz w:val="16"/>
                                </w:rPr>
                                <w:t xml:space="preserve"> devisable</w:t>
                              </w:r>
                            </w:p>
                          </w:txbxContent>
                        </wps:txbx>
                        <wps:bodyPr spcFirstLastPara="1" wrap="square" lIns="91425" tIns="91425" rIns="91425" bIns="91425" anchor="ctr" anchorCtr="0"/>
                      </wps:wsp>
                      <wps:wsp>
                        <wps:cNvPr id="23" name="Text Box 23"/>
                        <wps:cNvSpPr txBox="1"/>
                        <wps:spPr>
                          <a:xfrm>
                            <a:off x="3371925" y="3772275"/>
                            <a:ext cx="1143000" cy="4764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 xml:space="preserve">Alienable; </w:t>
                              </w:r>
                              <w:r>
                                <w:rPr>
                                  <w:rFonts w:ascii="Times New Roman" w:eastAsia="Times New Roman" w:hAnsi="Times New Roman" w:cs="Times New Roman"/>
                                  <w:i/>
                                  <w:sz w:val="16"/>
                                </w:rPr>
                                <w:t>not</w:t>
                              </w:r>
                              <w:r>
                                <w:rPr>
                                  <w:rFonts w:ascii="Times New Roman" w:eastAsia="Times New Roman" w:hAnsi="Times New Roman" w:cs="Times New Roman"/>
                                  <w:sz w:val="16"/>
                                </w:rPr>
                                <w:t xml:space="preserve"> devisable, </w:t>
                              </w:r>
                              <w:r>
                                <w:rPr>
                                  <w:rFonts w:ascii="Times New Roman" w:eastAsia="Times New Roman" w:hAnsi="Times New Roman" w:cs="Times New Roman"/>
                                  <w:i/>
                                  <w:sz w:val="16"/>
                                </w:rPr>
                                <w:t>not</w:t>
                              </w:r>
                              <w:r>
                                <w:rPr>
                                  <w:rFonts w:ascii="Times New Roman" w:eastAsia="Times New Roman" w:hAnsi="Times New Roman" w:cs="Times New Roman"/>
                                  <w:sz w:val="16"/>
                                </w:rPr>
                                <w:t xml:space="preserve"> </w:t>
                              </w:r>
                              <w:r>
                                <w:rPr>
                                  <w:rFonts w:ascii="Times New Roman" w:eastAsia="Times New Roman" w:hAnsi="Times New Roman" w:cs="Times New Roman"/>
                                  <w:i/>
                                  <w:sz w:val="16"/>
                                </w:rPr>
                                <w:t xml:space="preserve"> </w:t>
                              </w:r>
                              <w:r>
                                <w:rPr>
                                  <w:rFonts w:ascii="Times New Roman" w:eastAsia="Times New Roman" w:hAnsi="Times New Roman" w:cs="Times New Roman"/>
                                  <w:sz w:val="16"/>
                                </w:rPr>
                                <w:t>descendible</w:t>
                              </w:r>
                            </w:p>
                          </w:txbxContent>
                        </wps:txbx>
                        <wps:bodyPr spcFirstLastPara="1" wrap="square" lIns="91425" tIns="91425" rIns="91425" bIns="91425" anchor="ctr" anchorCtr="0"/>
                      </wps:wsp>
                      <wps:wsp>
                        <wps:cNvPr id="24" name="Text Box 24"/>
                        <wps:cNvSpPr txBox="1"/>
                        <wps:spPr>
                          <a:xfrm>
                            <a:off x="3371925" y="4324800"/>
                            <a:ext cx="11430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textDirection w:val="btLr"/>
                              </w:pPr>
                              <w:r>
                                <w:rPr>
                                  <w:rFonts w:ascii="Times New Roman" w:eastAsia="Times New Roman" w:hAnsi="Times New Roman" w:cs="Times New Roman"/>
                                  <w:sz w:val="16"/>
                                </w:rPr>
                                <w:t>Alienable, devisable, descendible</w:t>
                              </w:r>
                            </w:p>
                          </w:txbxContent>
                        </wps:txbx>
                        <wps:bodyPr spcFirstLastPara="1" wrap="square" lIns="91425" tIns="91425" rIns="91425" bIns="91425" anchor="ctr" anchorCtr="0"/>
                      </wps:wsp>
                      <wps:wsp>
                        <wps:cNvPr id="25" name="Text Box 25"/>
                        <wps:cNvSpPr txBox="1"/>
                        <wps:spPr>
                          <a:xfrm>
                            <a:off x="4695900" y="466950"/>
                            <a:ext cx="19905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Ambiguity is resolved in favor of a fee simple</w:t>
                              </w:r>
                            </w:p>
                          </w:txbxContent>
                        </wps:txbx>
                        <wps:bodyPr spcFirstLastPara="1" wrap="square" lIns="91425" tIns="91425" rIns="91425" bIns="91425" anchor="ctr" anchorCtr="0"/>
                      </wps:wsp>
                      <wps:wsp>
                        <wps:cNvPr id="26" name="Text Box 26"/>
                        <wps:cNvSpPr txBox="1"/>
                        <wps:spPr>
                          <a:xfrm>
                            <a:off x="4695900" y="1105575"/>
                            <a:ext cx="1990500" cy="6375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i/>
                                  <w:sz w:val="16"/>
                                </w:rPr>
                                <w:t xml:space="preserve">Not </w:t>
                              </w:r>
                              <w:r>
                                <w:rPr>
                                  <w:rFonts w:ascii="Times New Roman" w:eastAsia="Times New Roman" w:hAnsi="Times New Roman" w:cs="Times New Roman"/>
                                  <w:sz w:val="16"/>
                                </w:rPr>
                                <w:t>subject to waste</w:t>
                              </w:r>
                            </w:p>
                          </w:txbxContent>
                        </wps:txbx>
                        <wps:bodyPr spcFirstLastPara="1" wrap="square" lIns="91425" tIns="91425" rIns="91425" bIns="91425" anchor="ctr" anchorCtr="0"/>
                      </wps:wsp>
                      <wps:wsp>
                        <wps:cNvPr id="27" name="Text Box 27"/>
                        <wps:cNvSpPr txBox="1"/>
                        <wps:spPr>
                          <a:xfrm>
                            <a:off x="4695900" y="1829100"/>
                            <a:ext cx="1990500" cy="5526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 xml:space="preserve">When ambiguity exists, preferred over a FSD; </w:t>
                              </w:r>
                              <w:r>
                                <w:rPr>
                                  <w:rFonts w:ascii="Times New Roman" w:eastAsia="Times New Roman" w:hAnsi="Times New Roman" w:cs="Times New Roman"/>
                                  <w:i/>
                                  <w:sz w:val="16"/>
                                </w:rPr>
                                <w:t xml:space="preserve">not </w:t>
                              </w:r>
                              <w:r>
                                <w:rPr>
                                  <w:rFonts w:ascii="Times New Roman" w:eastAsia="Times New Roman" w:hAnsi="Times New Roman" w:cs="Times New Roman"/>
                                  <w:sz w:val="16"/>
                                </w:rPr>
                                <w:t xml:space="preserve">subject to waste </w:t>
                              </w:r>
                            </w:p>
                          </w:txbxContent>
                        </wps:txbx>
                        <wps:bodyPr spcFirstLastPara="1" wrap="square" lIns="91425" tIns="91425" rIns="91425" bIns="91425" anchor="ctr" anchorCtr="0"/>
                      </wps:wsp>
                      <wps:wsp>
                        <wps:cNvPr id="28" name="Text Box 28"/>
                        <wps:cNvSpPr txBox="1"/>
                        <wps:spPr>
                          <a:xfrm>
                            <a:off x="4695900" y="2467725"/>
                            <a:ext cx="1990500" cy="7422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 xml:space="preserve">Future interest in a third party follows the estate; </w:t>
                              </w:r>
                              <w:r>
                                <w:rPr>
                                  <w:rFonts w:ascii="Times New Roman" w:eastAsia="Times New Roman" w:hAnsi="Times New Roman" w:cs="Times New Roman"/>
                                  <w:i/>
                                  <w:sz w:val="16"/>
                                </w:rPr>
                                <w:t>not</w:t>
                              </w:r>
                              <w:r>
                                <w:rPr>
                                  <w:rFonts w:ascii="Times New Roman" w:eastAsia="Times New Roman" w:hAnsi="Times New Roman" w:cs="Times New Roman"/>
                                  <w:sz w:val="16"/>
                                </w:rPr>
                                <w:t xml:space="preserve"> subject to waste</w:t>
                              </w:r>
                            </w:p>
                          </w:txbxContent>
                        </wps:txbx>
                        <wps:bodyPr spcFirstLastPara="1" wrap="square" lIns="91425" tIns="91425" rIns="91425" bIns="91425" anchor="ctr" anchorCtr="0"/>
                      </wps:wsp>
                      <wps:wsp>
                        <wps:cNvPr id="29" name="Text Box 29"/>
                        <wps:cNvSpPr txBox="1"/>
                        <wps:spPr>
                          <a:xfrm>
                            <a:off x="4695900" y="3295950"/>
                            <a:ext cx="19905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May only alienate right to possession until death; descends only to lineal descendants</w:t>
                              </w:r>
                            </w:p>
                          </w:txbxContent>
                        </wps:txbx>
                        <wps:bodyPr spcFirstLastPara="1" wrap="square" lIns="91425" tIns="91425" rIns="91425" bIns="91425" anchor="ctr" anchorCtr="0"/>
                      </wps:wsp>
                      <wps:wsp>
                        <wps:cNvPr id="30" name="Text Box 30"/>
                        <wps:cNvSpPr txBox="1"/>
                        <wps:spPr>
                          <a:xfrm>
                            <a:off x="4695900" y="3772275"/>
                            <a:ext cx="1990500" cy="4521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 xml:space="preserve">Subject to waste; when conveyed to another becomes LE </w:t>
                              </w:r>
                              <w:r>
                                <w:rPr>
                                  <w:rFonts w:ascii="Times New Roman" w:eastAsia="Times New Roman" w:hAnsi="Times New Roman" w:cs="Times New Roman"/>
                                  <w:i/>
                                  <w:sz w:val="16"/>
                                </w:rPr>
                                <w:t>pur autre vie</w:t>
                              </w:r>
                            </w:p>
                          </w:txbxContent>
                        </wps:txbx>
                        <wps:bodyPr spcFirstLastPara="1" wrap="square" lIns="91425" tIns="91425" rIns="91425" bIns="91425" anchor="ctr" anchorCtr="0"/>
                      </wps:wsp>
                      <wps:wsp>
                        <wps:cNvPr id="31" name="Text Box 31"/>
                        <wps:cNvSpPr txBox="1"/>
                        <wps:spPr>
                          <a:xfrm>
                            <a:off x="4695900" y="4324800"/>
                            <a:ext cx="1990500" cy="390300"/>
                          </a:xfrm>
                          <a:prstGeom prst="rect">
                            <a:avLst/>
                          </a:prstGeom>
                          <a:solidFill>
                            <a:srgbClr val="CFE2F3"/>
                          </a:solidFill>
                          <a:ln w="9525" cap="flat" cmpd="sng">
                            <a:solidFill>
                              <a:srgbClr val="000000"/>
                            </a:solidFill>
                            <a:prstDash val="solid"/>
                            <a:round/>
                            <a:headEnd type="none" w="med" len="med"/>
                            <a:tailEnd type="none" w="med" len="med"/>
                          </a:ln>
                        </wps:spPr>
                        <wps:txbx>
                          <w:txbxContent>
                            <w:p w:rsidR="00E46D95" w:rsidRDefault="006F495B">
                              <w:pPr>
                                <w:spacing w:line="240" w:lineRule="auto"/>
                                <w:jc w:val="center"/>
                                <w:textDirection w:val="btLr"/>
                              </w:pPr>
                              <w:r>
                                <w:rPr>
                                  <w:rFonts w:ascii="Times New Roman" w:eastAsia="Times New Roman" w:hAnsi="Times New Roman" w:cs="Times New Roman"/>
                                  <w:sz w:val="16"/>
                                </w:rPr>
                                <w:t>Subject to waste</w:t>
                              </w:r>
                            </w:p>
                          </w:txbxContent>
                        </wps:txbx>
                        <wps:bodyPr spcFirstLastPara="1" wrap="square" lIns="91425" tIns="91425" rIns="91425" bIns="91425" anchor="ctr" anchorCtr="0"/>
                      </wps:wsp>
                      <wps:wsp>
                        <wps:cNvPr id="32" name="Straight Arrow Connector 32"/>
                        <wps:cNvCnPr/>
                        <wps:spPr>
                          <a:xfrm>
                            <a:off x="1561950" y="743250"/>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3" name="Straight Arrow Connector 33"/>
                        <wps:cNvCnPr/>
                        <wps:spPr>
                          <a:xfrm>
                            <a:off x="1561950" y="1429050"/>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4" name="Straight Arrow Connector 34"/>
                        <wps:cNvCnPr/>
                        <wps:spPr>
                          <a:xfrm>
                            <a:off x="1561950" y="2105400"/>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5" name="Straight Arrow Connector 35"/>
                        <wps:cNvCnPr/>
                        <wps:spPr>
                          <a:xfrm>
                            <a:off x="1561950" y="2838825"/>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6" name="Straight Arrow Connector 36"/>
                        <wps:cNvCnPr/>
                        <wps:spPr>
                          <a:xfrm>
                            <a:off x="1561950" y="3491100"/>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7" name="Straight Arrow Connector 37"/>
                        <wps:cNvCnPr/>
                        <wps:spPr>
                          <a:xfrm>
                            <a:off x="1561950" y="3967425"/>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8" name="Straight Arrow Connector 38"/>
                        <wps:cNvCnPr/>
                        <wps:spPr>
                          <a:xfrm>
                            <a:off x="1561950" y="4453350"/>
                            <a:ext cx="486000" cy="0"/>
                          </a:xfrm>
                          <a:prstGeom prst="straightConnector1">
                            <a:avLst/>
                          </a:prstGeom>
                          <a:noFill/>
                          <a:ln w="9525" cap="flat" cmpd="sng">
                            <a:solidFill>
                              <a:srgbClr val="000000"/>
                            </a:solidFill>
                            <a:prstDash val="solid"/>
                            <a:round/>
                            <a:headEnd type="none" w="lg" len="lg"/>
                            <a:tailEnd type="triangle" w="lg" len="lg"/>
                          </a:ln>
                        </wps:spPr>
                        <wps:bodyPr/>
                      </wps:wsp>
                      <wps:wsp>
                        <wps:cNvPr id="39" name="Text Box 39"/>
                        <wps:cNvSpPr txBox="1"/>
                        <wps:spPr>
                          <a:xfrm>
                            <a:off x="3324225" y="123825"/>
                            <a:ext cx="1238400" cy="257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20"/>
                                </w:rPr>
                                <w:t>Characteristics</w:t>
                              </w:r>
                            </w:p>
                          </w:txbxContent>
                        </wps:txbx>
                        <wps:bodyPr spcFirstLastPara="1" wrap="square" lIns="91425" tIns="91425" rIns="91425" bIns="91425" anchor="t" anchorCtr="0"/>
                      </wps:wsp>
                      <wps:wsp>
                        <wps:cNvPr id="40" name="Text Box 40"/>
                        <wps:cNvSpPr txBox="1"/>
                        <wps:spPr>
                          <a:xfrm>
                            <a:off x="5071950" y="123825"/>
                            <a:ext cx="1238400" cy="257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20"/>
                                </w:rPr>
                                <w:t>Special Rules</w:t>
                              </w:r>
                            </w:p>
                          </w:txbxContent>
                        </wps:txbx>
                        <wps:bodyPr spcFirstLastPara="1" wrap="square" lIns="91425" tIns="91425" rIns="91425" bIns="91425" anchor="t" anchorCtr="0"/>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63500</wp:posOffset>
                </wp:positionH>
                <wp:positionV relativeFrom="paragraph">
                  <wp:posOffset>66675</wp:posOffset>
                </wp:positionV>
                <wp:extent cx="6092759" cy="4454525"/>
                <wp:effectExtent b="0" l="0" r="0" t="0"/>
                <wp:wrapTopAndBottom distB="114300" distT="114300"/>
                <wp:docPr id="3"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6092759" cy="4454525"/>
                        </a:xfrm>
                        <a:prstGeom prst="rect"/>
                        <a:ln/>
                      </pic:spPr>
                    </pic:pic>
                  </a:graphicData>
                </a:graphic>
              </wp:anchor>
            </w:drawing>
          </mc:Fallback>
        </mc:AlternateConten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Interim (prior to becoming possessory)</w:t>
      </w:r>
      <w:r>
        <w:rPr>
          <w:rFonts w:ascii="Times New Roman" w:eastAsia="Times New Roman" w:hAnsi="Times New Roman" w:cs="Times New Roman"/>
          <w:sz w:val="20"/>
          <w:szCs w:val="20"/>
        </w:rPr>
        <w:t>: The future interest holder may sell his future interest, use it as security for a loan, prevent the present owner from committing waste, may also be entitled to payment if the property is taken by condemnation, and, upon his death, he may transfer his fu</w:t>
      </w:r>
      <w:r>
        <w:rPr>
          <w:rFonts w:ascii="Times New Roman" w:eastAsia="Times New Roman" w:hAnsi="Times New Roman" w:cs="Times New Roman"/>
          <w:sz w:val="20"/>
          <w:szCs w:val="20"/>
        </w:rPr>
        <w:t xml:space="preserve">ture by devise or by intestate succession; two groups of future interests according to the </w:t>
      </w:r>
      <w:r>
        <w:rPr>
          <w:rFonts w:ascii="Times New Roman" w:eastAsia="Times New Roman" w:hAnsi="Times New Roman" w:cs="Times New Roman"/>
          <w:i/>
          <w:sz w:val="20"/>
          <w:szCs w:val="20"/>
        </w:rPr>
        <w:t>identity</w:t>
      </w:r>
      <w:r>
        <w:rPr>
          <w:rFonts w:ascii="Times New Roman" w:eastAsia="Times New Roman" w:hAnsi="Times New Roman" w:cs="Times New Roman"/>
          <w:sz w:val="20"/>
          <w:szCs w:val="20"/>
        </w:rPr>
        <w:t xml:space="preserve"> of the hold:</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Future Interests Retained by the Transferor </w:t>
      </w:r>
      <w:r>
        <w:rPr>
          <w:rFonts w:ascii="Times New Roman" w:eastAsia="Times New Roman" w:hAnsi="Times New Roman" w:cs="Times New Roman"/>
          <w:sz w:val="20"/>
          <w:szCs w:val="20"/>
        </w:rPr>
        <w:t>– can be held only by the transferor, each arises when a transferor conveys an estate to a third pa</w:t>
      </w:r>
      <w:r>
        <w:rPr>
          <w:rFonts w:ascii="Times New Roman" w:eastAsia="Times New Roman" w:hAnsi="Times New Roman" w:cs="Times New Roman"/>
          <w:sz w:val="20"/>
          <w:szCs w:val="20"/>
        </w:rPr>
        <w:t xml:space="preserve">rty that is </w:t>
      </w:r>
      <w:r>
        <w:rPr>
          <w:rFonts w:ascii="Times New Roman" w:eastAsia="Times New Roman" w:hAnsi="Times New Roman" w:cs="Times New Roman"/>
          <w:i/>
          <w:sz w:val="20"/>
          <w:szCs w:val="20"/>
        </w:rPr>
        <w:t>smaller</w:t>
      </w:r>
      <w:r>
        <w:rPr>
          <w:rFonts w:ascii="Times New Roman" w:eastAsia="Times New Roman" w:hAnsi="Times New Roman" w:cs="Times New Roman"/>
          <w:sz w:val="20"/>
          <w:szCs w:val="20"/>
        </w:rPr>
        <w:t xml:space="preserve"> than the estate she holds</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Reversion</w:t>
      </w:r>
      <w:r>
        <w:rPr>
          <w:rFonts w:ascii="Times New Roman" w:eastAsia="Times New Roman" w:hAnsi="Times New Roman" w:cs="Times New Roman"/>
          <w:sz w:val="20"/>
          <w:szCs w:val="20"/>
        </w:rPr>
        <w:t xml:space="preserve"> – a transferor retains a reversion when she conveys a smaller vested estate than the one she has; the future interest remaining in the transferor when she grants a veste estate of lesser quantum/poten</w:t>
      </w:r>
      <w:r>
        <w:rPr>
          <w:rFonts w:ascii="Times New Roman" w:eastAsia="Times New Roman" w:hAnsi="Times New Roman" w:cs="Times New Roman"/>
          <w:sz w:val="20"/>
          <w:szCs w:val="20"/>
        </w:rPr>
        <w:t xml:space="preserve">tial duration than she began with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four basic possessory estates ordered by their potential duration, from highest to lowest: (1) Fee simple, (2) fee tail, (3) life estate, and (4) leasehold (term of years)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Freely alienable, devisable, and descendible</w:t>
      </w:r>
      <w:r>
        <w:rPr>
          <w:rFonts w:ascii="Times New Roman" w:eastAsia="Times New Roman" w:hAnsi="Times New Roman" w:cs="Times New Roman"/>
          <w:sz w:val="20"/>
          <w:szCs w:val="20"/>
        </w:rPr>
        <w:t xml:space="preserve">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Possibility of Reverter </w:t>
      </w:r>
      <w:r>
        <w:rPr>
          <w:rFonts w:ascii="Times New Roman" w:eastAsia="Times New Roman" w:hAnsi="Times New Roman" w:cs="Times New Roman"/>
          <w:sz w:val="20"/>
          <w:szCs w:val="20"/>
        </w:rPr>
        <w:t xml:space="preserve">– the future interest retained by the transferor who holds a FSA but conveys a FSD; since there is a possibility that the fee simple determinable </w:t>
      </w:r>
      <w:r>
        <w:rPr>
          <w:rFonts w:ascii="Times New Roman" w:eastAsia="Times New Roman" w:hAnsi="Times New Roman" w:cs="Times New Roman"/>
          <w:i/>
          <w:sz w:val="20"/>
          <w:szCs w:val="20"/>
        </w:rPr>
        <w:t>might</w:t>
      </w:r>
      <w:r>
        <w:rPr>
          <w:rFonts w:ascii="Times New Roman" w:eastAsia="Times New Roman" w:hAnsi="Times New Roman" w:cs="Times New Roman"/>
          <w:sz w:val="20"/>
          <w:szCs w:val="20"/>
        </w:rPr>
        <w:t xml:space="preserve"> end, this future interest gives the transferor the right to possession if that</w:t>
      </w:r>
      <w:r>
        <w:rPr>
          <w:rFonts w:ascii="Times New Roman" w:eastAsia="Times New Roman" w:hAnsi="Times New Roman" w:cs="Times New Roman"/>
          <w:sz w:val="20"/>
          <w:szCs w:val="20"/>
        </w:rPr>
        <w:t xml:space="preserve"> estate terminates – remember, if the condition comes about, the estate automatically ends and the transferor's possibility of reverter becomes possessory again in FSA</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Today freely alienable, devisable, and descendible (at common law could only be transfer</w:t>
      </w:r>
      <w:r>
        <w:rPr>
          <w:rFonts w:ascii="Times New Roman" w:eastAsia="Times New Roman" w:hAnsi="Times New Roman" w:cs="Times New Roman"/>
          <w:sz w:val="20"/>
          <w:szCs w:val="20"/>
        </w:rPr>
        <w:t>red by intestate succession)</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 of Entry</w:t>
      </w:r>
      <w:r>
        <w:rPr>
          <w:rFonts w:ascii="Times New Roman" w:eastAsia="Times New Roman" w:hAnsi="Times New Roman" w:cs="Times New Roman"/>
          <w:sz w:val="20"/>
          <w:szCs w:val="20"/>
        </w:rPr>
        <w:t xml:space="preserve"> – the future interest retained by the transferor who holds a FSA but conveys a FSSCS – remember, the right of entry does </w:t>
      </w:r>
      <w:r>
        <w:rPr>
          <w:rFonts w:ascii="Times New Roman" w:eastAsia="Times New Roman" w:hAnsi="Times New Roman" w:cs="Times New Roman"/>
          <w:i/>
          <w:sz w:val="20"/>
          <w:szCs w:val="20"/>
        </w:rPr>
        <w:t xml:space="preserve">not </w:t>
      </w:r>
      <w:r>
        <w:rPr>
          <w:rFonts w:ascii="Times New Roman" w:eastAsia="Times New Roman" w:hAnsi="Times New Roman" w:cs="Times New Roman"/>
          <w:sz w:val="20"/>
          <w:szCs w:val="20"/>
        </w:rPr>
        <w:t>become possessory until and unless the holder takes affirmative steps to regain possess</w:t>
      </w:r>
      <w:r>
        <w:rPr>
          <w:rFonts w:ascii="Times New Roman" w:eastAsia="Times New Roman" w:hAnsi="Times New Roman" w:cs="Times New Roman"/>
          <w:sz w:val="20"/>
          <w:szCs w:val="20"/>
        </w:rPr>
        <w:t>ion (e.g. re-enter, give formal notice, or bring legal action to terminate the FSSCS estate)</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Today freely alienable, devisable, and descendible (at common law could only be transferred by intestate succession)</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Future Interests Created in a Transferee</w:t>
      </w:r>
      <w:r>
        <w:rPr>
          <w:rFonts w:ascii="Times New Roman" w:eastAsia="Times New Roman" w:hAnsi="Times New Roman" w:cs="Times New Roman"/>
          <w:sz w:val="20"/>
          <w:szCs w:val="20"/>
        </w:rPr>
        <w:t xml:space="preserve"> – an important tool in </w:t>
      </w:r>
      <w:r>
        <w:rPr>
          <w:rFonts w:ascii="Times New Roman" w:eastAsia="Times New Roman" w:hAnsi="Times New Roman" w:cs="Times New Roman"/>
          <w:i/>
          <w:sz w:val="20"/>
          <w:szCs w:val="20"/>
        </w:rPr>
        <w:t>estate planning</w:t>
      </w:r>
      <w:r>
        <w:rPr>
          <w:rFonts w:ascii="Times New Roman" w:eastAsia="Times New Roman" w:hAnsi="Times New Roman" w:cs="Times New Roman"/>
          <w:sz w:val="20"/>
          <w:szCs w:val="20"/>
        </w:rPr>
        <w:t xml:space="preserve"> to provide for the owner’s family; a future interest in a transferee can only be a </w:t>
      </w:r>
      <w:r>
        <w:rPr>
          <w:rFonts w:ascii="Times New Roman" w:eastAsia="Times New Roman" w:hAnsi="Times New Roman" w:cs="Times New Roman"/>
          <w:i/>
          <w:sz w:val="20"/>
          <w:szCs w:val="20"/>
        </w:rPr>
        <w:t>remainder</w:t>
      </w:r>
      <w:r>
        <w:rPr>
          <w:rFonts w:ascii="Times New Roman" w:eastAsia="Times New Roman" w:hAnsi="Times New Roman" w:cs="Times New Roman"/>
          <w:sz w:val="20"/>
          <w:szCs w:val="20"/>
        </w:rPr>
        <w:t xml:space="preserve"> or an </w:t>
      </w:r>
      <w:r>
        <w:rPr>
          <w:rFonts w:ascii="Times New Roman" w:eastAsia="Times New Roman" w:hAnsi="Times New Roman" w:cs="Times New Roman"/>
          <w:i/>
          <w:sz w:val="20"/>
          <w:szCs w:val="20"/>
        </w:rPr>
        <w:t>executory interest</w:t>
      </w:r>
      <w:r>
        <w:rPr>
          <w:rFonts w:ascii="Times New Roman" w:eastAsia="Times New Roman" w:hAnsi="Times New Roman" w:cs="Times New Roman"/>
          <w:sz w:val="20"/>
          <w:szCs w:val="20"/>
        </w:rPr>
        <w:t>, rule: A future interest created in a transferee that is not a remainder, it is an executory inter</w:t>
      </w:r>
      <w:r>
        <w:rPr>
          <w:rFonts w:ascii="Times New Roman" w:eastAsia="Times New Roman" w:hAnsi="Times New Roman" w:cs="Times New Roman"/>
          <w:sz w:val="20"/>
          <w:szCs w:val="20"/>
        </w:rPr>
        <w:t>est</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Remainders</w:t>
      </w:r>
      <w:r>
        <w:rPr>
          <w:rFonts w:ascii="Times New Roman" w:eastAsia="Times New Roman" w:hAnsi="Times New Roman" w:cs="Times New Roman"/>
          <w:sz w:val="20"/>
          <w:szCs w:val="20"/>
        </w:rPr>
        <w:t xml:space="preserve"> – a future interest in a transferee that (1) is capable of becoming possessory immediately upon the expiration of the prior estate (possession not required, possibility of possession is enough)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(2) does not divest (cut short) any interes</w:t>
      </w:r>
      <w:r>
        <w:rPr>
          <w:rFonts w:ascii="Times New Roman" w:eastAsia="Times New Roman" w:hAnsi="Times New Roman" w:cs="Times New Roman"/>
          <w:sz w:val="20"/>
          <w:szCs w:val="20"/>
        </w:rPr>
        <w:t>t in a prior transferee (“waits patiently” for the preceding estate to expire before it becomes possessory); Follows (1) naturally (follows life estate) and (2) immediately from the preceding estate</w:t>
      </w:r>
    </w:p>
    <w:p w:rsidR="00E46D95" w:rsidRDefault="006F495B">
      <w:pPr>
        <w:numPr>
          <w:ilvl w:val="3"/>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Vested Remainders </w:t>
      </w:r>
    </w:p>
    <w:p w:rsidR="00E46D95" w:rsidRDefault="006F495B">
      <w:pPr>
        <w:numPr>
          <w:ilvl w:val="4"/>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Indefeasibly Vested Remainder </w:t>
      </w:r>
      <w:r>
        <w:rPr>
          <w:rFonts w:ascii="Times New Roman" w:eastAsia="Times New Roman" w:hAnsi="Times New Roman" w:cs="Times New Roman"/>
          <w:sz w:val="20"/>
          <w:szCs w:val="20"/>
        </w:rPr>
        <w:t>[e.g. in</w:t>
      </w:r>
      <w:r>
        <w:rPr>
          <w:rFonts w:ascii="Times New Roman" w:eastAsia="Times New Roman" w:hAnsi="Times New Roman" w:cs="Times New Roman"/>
          <w:sz w:val="20"/>
          <w:szCs w:val="20"/>
        </w:rPr>
        <w:t xml:space="preserve"> a fee simple absolute; </w:t>
      </w:r>
      <w:r>
        <w:rPr>
          <w:rFonts w:ascii="Times New Roman" w:eastAsia="Times New Roman" w:hAnsi="Times New Roman" w:cs="Times New Roman"/>
          <w:i/>
          <w:sz w:val="20"/>
          <w:szCs w:val="20"/>
        </w:rPr>
        <w:t>“vested remainder”</w:t>
      </w:r>
      <w:r>
        <w:rPr>
          <w:rFonts w:ascii="Times New Roman" w:eastAsia="Times New Roman" w:hAnsi="Times New Roman" w:cs="Times New Roman"/>
          <w:sz w:val="20"/>
          <w:szCs w:val="20"/>
        </w:rPr>
        <w:t xml:space="preserve">] – (1) it is created in an ascertainable person </w:t>
      </w:r>
      <w:r>
        <w:rPr>
          <w:rFonts w:ascii="Times New Roman" w:eastAsia="Times New Roman" w:hAnsi="Times New Roman" w:cs="Times New Roman"/>
          <w:i/>
          <w:sz w:val="20"/>
          <w:szCs w:val="20"/>
        </w:rPr>
        <w:t xml:space="preserve">and </w:t>
      </w:r>
      <w:r>
        <w:rPr>
          <w:rFonts w:ascii="Times New Roman" w:eastAsia="Times New Roman" w:hAnsi="Times New Roman" w:cs="Times New Roman"/>
          <w:sz w:val="20"/>
          <w:szCs w:val="20"/>
        </w:rPr>
        <w:t xml:space="preserve">(2) it is not subject to a condition precedent other than the natural termination of the prior estate </w:t>
      </w:r>
    </w:p>
    <w:p w:rsidR="00E46D95" w:rsidRDefault="006F495B">
      <w:pPr>
        <w:numPr>
          <w:ilvl w:val="5"/>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Ascertainable person </w:t>
      </w:r>
      <w:r>
        <w:rPr>
          <w:rFonts w:ascii="Times New Roman" w:eastAsia="Times New Roman" w:hAnsi="Times New Roman" w:cs="Times New Roman"/>
          <w:sz w:val="20"/>
          <w:szCs w:val="20"/>
        </w:rPr>
        <w:t>– a person who is both alive and iden</w:t>
      </w:r>
      <w:r>
        <w:rPr>
          <w:rFonts w:ascii="Times New Roman" w:eastAsia="Times New Roman" w:hAnsi="Times New Roman" w:cs="Times New Roman"/>
          <w:sz w:val="20"/>
          <w:szCs w:val="20"/>
        </w:rPr>
        <w:t xml:space="preserve">tifiable at the time of the transfer (e.g. an unborn child is </w:t>
      </w:r>
      <w:r>
        <w:rPr>
          <w:rFonts w:ascii="Times New Roman" w:eastAsia="Times New Roman" w:hAnsi="Times New Roman" w:cs="Times New Roman"/>
          <w:i/>
          <w:sz w:val="20"/>
          <w:szCs w:val="20"/>
        </w:rPr>
        <w:t xml:space="preserve">not </w:t>
      </w:r>
      <w:r>
        <w:rPr>
          <w:rFonts w:ascii="Times New Roman" w:eastAsia="Times New Roman" w:hAnsi="Times New Roman" w:cs="Times New Roman"/>
          <w:sz w:val="20"/>
          <w:szCs w:val="20"/>
        </w:rPr>
        <w:t xml:space="preserve">ascertainable, a person’s heirs are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ascertained until his death)</w:t>
      </w:r>
    </w:p>
    <w:p w:rsidR="00E46D95" w:rsidRDefault="006F495B">
      <w:pPr>
        <w:numPr>
          <w:ilvl w:val="5"/>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 condition precedent</w:t>
      </w:r>
      <w:r>
        <w:rPr>
          <w:rFonts w:ascii="Times New Roman" w:eastAsia="Times New Roman" w:hAnsi="Times New Roman" w:cs="Times New Roman"/>
          <w:sz w:val="20"/>
          <w:szCs w:val="20"/>
        </w:rPr>
        <w:t xml:space="preserve"> – a condition that must be met before the remainder can become possessory, other than the natural </w:t>
      </w:r>
      <w:r>
        <w:rPr>
          <w:rFonts w:ascii="Times New Roman" w:eastAsia="Times New Roman" w:hAnsi="Times New Roman" w:cs="Times New Roman"/>
          <w:sz w:val="20"/>
          <w:szCs w:val="20"/>
        </w:rPr>
        <w:t xml:space="preserve">termination of the prior estate </w:t>
      </w:r>
    </w:p>
    <w:p w:rsidR="00E46D95" w:rsidRDefault="006F495B">
      <w:pPr>
        <w:numPr>
          <w:ilvl w:val="4"/>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Vested Remainder Subject to Divestment</w:t>
      </w:r>
      <w:r>
        <w:rPr>
          <w:rFonts w:ascii="Times New Roman" w:eastAsia="Times New Roman" w:hAnsi="Times New Roman" w:cs="Times New Roman"/>
          <w:sz w:val="20"/>
          <w:szCs w:val="20"/>
        </w:rPr>
        <w:t xml:space="preserve"> – a remainder that is vested but is subject to a </w:t>
      </w:r>
      <w:r>
        <w:rPr>
          <w:rFonts w:ascii="Times New Roman" w:eastAsia="Times New Roman" w:hAnsi="Times New Roman" w:cs="Times New Roman"/>
          <w:i/>
          <w:sz w:val="20"/>
          <w:szCs w:val="20"/>
        </w:rPr>
        <w:t xml:space="preserve">condition subsequent; </w:t>
      </w:r>
      <w:r>
        <w:rPr>
          <w:rFonts w:ascii="Times New Roman" w:eastAsia="Times New Roman" w:hAnsi="Times New Roman" w:cs="Times New Roman"/>
          <w:sz w:val="20"/>
          <w:szCs w:val="20"/>
        </w:rPr>
        <w:t xml:space="preserve">future interest is ready to become possessory unless a specified event occurs, in which case the future interest </w:t>
      </w:r>
      <w:r>
        <w:rPr>
          <w:rFonts w:ascii="Times New Roman" w:eastAsia="Times New Roman" w:hAnsi="Times New Roman" w:cs="Times New Roman"/>
          <w:sz w:val="20"/>
          <w:szCs w:val="20"/>
        </w:rPr>
        <w:t xml:space="preserve">will terminate or be </w:t>
      </w:r>
      <w:r>
        <w:rPr>
          <w:rFonts w:ascii="Times New Roman" w:eastAsia="Times New Roman" w:hAnsi="Times New Roman" w:cs="Times New Roman"/>
          <w:i/>
          <w:sz w:val="20"/>
          <w:szCs w:val="20"/>
        </w:rPr>
        <w:t>divested</w:t>
      </w:r>
      <w:r>
        <w:rPr>
          <w:rFonts w:ascii="Times New Roman" w:eastAsia="Times New Roman" w:hAnsi="Times New Roman" w:cs="Times New Roman"/>
          <w:sz w:val="20"/>
          <w:szCs w:val="20"/>
        </w:rPr>
        <w:t xml:space="preserve"> </w:t>
      </w:r>
    </w:p>
    <w:p w:rsidR="00E46D95" w:rsidRDefault="006F495B">
      <w:pPr>
        <w:numPr>
          <w:ilvl w:val="4"/>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Vested Remainder Subject to Open</w:t>
      </w:r>
      <w:r>
        <w:rPr>
          <w:rFonts w:ascii="Times New Roman" w:eastAsia="Times New Roman" w:hAnsi="Times New Roman" w:cs="Times New Roman"/>
          <w:sz w:val="20"/>
          <w:szCs w:val="20"/>
        </w:rPr>
        <w:t xml:space="preserve"> (also called </w:t>
      </w:r>
      <w:r>
        <w:rPr>
          <w:rFonts w:ascii="Times New Roman" w:eastAsia="Times New Roman" w:hAnsi="Times New Roman" w:cs="Times New Roman"/>
          <w:i/>
          <w:sz w:val="20"/>
          <w:szCs w:val="20"/>
        </w:rPr>
        <w:t>vested remainder subject to partial divestment</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a vested remainder held by one or more living members of a group or </w:t>
      </w:r>
      <w:r>
        <w:rPr>
          <w:rFonts w:ascii="Times New Roman" w:eastAsia="Times New Roman" w:hAnsi="Times New Roman" w:cs="Times New Roman"/>
          <w:i/>
          <w:sz w:val="20"/>
          <w:szCs w:val="20"/>
        </w:rPr>
        <w:t>class</w:t>
      </w:r>
      <w:r>
        <w:rPr>
          <w:rFonts w:ascii="Times New Roman" w:eastAsia="Times New Roman" w:hAnsi="Times New Roman" w:cs="Times New Roman"/>
          <w:sz w:val="20"/>
          <w:szCs w:val="20"/>
        </w:rPr>
        <w:t xml:space="preserve"> that may be enlarged in the future; the class may have the share the property with later joined members of the class (e.g. later-born children) who are presently not ascertainable so the size of their interests may become proportionately smaller in the fu</w:t>
      </w:r>
      <w:r>
        <w:rPr>
          <w:rFonts w:ascii="Times New Roman" w:eastAsia="Times New Roman" w:hAnsi="Times New Roman" w:cs="Times New Roman"/>
          <w:sz w:val="20"/>
          <w:szCs w:val="20"/>
        </w:rPr>
        <w:t>ture</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Contingent Remainder</w:t>
      </w:r>
      <w:r>
        <w:rPr>
          <w:rFonts w:ascii="Times New Roman" w:eastAsia="Times New Roman" w:hAnsi="Times New Roman" w:cs="Times New Roman"/>
          <w:sz w:val="20"/>
          <w:szCs w:val="20"/>
        </w:rPr>
        <w:t xml:space="preserve"> – a remainder that is not vested, therefore either (1) given to an unascertainable person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(2) subject to a condition precedent </w:t>
      </w:r>
    </w:p>
    <w:p w:rsidR="00E46D95" w:rsidRDefault="006F495B">
      <w:pPr>
        <w:numPr>
          <w:ilvl w:val="3"/>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Distinction between vested and contingent remainders, at common law, for three reasons:</w:t>
      </w:r>
    </w:p>
    <w:p w:rsidR="00E46D95" w:rsidRDefault="006F495B">
      <w:pPr>
        <w:numPr>
          <w:ilvl w:val="4"/>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Transfer</w:t>
      </w:r>
      <w:r>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 xml:space="preserve">at common law </w:t>
      </w:r>
      <w:r>
        <w:rPr>
          <w:rFonts w:ascii="Times New Roman" w:eastAsia="Times New Roman" w:hAnsi="Times New Roman" w:cs="Times New Roman"/>
          <w:sz w:val="20"/>
          <w:szCs w:val="20"/>
        </w:rPr>
        <w:t xml:space="preserve">vested remainders were freely transferable but contingent remainders could not be conveyed by deed or will (viewed as mere expectancies that may not become possessory); </w:t>
      </w:r>
      <w:r>
        <w:rPr>
          <w:rFonts w:ascii="Times New Roman" w:eastAsia="Times New Roman" w:hAnsi="Times New Roman" w:cs="Times New Roman"/>
          <w:i/>
          <w:sz w:val="20"/>
          <w:szCs w:val="20"/>
        </w:rPr>
        <w:t>now</w:t>
      </w:r>
      <w:r>
        <w:rPr>
          <w:rFonts w:ascii="Times New Roman" w:eastAsia="Times New Roman" w:hAnsi="Times New Roman" w:cs="Times New Roman"/>
          <w:sz w:val="20"/>
          <w:szCs w:val="20"/>
        </w:rPr>
        <w:t xml:space="preserve">, both remainders are freely alienable, devisable, and descendible in </w:t>
      </w:r>
      <w:r>
        <w:rPr>
          <w:rFonts w:ascii="Times New Roman" w:eastAsia="Times New Roman" w:hAnsi="Times New Roman" w:cs="Times New Roman"/>
          <w:sz w:val="20"/>
          <w:szCs w:val="20"/>
        </w:rPr>
        <w:t>all jurisdictions</w:t>
      </w:r>
    </w:p>
    <w:p w:rsidR="00E46D95" w:rsidRDefault="006F495B">
      <w:pPr>
        <w:numPr>
          <w:ilvl w:val="4"/>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Marketability restrictions</w:t>
      </w:r>
      <w:r>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at common law</w:t>
      </w:r>
      <w:r>
        <w:rPr>
          <w:rFonts w:ascii="Times New Roman" w:eastAsia="Times New Roman" w:hAnsi="Times New Roman" w:cs="Times New Roman"/>
          <w:sz w:val="20"/>
          <w:szCs w:val="20"/>
        </w:rPr>
        <w:t>, a number of restrictions designed to make land more marketable (e.g. the r</w:t>
      </w:r>
      <w:r>
        <w:rPr>
          <w:rFonts w:ascii="Times New Roman" w:eastAsia="Times New Roman" w:hAnsi="Times New Roman" w:cs="Times New Roman"/>
          <w:i/>
          <w:sz w:val="20"/>
          <w:szCs w:val="20"/>
        </w:rPr>
        <w:t xml:space="preserve">ule against perpetuities </w:t>
      </w:r>
      <w:r>
        <w:rPr>
          <w:rFonts w:ascii="Times New Roman" w:eastAsia="Times New Roman" w:hAnsi="Times New Roman" w:cs="Times New Roman"/>
          <w:sz w:val="20"/>
          <w:szCs w:val="20"/>
        </w:rPr>
        <w:t>(RAP)) only applied to contingent remainders</w:t>
      </w:r>
    </w:p>
    <w:p w:rsidR="00E46D95" w:rsidRDefault="006F495B">
      <w:pPr>
        <w:numPr>
          <w:ilvl w:val="4"/>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Presumption</w:t>
      </w:r>
      <w:r>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at common law</w:t>
      </w:r>
      <w:r>
        <w:rPr>
          <w:rFonts w:ascii="Times New Roman" w:eastAsia="Times New Roman" w:hAnsi="Times New Roman" w:cs="Times New Roman"/>
          <w:sz w:val="20"/>
          <w:szCs w:val="20"/>
        </w:rPr>
        <w:t>, if wording of a conveyance was ambiguous, judges presumed the grantor intended to a vested remainder thereby maximizing the marketability of the land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Executory Interest </w:t>
      </w:r>
      <w:r>
        <w:rPr>
          <w:rFonts w:ascii="Times New Roman" w:eastAsia="Times New Roman" w:hAnsi="Times New Roman" w:cs="Times New Roman"/>
          <w:sz w:val="20"/>
          <w:szCs w:val="20"/>
        </w:rPr>
        <w:t>– a future interest in a transferee that must divest another estate or interest t</w:t>
      </w:r>
      <w:r>
        <w:rPr>
          <w:rFonts w:ascii="Times New Roman" w:eastAsia="Times New Roman" w:hAnsi="Times New Roman" w:cs="Times New Roman"/>
          <w:sz w:val="20"/>
          <w:szCs w:val="20"/>
        </w:rPr>
        <w:t>o become possessory (exact opposite of a remainder); alienable, devisable, and descendible in all jurisdictions</w:t>
      </w:r>
    </w:p>
    <w:p w:rsidR="00E46D95" w:rsidRDefault="006F495B">
      <w:pPr>
        <w:numPr>
          <w:ilvl w:val="3"/>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Springing executory interest</w:t>
      </w:r>
      <w:r>
        <w:rPr>
          <w:rFonts w:ascii="Times New Roman" w:eastAsia="Times New Roman" w:hAnsi="Times New Roman" w:cs="Times New Roman"/>
          <w:sz w:val="20"/>
          <w:szCs w:val="20"/>
        </w:rPr>
        <w:t xml:space="preserve"> – executory interest following an interest in the transferor</w:t>
      </w:r>
    </w:p>
    <w:p w:rsidR="00E46D95" w:rsidRDefault="006F495B">
      <w:pPr>
        <w:numPr>
          <w:ilvl w:val="3"/>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Shifting executory interest</w:t>
      </w:r>
      <w:r>
        <w:rPr>
          <w:rFonts w:ascii="Times New Roman" w:eastAsia="Times New Roman" w:hAnsi="Times New Roman" w:cs="Times New Roman"/>
          <w:sz w:val="20"/>
          <w:szCs w:val="20"/>
        </w:rPr>
        <w:t xml:space="preserve"> – executory interest follo</w:t>
      </w:r>
      <w:r>
        <w:rPr>
          <w:rFonts w:ascii="Times New Roman" w:eastAsia="Times New Roman" w:hAnsi="Times New Roman" w:cs="Times New Roman"/>
          <w:sz w:val="20"/>
          <w:szCs w:val="20"/>
        </w:rPr>
        <w:t>wing an interest in the transferee</w:t>
      </w:r>
      <w:r>
        <w:rPr>
          <w:noProof/>
        </w:rPr>
        <mc:AlternateContent>
          <mc:Choice Requires="wpg">
            <w:drawing>
              <wp:anchor distT="114300" distB="114300" distL="114300" distR="114300" simplePos="0" relativeHeight="251659264" behindDoc="1" locked="0" layoutInCell="1" hidden="0" allowOverlap="1">
                <wp:simplePos x="0" y="0"/>
                <wp:positionH relativeFrom="margin">
                  <wp:posOffset>92075</wp:posOffset>
                </wp:positionH>
                <wp:positionV relativeFrom="paragraph">
                  <wp:posOffset>152400</wp:posOffset>
                </wp:positionV>
                <wp:extent cx="6296025" cy="4152900"/>
                <wp:effectExtent l="0" t="0" r="0" b="0"/>
                <wp:wrapSquare wrapText="bothSides" distT="114300" distB="114300" distL="114300" distR="114300"/>
                <wp:docPr id="41" name="Group 41"/>
                <wp:cNvGraphicFramePr/>
                <a:graphic xmlns:a="http://schemas.openxmlformats.org/drawingml/2006/main">
                  <a:graphicData uri="http://schemas.microsoft.com/office/word/2010/wordprocessingGroup">
                    <wpg:wgp>
                      <wpg:cNvGrpSpPr/>
                      <wpg:grpSpPr>
                        <a:xfrm>
                          <a:off x="0" y="0"/>
                          <a:ext cx="6296025" cy="4152900"/>
                          <a:chOff x="419100" y="247650"/>
                          <a:chExt cx="6277200" cy="4133929"/>
                        </a:xfrm>
                      </wpg:grpSpPr>
                      <wps:wsp>
                        <wps:cNvPr id="42" name="Text Box 42"/>
                        <wps:cNvSpPr txBox="1"/>
                        <wps:spPr>
                          <a:xfrm>
                            <a:off x="419100" y="723900"/>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Simple</w:t>
                              </w:r>
                            </w:p>
                          </w:txbxContent>
                        </wps:txbx>
                        <wps:bodyPr spcFirstLastPara="1" wrap="square" lIns="91425" tIns="91425" rIns="91425" bIns="91425" anchor="ctr" anchorCtr="0"/>
                      </wps:wsp>
                      <wps:wsp>
                        <wps:cNvPr id="43" name="Text Box 43"/>
                        <wps:cNvSpPr txBox="1"/>
                        <wps:spPr>
                          <a:xfrm>
                            <a:off x="1247821" y="1103352"/>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Absolute</w:t>
                              </w:r>
                            </w:p>
                          </w:txbxContent>
                        </wps:txbx>
                        <wps:bodyPr spcFirstLastPara="1" wrap="square" lIns="91425" tIns="91425" rIns="91425" bIns="91425" anchor="ctr" anchorCtr="0"/>
                      </wps:wsp>
                      <wps:wsp>
                        <wps:cNvPr id="44" name="Text Box 44"/>
                        <wps:cNvSpPr txBox="1"/>
                        <wps:spPr>
                          <a:xfrm>
                            <a:off x="1247821" y="1531317"/>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Defeasible</w:t>
                              </w:r>
                            </w:p>
                          </w:txbxContent>
                        </wps:txbx>
                        <wps:bodyPr spcFirstLastPara="1" wrap="square" lIns="91425" tIns="91425" rIns="91425" bIns="91425" anchor="ctr" anchorCtr="0"/>
                      </wps:wsp>
                      <wps:wsp>
                        <wps:cNvPr id="45" name="Text Box 45"/>
                        <wps:cNvSpPr txBox="1"/>
                        <wps:spPr>
                          <a:xfrm>
                            <a:off x="2076553" y="2766700"/>
                            <a:ext cx="1209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Subject to an Executory Limitation</w:t>
                              </w:r>
                            </w:p>
                          </w:txbxContent>
                        </wps:txbx>
                        <wps:bodyPr spcFirstLastPara="1" wrap="square" lIns="91425" tIns="91425" rIns="91425" bIns="91425" anchor="ctr" anchorCtr="0"/>
                      </wps:wsp>
                      <wps:wsp>
                        <wps:cNvPr id="46" name="Text Box 46"/>
                        <wps:cNvSpPr txBox="1"/>
                        <wps:spPr>
                          <a:xfrm>
                            <a:off x="2076553" y="1910750"/>
                            <a:ext cx="1209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Determinable</w:t>
                              </w:r>
                            </w:p>
                          </w:txbxContent>
                        </wps:txbx>
                        <wps:bodyPr spcFirstLastPara="1" wrap="square" lIns="91425" tIns="91425" rIns="91425" bIns="91425" anchor="ctr" anchorCtr="0"/>
                      </wps:wsp>
                      <wps:wsp>
                        <wps:cNvPr id="47" name="Text Box 47"/>
                        <wps:cNvSpPr txBox="1"/>
                        <wps:spPr>
                          <a:xfrm>
                            <a:off x="2076554" y="2338725"/>
                            <a:ext cx="1209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Subject to a Condition Subsequent</w:t>
                              </w:r>
                            </w:p>
                          </w:txbxContent>
                        </wps:txbx>
                        <wps:bodyPr spcFirstLastPara="1" wrap="square" lIns="91425" tIns="91425" rIns="91425" bIns="91425" anchor="ctr" anchorCtr="0"/>
                      </wps:wsp>
                      <wps:wsp>
                        <wps:cNvPr id="48" name="Text Box 48"/>
                        <wps:cNvSpPr txBox="1"/>
                        <wps:spPr>
                          <a:xfrm>
                            <a:off x="419100" y="4002079"/>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Term of Years</w:t>
                              </w:r>
                            </w:p>
                          </w:txbxContent>
                        </wps:txbx>
                        <wps:bodyPr spcFirstLastPara="1" wrap="square" lIns="91425" tIns="91425" rIns="91425" bIns="91425" anchor="ctr" anchorCtr="0"/>
                      </wps:wsp>
                      <wps:wsp>
                        <wps:cNvPr id="49" name="Text Box 49"/>
                        <wps:cNvSpPr txBox="1"/>
                        <wps:spPr>
                          <a:xfrm>
                            <a:off x="419100" y="3146139"/>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Fee Tail</w:t>
                              </w:r>
                            </w:p>
                          </w:txbxContent>
                        </wps:txbx>
                        <wps:bodyPr spcFirstLastPara="1" wrap="square" lIns="91425" tIns="91425" rIns="91425" bIns="91425" anchor="ctr" anchorCtr="0"/>
                      </wps:wsp>
                      <wps:wsp>
                        <wps:cNvPr id="50" name="Text Box 50"/>
                        <wps:cNvSpPr txBox="1"/>
                        <wps:spPr>
                          <a:xfrm>
                            <a:off x="419100" y="3574104"/>
                            <a:ext cx="828600" cy="379500"/>
                          </a:xfrm>
                          <a:prstGeom prst="rect">
                            <a:avLst/>
                          </a:prstGeom>
                          <a:solidFill>
                            <a:srgbClr val="F4CCCC"/>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Life Estate</w:t>
                              </w:r>
                            </w:p>
                          </w:txbxContent>
                        </wps:txbx>
                        <wps:bodyPr spcFirstLastPara="1" wrap="square" lIns="91425" tIns="91425" rIns="91425" bIns="91425" anchor="ctr" anchorCtr="0"/>
                      </wps:wsp>
                      <wps:wsp>
                        <wps:cNvPr id="51" name="Text Box 51"/>
                        <wps:cNvSpPr txBox="1"/>
                        <wps:spPr>
                          <a:xfrm>
                            <a:off x="4443451" y="2766700"/>
                            <a:ext cx="9669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Executory Interest</w:t>
                              </w:r>
                            </w:p>
                          </w:txbxContent>
                        </wps:txbx>
                        <wps:bodyPr spcFirstLastPara="1" wrap="square" lIns="91425" tIns="91425" rIns="91425" bIns="91425" anchor="ctr" anchorCtr="0"/>
                      </wps:wsp>
                      <wps:wsp>
                        <wps:cNvPr id="52" name="Text Box 52"/>
                        <wps:cNvSpPr txBox="1"/>
                        <wps:spPr>
                          <a:xfrm>
                            <a:off x="3548093" y="1910758"/>
                            <a:ext cx="8286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Possibility of Reverter</w:t>
                              </w:r>
                            </w:p>
                          </w:txbxContent>
                        </wps:txbx>
                        <wps:bodyPr spcFirstLastPara="1" wrap="square" lIns="91425" tIns="91425" rIns="91425" bIns="91425" anchor="ctr" anchorCtr="0"/>
                      </wps:wsp>
                      <wps:wsp>
                        <wps:cNvPr id="53" name="Text Box 53"/>
                        <wps:cNvSpPr txBox="1"/>
                        <wps:spPr>
                          <a:xfrm>
                            <a:off x="3548093" y="2338723"/>
                            <a:ext cx="8286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Right of Entry</w:t>
                              </w:r>
                            </w:p>
                          </w:txbxContent>
                        </wps:txbx>
                        <wps:bodyPr spcFirstLastPara="1" wrap="square" lIns="91425" tIns="91425" rIns="91425" bIns="91425" anchor="ctr" anchorCtr="0"/>
                      </wps:wsp>
                      <wps:wsp>
                        <wps:cNvPr id="54" name="Text Box 54"/>
                        <wps:cNvSpPr txBox="1"/>
                        <wps:spPr>
                          <a:xfrm>
                            <a:off x="3548100" y="4002079"/>
                            <a:ext cx="8286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Reversion</w:t>
                              </w:r>
                            </w:p>
                          </w:txbxContent>
                        </wps:txbx>
                        <wps:bodyPr spcFirstLastPara="1" wrap="square" lIns="91425" tIns="91425" rIns="91425" bIns="91425" anchor="ctr" anchorCtr="0"/>
                      </wps:wsp>
                      <wps:wsp>
                        <wps:cNvPr id="55" name="Text Box 55"/>
                        <wps:cNvSpPr txBox="1"/>
                        <wps:spPr>
                          <a:xfrm>
                            <a:off x="3548100" y="3146139"/>
                            <a:ext cx="8286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Reversion</w:t>
                              </w:r>
                            </w:p>
                          </w:txbxContent>
                        </wps:txbx>
                        <wps:bodyPr spcFirstLastPara="1" wrap="square" lIns="91425" tIns="91425" rIns="91425" bIns="91425" anchor="ctr" anchorCtr="0"/>
                      </wps:wsp>
                      <wps:wsp>
                        <wps:cNvPr id="56" name="Text Box 56"/>
                        <wps:cNvSpPr txBox="1"/>
                        <wps:spPr>
                          <a:xfrm>
                            <a:off x="3548100" y="3574104"/>
                            <a:ext cx="8286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Reversion</w:t>
                              </w:r>
                            </w:p>
                          </w:txbxContent>
                        </wps:txbx>
                        <wps:bodyPr spcFirstLastPara="1" wrap="square" lIns="91425" tIns="91425" rIns="91425" bIns="91425" anchor="ctr" anchorCtr="0"/>
                      </wps:wsp>
                      <wps:wsp>
                        <wps:cNvPr id="57" name="Text Box 57"/>
                        <wps:cNvSpPr txBox="1"/>
                        <wps:spPr>
                          <a:xfrm>
                            <a:off x="4443450" y="4002075"/>
                            <a:ext cx="9669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 xml:space="preserve">Remainder </w:t>
                              </w:r>
                              <w:r>
                                <w:rPr>
                                  <w:rFonts w:ascii="Times New Roman" w:eastAsia="Times New Roman" w:hAnsi="Times New Roman" w:cs="Times New Roman"/>
                                  <w:i/>
                                  <w:sz w:val="16"/>
                                </w:rPr>
                                <w:t>or</w:t>
                              </w:r>
                              <w:r>
                                <w:rPr>
                                  <w:rFonts w:ascii="Times New Roman" w:eastAsia="Times New Roman" w:hAnsi="Times New Roman" w:cs="Times New Roman"/>
                                  <w:sz w:val="16"/>
                                </w:rPr>
                                <w:t xml:space="preserve"> Executory Interest</w:t>
                              </w:r>
                            </w:p>
                          </w:txbxContent>
                        </wps:txbx>
                        <wps:bodyPr spcFirstLastPara="1" wrap="square" lIns="91425" tIns="91425" rIns="91425" bIns="91425" anchor="ctr" anchorCtr="0"/>
                      </wps:wsp>
                      <wps:wsp>
                        <wps:cNvPr id="58" name="Text Box 58"/>
                        <wps:cNvSpPr txBox="1"/>
                        <wps:spPr>
                          <a:xfrm>
                            <a:off x="4443450" y="3574100"/>
                            <a:ext cx="966900" cy="379500"/>
                          </a:xfrm>
                          <a:prstGeom prst="rect">
                            <a:avLst/>
                          </a:prstGeom>
                          <a:solidFill>
                            <a:srgbClr val="CFE2F3"/>
                          </a:solid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 xml:space="preserve">Remainder </w:t>
                              </w:r>
                              <w:r>
                                <w:rPr>
                                  <w:rFonts w:ascii="Times New Roman" w:eastAsia="Times New Roman" w:hAnsi="Times New Roman" w:cs="Times New Roman"/>
                                  <w:i/>
                                  <w:sz w:val="16"/>
                                </w:rPr>
                                <w:t>or</w:t>
                              </w:r>
                              <w:r>
                                <w:rPr>
                                  <w:rFonts w:ascii="Times New Roman" w:eastAsia="Times New Roman" w:hAnsi="Times New Roman" w:cs="Times New Roman"/>
                                  <w:sz w:val="16"/>
                                </w:rPr>
                                <w:t xml:space="preserve"> Executory Interest</w:t>
                              </w:r>
                            </w:p>
                          </w:txbxContent>
                        </wps:txbx>
                        <wps:bodyPr spcFirstLastPara="1" wrap="square" lIns="91425" tIns="91425" rIns="91425" bIns="91425" anchor="ctr" anchorCtr="0"/>
                      </wps:wsp>
                      <wps:wsp>
                        <wps:cNvPr id="59" name="Straight Arrow Connector 59"/>
                        <wps:cNvCnPr/>
                        <wps:spPr>
                          <a:xfrm>
                            <a:off x="3286153" y="2100500"/>
                            <a:ext cx="261900" cy="0"/>
                          </a:xfrm>
                          <a:prstGeom prst="straightConnector1">
                            <a:avLst/>
                          </a:prstGeom>
                          <a:noFill/>
                          <a:ln w="9525" cap="flat" cmpd="sng">
                            <a:solidFill>
                              <a:srgbClr val="000000"/>
                            </a:solidFill>
                            <a:prstDash val="solid"/>
                            <a:round/>
                            <a:headEnd type="none" w="lg" len="lg"/>
                            <a:tailEnd type="triangle" w="lg" len="lg"/>
                          </a:ln>
                        </wps:spPr>
                        <wps:bodyPr/>
                      </wps:wsp>
                      <wps:wsp>
                        <wps:cNvPr id="60" name="Straight Arrow Connector 60"/>
                        <wps:cNvCnPr/>
                        <wps:spPr>
                          <a:xfrm>
                            <a:off x="3286154" y="2528475"/>
                            <a:ext cx="261900" cy="0"/>
                          </a:xfrm>
                          <a:prstGeom prst="straightConnector1">
                            <a:avLst/>
                          </a:prstGeom>
                          <a:noFill/>
                          <a:ln w="9525" cap="flat" cmpd="sng">
                            <a:solidFill>
                              <a:srgbClr val="000000"/>
                            </a:solidFill>
                            <a:prstDash val="solid"/>
                            <a:round/>
                            <a:headEnd type="none" w="lg" len="lg"/>
                            <a:tailEnd type="triangle" w="lg" len="lg"/>
                          </a:ln>
                        </wps:spPr>
                        <wps:bodyPr/>
                      </wps:wsp>
                      <wps:wsp>
                        <wps:cNvPr id="61" name="Straight Arrow Connector 61"/>
                        <wps:cNvCnPr/>
                        <wps:spPr>
                          <a:xfrm>
                            <a:off x="3286153" y="2956450"/>
                            <a:ext cx="1157400" cy="0"/>
                          </a:xfrm>
                          <a:prstGeom prst="straightConnector1">
                            <a:avLst/>
                          </a:prstGeom>
                          <a:noFill/>
                          <a:ln w="9525" cap="flat" cmpd="sng">
                            <a:solidFill>
                              <a:srgbClr val="000000"/>
                            </a:solidFill>
                            <a:prstDash val="solid"/>
                            <a:round/>
                            <a:headEnd type="none" w="lg" len="lg"/>
                            <a:tailEnd type="triangle" w="lg" len="lg"/>
                          </a:ln>
                        </wps:spPr>
                        <wps:bodyPr/>
                      </wps:wsp>
                      <wps:wsp>
                        <wps:cNvPr id="62" name="Straight Arrow Connector 62"/>
                        <wps:cNvCnPr/>
                        <wps:spPr>
                          <a:xfrm>
                            <a:off x="1247700" y="3335889"/>
                            <a:ext cx="2300400" cy="0"/>
                          </a:xfrm>
                          <a:prstGeom prst="straightConnector1">
                            <a:avLst/>
                          </a:prstGeom>
                          <a:noFill/>
                          <a:ln w="9525" cap="flat" cmpd="sng">
                            <a:solidFill>
                              <a:srgbClr val="000000"/>
                            </a:solidFill>
                            <a:prstDash val="solid"/>
                            <a:round/>
                            <a:headEnd type="none" w="lg" len="lg"/>
                            <a:tailEnd type="triangle" w="lg" len="lg"/>
                          </a:ln>
                        </wps:spPr>
                        <wps:bodyPr/>
                      </wps:wsp>
                      <wps:wsp>
                        <wps:cNvPr id="63" name="Straight Arrow Connector 63"/>
                        <wps:cNvCnPr/>
                        <wps:spPr>
                          <a:xfrm>
                            <a:off x="1247700" y="3763854"/>
                            <a:ext cx="2300400" cy="0"/>
                          </a:xfrm>
                          <a:prstGeom prst="straightConnector1">
                            <a:avLst/>
                          </a:prstGeom>
                          <a:noFill/>
                          <a:ln w="9525" cap="flat" cmpd="sng">
                            <a:solidFill>
                              <a:srgbClr val="000000"/>
                            </a:solidFill>
                            <a:prstDash val="solid"/>
                            <a:round/>
                            <a:headEnd type="none" w="lg" len="lg"/>
                            <a:tailEnd type="triangle" w="lg" len="lg"/>
                          </a:ln>
                        </wps:spPr>
                        <wps:bodyPr/>
                      </wps:wsp>
                      <wps:wsp>
                        <wps:cNvPr id="64" name="Straight Arrow Connector 64"/>
                        <wps:cNvCnPr/>
                        <wps:spPr>
                          <a:xfrm>
                            <a:off x="1247700" y="4191829"/>
                            <a:ext cx="2300400" cy="0"/>
                          </a:xfrm>
                          <a:prstGeom prst="straightConnector1">
                            <a:avLst/>
                          </a:prstGeom>
                          <a:noFill/>
                          <a:ln w="9525" cap="flat" cmpd="sng">
                            <a:solidFill>
                              <a:srgbClr val="000000"/>
                            </a:solidFill>
                            <a:prstDash val="solid"/>
                            <a:round/>
                            <a:headEnd type="none" w="lg" len="lg"/>
                            <a:tailEnd type="triangle" w="lg" len="lg"/>
                          </a:ln>
                        </wps:spPr>
                        <wps:bodyPr/>
                      </wps:wsp>
                      <wps:wsp>
                        <wps:cNvPr id="65" name="Straight Arrow Connector 65"/>
                        <wps:cNvCnPr/>
                        <wps:spPr>
                          <a:xfrm rot="10800000" flipH="1">
                            <a:off x="5286525" y="3499213"/>
                            <a:ext cx="209400" cy="182400"/>
                          </a:xfrm>
                          <a:prstGeom prst="straightConnector1">
                            <a:avLst/>
                          </a:prstGeom>
                          <a:noFill/>
                          <a:ln w="9525" cap="flat" cmpd="sng">
                            <a:solidFill>
                              <a:srgbClr val="000000"/>
                            </a:solidFill>
                            <a:prstDash val="solid"/>
                            <a:round/>
                            <a:headEnd type="none" w="lg" len="lg"/>
                            <a:tailEnd type="none" w="lg" len="lg"/>
                          </a:ln>
                        </wps:spPr>
                        <wps:bodyPr/>
                      </wps:wsp>
                      <wps:wsp>
                        <wps:cNvPr id="66" name="Straight Arrow Connector 66"/>
                        <wps:cNvCnPr/>
                        <wps:spPr>
                          <a:xfrm rot="10800000" flipH="1">
                            <a:off x="5286450" y="3676550"/>
                            <a:ext cx="333300" cy="5100"/>
                          </a:xfrm>
                          <a:prstGeom prst="straightConnector1">
                            <a:avLst/>
                          </a:prstGeom>
                          <a:noFill/>
                          <a:ln w="9525" cap="flat" cmpd="sng">
                            <a:solidFill>
                              <a:srgbClr val="000000"/>
                            </a:solidFill>
                            <a:prstDash val="solid"/>
                            <a:round/>
                            <a:headEnd type="none" w="lg" len="lg"/>
                            <a:tailEnd type="none" w="lg" len="lg"/>
                          </a:ln>
                        </wps:spPr>
                        <wps:bodyPr/>
                      </wps:wsp>
                      <wps:wsp>
                        <wps:cNvPr id="67" name="Text Box 67"/>
                        <wps:cNvSpPr txBox="1"/>
                        <wps:spPr>
                          <a:xfrm>
                            <a:off x="5419725" y="3324225"/>
                            <a:ext cx="3333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VR</w:t>
                              </w:r>
                            </w:p>
                          </w:txbxContent>
                        </wps:txbx>
                        <wps:bodyPr spcFirstLastPara="1" wrap="square" lIns="91425" tIns="91425" rIns="91425" bIns="91425" anchor="t" anchorCtr="0"/>
                      </wps:wsp>
                      <wps:wsp>
                        <wps:cNvPr id="68" name="Text Box 68"/>
                        <wps:cNvSpPr txBox="1"/>
                        <wps:spPr>
                          <a:xfrm>
                            <a:off x="5581725" y="3526700"/>
                            <a:ext cx="3333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CR</w:t>
                              </w:r>
                            </w:p>
                          </w:txbxContent>
                        </wps:txbx>
                        <wps:bodyPr spcFirstLastPara="1" wrap="square" lIns="91425" tIns="91425" rIns="91425" bIns="91425" anchor="t" anchorCtr="0"/>
                      </wps:wsp>
                      <wps:wsp>
                        <wps:cNvPr id="69" name="Straight Arrow Connector 69"/>
                        <wps:cNvCnPr/>
                        <wps:spPr>
                          <a:xfrm rot="10800000" flipH="1">
                            <a:off x="5272150" y="3938838"/>
                            <a:ext cx="209400" cy="182400"/>
                          </a:xfrm>
                          <a:prstGeom prst="straightConnector1">
                            <a:avLst/>
                          </a:prstGeom>
                          <a:noFill/>
                          <a:ln w="9525" cap="flat" cmpd="sng">
                            <a:solidFill>
                              <a:srgbClr val="000000"/>
                            </a:solidFill>
                            <a:prstDash val="solid"/>
                            <a:round/>
                            <a:headEnd type="none" w="lg" len="lg"/>
                            <a:tailEnd type="none" w="lg" len="lg"/>
                          </a:ln>
                        </wps:spPr>
                        <wps:bodyPr/>
                      </wps:wsp>
                      <wps:wsp>
                        <wps:cNvPr id="70" name="Straight Arrow Connector 70"/>
                        <wps:cNvCnPr/>
                        <wps:spPr>
                          <a:xfrm rot="10800000" flipH="1">
                            <a:off x="5272075" y="4116175"/>
                            <a:ext cx="333300" cy="5100"/>
                          </a:xfrm>
                          <a:prstGeom prst="straightConnector1">
                            <a:avLst/>
                          </a:prstGeom>
                          <a:noFill/>
                          <a:ln w="9525" cap="flat" cmpd="sng">
                            <a:solidFill>
                              <a:srgbClr val="000000"/>
                            </a:solidFill>
                            <a:prstDash val="solid"/>
                            <a:round/>
                            <a:headEnd type="none" w="lg" len="lg"/>
                            <a:tailEnd type="none" w="lg" len="lg"/>
                          </a:ln>
                        </wps:spPr>
                        <wps:bodyPr/>
                      </wps:wsp>
                      <wps:wsp>
                        <wps:cNvPr id="71" name="Text Box 71"/>
                        <wps:cNvSpPr txBox="1"/>
                        <wps:spPr>
                          <a:xfrm>
                            <a:off x="5405350" y="3763850"/>
                            <a:ext cx="3333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VR</w:t>
                              </w:r>
                            </w:p>
                          </w:txbxContent>
                        </wps:txbx>
                        <wps:bodyPr spcFirstLastPara="1" wrap="square" lIns="91425" tIns="91425" rIns="91425" bIns="91425" anchor="t" anchorCtr="0"/>
                      </wps:wsp>
                      <wps:wsp>
                        <wps:cNvPr id="72" name="Text Box 72"/>
                        <wps:cNvSpPr txBox="1"/>
                        <wps:spPr>
                          <a:xfrm>
                            <a:off x="5567350" y="3966325"/>
                            <a:ext cx="3333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CR</w:t>
                              </w:r>
                            </w:p>
                          </w:txbxContent>
                        </wps:txbx>
                        <wps:bodyPr spcFirstLastPara="1" wrap="square" lIns="91425" tIns="91425" rIns="91425" bIns="91425" anchor="t" anchorCtr="0"/>
                      </wps:wsp>
                      <wps:wsp>
                        <wps:cNvPr id="73" name="Straight Arrow Connector 73"/>
                        <wps:cNvCnPr/>
                        <wps:spPr>
                          <a:xfrm rot="10800000" flipH="1">
                            <a:off x="5667525" y="3321138"/>
                            <a:ext cx="209400" cy="182400"/>
                          </a:xfrm>
                          <a:prstGeom prst="straightConnector1">
                            <a:avLst/>
                          </a:prstGeom>
                          <a:noFill/>
                          <a:ln w="9525" cap="flat" cmpd="sng">
                            <a:solidFill>
                              <a:srgbClr val="000000"/>
                            </a:solidFill>
                            <a:prstDash val="solid"/>
                            <a:round/>
                            <a:headEnd type="none" w="lg" len="lg"/>
                            <a:tailEnd type="none" w="lg" len="lg"/>
                          </a:ln>
                        </wps:spPr>
                        <wps:bodyPr/>
                      </wps:wsp>
                      <wps:wsp>
                        <wps:cNvPr id="74" name="Straight Arrow Connector 74"/>
                        <wps:cNvCnPr/>
                        <wps:spPr>
                          <a:xfrm rot="10800000" flipH="1">
                            <a:off x="5667450" y="3498475"/>
                            <a:ext cx="333300" cy="5100"/>
                          </a:xfrm>
                          <a:prstGeom prst="straightConnector1">
                            <a:avLst/>
                          </a:prstGeom>
                          <a:noFill/>
                          <a:ln w="9525" cap="flat" cmpd="sng">
                            <a:solidFill>
                              <a:srgbClr val="000000"/>
                            </a:solidFill>
                            <a:prstDash val="solid"/>
                            <a:round/>
                            <a:headEnd type="none" w="lg" len="lg"/>
                            <a:tailEnd type="none" w="lg" len="lg"/>
                          </a:ln>
                        </wps:spPr>
                        <wps:bodyPr/>
                      </wps:wsp>
                      <wps:wsp>
                        <wps:cNvPr id="75" name="Text Box 75"/>
                        <wps:cNvSpPr txBox="1"/>
                        <wps:spPr>
                          <a:xfrm>
                            <a:off x="5800725" y="3146150"/>
                            <a:ext cx="7335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Open</w:t>
                              </w:r>
                            </w:p>
                          </w:txbxContent>
                        </wps:txbx>
                        <wps:bodyPr spcFirstLastPara="1" wrap="square" lIns="91425" tIns="91425" rIns="91425" bIns="91425" anchor="t" anchorCtr="0"/>
                      </wps:wsp>
                      <wps:wsp>
                        <wps:cNvPr id="76" name="Text Box 76"/>
                        <wps:cNvSpPr txBox="1"/>
                        <wps:spPr>
                          <a:xfrm>
                            <a:off x="5962725" y="3348625"/>
                            <a:ext cx="7335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Divest</w:t>
                              </w:r>
                            </w:p>
                          </w:txbxContent>
                        </wps:txbx>
                        <wps:bodyPr spcFirstLastPara="1" wrap="square" lIns="91425" tIns="91425" rIns="91425" bIns="91425" anchor="t" anchorCtr="0"/>
                      </wps:wsp>
                      <wps:wsp>
                        <wps:cNvPr id="77" name="Straight Arrow Connector 77"/>
                        <wps:cNvCnPr/>
                        <wps:spPr>
                          <a:xfrm rot="10800000" flipH="1">
                            <a:off x="5667600" y="3761400"/>
                            <a:ext cx="209400" cy="182400"/>
                          </a:xfrm>
                          <a:prstGeom prst="straightConnector1">
                            <a:avLst/>
                          </a:prstGeom>
                          <a:noFill/>
                          <a:ln w="9525" cap="flat" cmpd="sng">
                            <a:solidFill>
                              <a:srgbClr val="000000"/>
                            </a:solidFill>
                            <a:prstDash val="solid"/>
                            <a:round/>
                            <a:headEnd type="none" w="lg" len="lg"/>
                            <a:tailEnd type="none" w="lg" len="lg"/>
                          </a:ln>
                        </wps:spPr>
                        <wps:bodyPr/>
                      </wps:wsp>
                      <wps:wsp>
                        <wps:cNvPr id="78" name="Straight Arrow Connector 78"/>
                        <wps:cNvCnPr/>
                        <wps:spPr>
                          <a:xfrm rot="10800000" flipH="1">
                            <a:off x="5667525" y="3938738"/>
                            <a:ext cx="333300" cy="5100"/>
                          </a:xfrm>
                          <a:prstGeom prst="straightConnector1">
                            <a:avLst/>
                          </a:prstGeom>
                          <a:noFill/>
                          <a:ln w="9525" cap="flat" cmpd="sng">
                            <a:solidFill>
                              <a:srgbClr val="000000"/>
                            </a:solidFill>
                            <a:prstDash val="solid"/>
                            <a:round/>
                            <a:headEnd type="none" w="lg" len="lg"/>
                            <a:tailEnd type="none" w="lg" len="lg"/>
                          </a:ln>
                        </wps:spPr>
                        <wps:bodyPr/>
                      </wps:wsp>
                      <wps:wsp>
                        <wps:cNvPr id="79" name="Text Box 79"/>
                        <wps:cNvSpPr txBox="1"/>
                        <wps:spPr>
                          <a:xfrm>
                            <a:off x="5800800" y="3586413"/>
                            <a:ext cx="7335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Open</w:t>
                              </w:r>
                            </w:p>
                          </w:txbxContent>
                        </wps:txbx>
                        <wps:bodyPr spcFirstLastPara="1" wrap="square" lIns="91425" tIns="91425" rIns="91425" bIns="91425" anchor="t" anchorCtr="0"/>
                      </wps:wsp>
                      <wps:wsp>
                        <wps:cNvPr id="80" name="Text Box 80"/>
                        <wps:cNvSpPr txBox="1"/>
                        <wps:spPr>
                          <a:xfrm>
                            <a:off x="5962800" y="3788888"/>
                            <a:ext cx="733500" cy="3048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16"/>
                                </w:rPr>
                                <w:t>Divest</w:t>
                              </w:r>
                            </w:p>
                          </w:txbxContent>
                        </wps:txbx>
                        <wps:bodyPr spcFirstLastPara="1" wrap="square" lIns="91425" tIns="91425" rIns="91425" bIns="91425" anchor="t" anchorCtr="0"/>
                      </wps:wsp>
                      <wps:wsp>
                        <wps:cNvPr id="81" name="Text Box 81"/>
                        <wps:cNvSpPr txBox="1"/>
                        <wps:spPr>
                          <a:xfrm>
                            <a:off x="419100" y="247650"/>
                            <a:ext cx="3129000" cy="419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24"/>
                                </w:rPr>
                                <w:t>Estates/Present Possessory Interests</w:t>
                              </w:r>
                            </w:p>
                            <w:p w:rsidR="00E46D95" w:rsidRDefault="006F495B">
                              <w:pPr>
                                <w:spacing w:line="240" w:lineRule="auto"/>
                                <w:jc w:val="center"/>
                                <w:textDirection w:val="btLr"/>
                              </w:pPr>
                              <w:r>
                                <w:rPr>
                                  <w:rFonts w:ascii="Times New Roman" w:eastAsia="Times New Roman" w:hAnsi="Times New Roman" w:cs="Times New Roman"/>
                                  <w:sz w:val="16"/>
                                </w:rPr>
                                <w:t>(</w:t>
                              </w:r>
                              <w:r>
                                <w:rPr>
                                  <w:rFonts w:ascii="Times New Roman" w:eastAsia="Times New Roman" w:hAnsi="Times New Roman" w:cs="Times New Roman"/>
                                  <w:i/>
                                  <w:sz w:val="16"/>
                                </w:rPr>
                                <w:t>In descending order of dignity</w:t>
                              </w:r>
                              <w:r>
                                <w:rPr>
                                  <w:rFonts w:ascii="Times New Roman" w:eastAsia="Times New Roman" w:hAnsi="Times New Roman" w:cs="Times New Roman"/>
                                  <w:sz w:val="16"/>
                                </w:rPr>
                                <w:t>)</w:t>
                              </w:r>
                            </w:p>
                          </w:txbxContent>
                        </wps:txbx>
                        <wps:bodyPr spcFirstLastPara="1" wrap="square" lIns="91425" tIns="91425" rIns="91425" bIns="91425" anchor="t" anchorCtr="0"/>
                      </wps:wsp>
                      <wps:wsp>
                        <wps:cNvPr id="82" name="Text Box 82"/>
                        <wps:cNvSpPr txBox="1"/>
                        <wps:spPr>
                          <a:xfrm>
                            <a:off x="3929100" y="247650"/>
                            <a:ext cx="1800300" cy="4191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24"/>
                                </w:rPr>
                                <w:t>Future Interests</w:t>
                              </w:r>
                            </w:p>
                          </w:txbxContent>
                        </wps:txbx>
                        <wps:bodyPr spcFirstLastPara="1" wrap="square" lIns="91425" tIns="91425" rIns="91425" bIns="91425" anchor="t" anchorCtr="0"/>
                      </wps:wsp>
                      <wps:wsp>
                        <wps:cNvPr id="83" name="Text Box 83"/>
                        <wps:cNvSpPr txBox="1"/>
                        <wps:spPr>
                          <a:xfrm>
                            <a:off x="3543300" y="485775"/>
                            <a:ext cx="828600" cy="419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16"/>
                                </w:rPr>
                                <w:t>Retained by Transferor</w:t>
                              </w:r>
                            </w:p>
                          </w:txbxContent>
                        </wps:txbx>
                        <wps:bodyPr spcFirstLastPara="1" wrap="square" lIns="91425" tIns="91425" rIns="91425" bIns="91425" anchor="ctr" anchorCtr="0"/>
                      </wps:wsp>
                      <wps:wsp>
                        <wps:cNvPr id="84" name="Text Box 84"/>
                        <wps:cNvSpPr txBox="1"/>
                        <wps:spPr>
                          <a:xfrm>
                            <a:off x="4512600" y="485775"/>
                            <a:ext cx="828600" cy="4191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16"/>
                                </w:rPr>
                                <w:t>Retained by Transferee</w:t>
                              </w:r>
                            </w:p>
                          </w:txbxContent>
                        </wps:txbx>
                        <wps:bodyPr spcFirstLastPara="1" wrap="square" lIns="91425" tIns="91425" rIns="91425" bIns="91425" anchor="ctr" anchorCtr="0"/>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92075</wp:posOffset>
                </wp:positionH>
                <wp:positionV relativeFrom="paragraph">
                  <wp:posOffset>152400</wp:posOffset>
                </wp:positionV>
                <wp:extent cx="6296025" cy="4152900"/>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296025" cy="4152900"/>
                        </a:xfrm>
                        <a:prstGeom prst="rect"/>
                        <a:ln/>
                      </pic:spPr>
                    </pic:pic>
                  </a:graphicData>
                </a:graphic>
              </wp:anchor>
            </w:drawing>
          </mc:Fallback>
        </mc:AlternateConten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Rule Against Perpetuities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no interest is good unless it must vest, if at all, no later than 21 years after some life in being at the creation of the interest,</w:t>
      </w:r>
      <w:r>
        <w:rPr>
          <w:rFonts w:ascii="Times New Roman" w:eastAsia="Times New Roman" w:hAnsi="Times New Roman" w:cs="Times New Roman"/>
          <w:sz w:val="20"/>
          <w:szCs w:val="20"/>
        </w:rPr>
        <w:t xml:space="preserve"> in doing so it prohibits an interest from vesting too far into the future; promotes marketability by limiting an owner’s ability to create speculative, contingent future interests</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 If there is </w:t>
      </w:r>
      <w:r>
        <w:rPr>
          <w:rFonts w:ascii="Times New Roman" w:eastAsia="Times New Roman" w:hAnsi="Times New Roman" w:cs="Times New Roman"/>
          <w:i/>
          <w:sz w:val="20"/>
          <w:szCs w:val="20"/>
        </w:rPr>
        <w:t>any</w:t>
      </w:r>
      <w:r>
        <w:rPr>
          <w:rFonts w:ascii="Times New Roman" w:eastAsia="Times New Roman" w:hAnsi="Times New Roman" w:cs="Times New Roman"/>
          <w:sz w:val="20"/>
          <w:szCs w:val="20"/>
        </w:rPr>
        <w:t xml:space="preserve"> possibility that the interest might vest more than </w:t>
      </w:r>
      <w:r>
        <w:rPr>
          <w:rFonts w:ascii="Times New Roman" w:eastAsia="Times New Roman" w:hAnsi="Times New Roman" w:cs="Times New Roman"/>
          <w:sz w:val="20"/>
          <w:szCs w:val="20"/>
        </w:rPr>
        <w:t xml:space="preserve">21 years from the death of the relevant lives in being, the future interest is void when created; if you can imagine any set of facts under which the interest </w:t>
      </w:r>
      <w:r>
        <w:rPr>
          <w:rFonts w:ascii="Times New Roman" w:eastAsia="Times New Roman" w:hAnsi="Times New Roman" w:cs="Times New Roman"/>
          <w:i/>
          <w:sz w:val="20"/>
          <w:szCs w:val="20"/>
        </w:rPr>
        <w:t>might</w:t>
      </w:r>
      <w:r>
        <w:rPr>
          <w:rFonts w:ascii="Times New Roman" w:eastAsia="Times New Roman" w:hAnsi="Times New Roman" w:cs="Times New Roman"/>
          <w:sz w:val="20"/>
          <w:szCs w:val="20"/>
        </w:rPr>
        <w:t xml:space="preserve"> vest too late, it is void</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“Vesting” – the point where the title uncertainty is removed</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w:t>
      </w:r>
      <w:r>
        <w:rPr>
          <w:rFonts w:ascii="Times New Roman" w:eastAsia="Times New Roman" w:hAnsi="Times New Roman" w:cs="Times New Roman"/>
          <w:sz w:val="20"/>
          <w:szCs w:val="20"/>
        </w:rPr>
        <w:t>rests Subject to Rule: (1) Contingent remainders, (2) executory interests, and (3) vested remainders subject to open (although vested, it is considered contingent under this rule because individuals might be added to the class in the future)</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 present po</w:t>
      </w:r>
      <w:r>
        <w:rPr>
          <w:rFonts w:ascii="Times New Roman" w:eastAsia="Times New Roman" w:hAnsi="Times New Roman" w:cs="Times New Roman"/>
          <w:sz w:val="20"/>
          <w:szCs w:val="20"/>
        </w:rPr>
        <w:t>ssessory estates and future interests in a grantor are deemed vested for the purposes of RAP; indefeasibly vested remainders and vested remainders subject to divestment are exempt from the rule</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Goal(s): Prevent interference with the marketability of land (</w:t>
      </w:r>
      <w:r>
        <w:rPr>
          <w:rFonts w:ascii="Times New Roman" w:eastAsia="Times New Roman" w:hAnsi="Times New Roman" w:cs="Times New Roman"/>
          <w:sz w:val="20"/>
          <w:szCs w:val="20"/>
        </w:rPr>
        <w:t>a buyer unlikely to purchase land burdened with contingent future interests)); prevent dead-hand control (wealth should be controlled by the living not the dead)</w:t>
      </w:r>
    </w:p>
    <w:p w:rsidR="00E46D95" w:rsidRDefault="006F495B">
      <w:pPr>
        <w:numPr>
          <w:ilvl w:val="1"/>
          <w:numId w:val="17"/>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Washington State Grange v. Brandt</w:t>
      </w:r>
      <w:r>
        <w:rPr>
          <w:rFonts w:ascii="Times New Roman" w:eastAsia="Times New Roman" w:hAnsi="Times New Roman" w:cs="Times New Roman"/>
          <w:color w:val="FF0000"/>
          <w:sz w:val="20"/>
          <w:szCs w:val="20"/>
        </w:rPr>
        <w:t xml:space="preserve"> – </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Land conveyed to Brandt “so long as it’s a grange (i.e. f</w:t>
      </w:r>
      <w:r>
        <w:rPr>
          <w:rFonts w:ascii="Times New Roman" w:eastAsia="Times New Roman" w:hAnsi="Times New Roman" w:cs="Times New Roman"/>
          <w:color w:val="FF0000"/>
          <w:sz w:val="20"/>
          <w:szCs w:val="20"/>
        </w:rPr>
        <w:t>arm) then to C”</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Will we know in B’s life whether vests within +21Ys after death?</w:t>
      </w:r>
    </w:p>
    <w:p w:rsidR="00E46D95" w:rsidRDefault="006F495B">
      <w:pPr>
        <w:numPr>
          <w:ilvl w:val="2"/>
          <w:numId w:val="17"/>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H: Won’t know so strike out (void) → (C no longer as an interest (too remote) from the time of creation) B has LE and transferor has poss of rev (because LE Determinable)</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Modern Reforms (most states have reformed the common law rule by statute or judicial </w:t>
      </w:r>
      <w:r>
        <w:rPr>
          <w:rFonts w:ascii="Times New Roman" w:eastAsia="Times New Roman" w:hAnsi="Times New Roman" w:cs="Times New Roman"/>
          <w:sz w:val="20"/>
          <w:szCs w:val="20"/>
        </w:rPr>
        <w:t>decision); three approaches:</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Wait-and-See</w:t>
      </w:r>
      <w:r>
        <w:rPr>
          <w:rFonts w:ascii="Times New Roman" w:eastAsia="Times New Roman" w:hAnsi="Times New Roman" w:cs="Times New Roman"/>
          <w:sz w:val="20"/>
          <w:szCs w:val="20"/>
        </w:rPr>
        <w:t xml:space="preserve"> – an interest is void if it does not actually vest within a life in being plus 21 years; not determined at creation but by events that actually happen in the future</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Uniform Statutory Rule Against Perpetuities (USRA</w:t>
      </w:r>
      <w:r>
        <w:rPr>
          <w:rFonts w:ascii="Times New Roman" w:eastAsia="Times New Roman" w:hAnsi="Times New Roman" w:cs="Times New Roman"/>
          <w:i/>
          <w:sz w:val="20"/>
          <w:szCs w:val="20"/>
        </w:rPr>
        <w:t>P)</w:t>
      </w:r>
      <w:r>
        <w:rPr>
          <w:rFonts w:ascii="Times New Roman" w:eastAsia="Times New Roman" w:hAnsi="Times New Roman" w:cs="Times New Roman"/>
          <w:sz w:val="20"/>
          <w:szCs w:val="20"/>
        </w:rPr>
        <w:t xml:space="preserve"> – an interest is valid if it satisfies the common law rule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if it actually vests within 90 years after its creation</w:t>
      </w:r>
    </w:p>
    <w:p w:rsidR="00E46D95" w:rsidRDefault="006F495B">
      <w:pPr>
        <w:numPr>
          <w:ilvl w:val="1"/>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Cy Pres</w:t>
      </w:r>
      <w:r>
        <w:rPr>
          <w:rFonts w:ascii="Times New Roman" w:eastAsia="Times New Roman" w:hAnsi="Times New Roman" w:cs="Times New Roman"/>
          <w:sz w:val="20"/>
          <w:szCs w:val="20"/>
        </w:rPr>
        <w:t xml:space="preserve"> – courts rewrite the language of the conveyance so that the future interest no longer violates the common law rule in order to honor the transferor’s presumed original intent. The rewriting should be “as near as possible” to the transferor’s intent</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Future</w:t>
      </w:r>
      <w:r>
        <w:rPr>
          <w:rFonts w:ascii="Times New Roman" w:eastAsia="Times New Roman" w:hAnsi="Times New Roman" w:cs="Times New Roman"/>
          <w:sz w:val="20"/>
          <w:szCs w:val="20"/>
        </w:rPr>
        <w:t xml:space="preserve"> of the Rule – some states have abolished it, states have increasingly adopted legislation that authorized the perpetual trust</w:t>
      </w:r>
    </w:p>
    <w:p w:rsidR="00E46D95" w:rsidRDefault="006F495B">
      <w:pPr>
        <w:numPr>
          <w:ilvl w:val="0"/>
          <w:numId w:val="1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Savings Clauses</w:t>
      </w:r>
      <w:r>
        <w:rPr>
          <w:rFonts w:ascii="Times New Roman" w:eastAsia="Times New Roman" w:hAnsi="Times New Roman" w:cs="Times New Roman"/>
          <w:sz w:val="20"/>
          <w:szCs w:val="20"/>
        </w:rPr>
        <w:t xml:space="preserve"> – a simple way to avoid the rule by inserting. Prevents any potential violation of the rule by requiring that eve</w:t>
      </w:r>
      <w:r>
        <w:rPr>
          <w:rFonts w:ascii="Times New Roman" w:eastAsia="Times New Roman" w:hAnsi="Times New Roman" w:cs="Times New Roman"/>
          <w:sz w:val="20"/>
          <w:szCs w:val="20"/>
        </w:rPr>
        <w:t>ry interest must vest before the end of the applicable perpetuities period</w:t>
      </w:r>
    </w:p>
    <w:p w:rsidR="00E46D95" w:rsidRDefault="006F495B">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“Class Gifts” </w:t>
      </w:r>
    </w:p>
    <w:p w:rsidR="00E46D95" w:rsidRDefault="006F495B">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of Convenience (counting rule) (see HO #3) – going to stop counting when the first remainder becomes possessory </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Deed: Effective when deed is delivered</w:t>
      </w:r>
    </w:p>
    <w:p w:rsidR="00E46D95" w:rsidRDefault="006F495B">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Will: Eff</w:t>
      </w:r>
      <w:r>
        <w:rPr>
          <w:rFonts w:ascii="Times New Roman" w:eastAsia="Times New Roman" w:hAnsi="Times New Roman" w:cs="Times New Roman"/>
          <w:sz w:val="20"/>
          <w:szCs w:val="20"/>
        </w:rPr>
        <w:t>ective at death (will wait a gestation period(?), 9 months)</w:t>
      </w:r>
    </w:p>
    <w:p w:rsidR="00E46D95" w:rsidRDefault="00E46D95">
      <w:pPr>
        <w:ind w:left="720"/>
        <w:rPr>
          <w:rFonts w:ascii="Times New Roman" w:eastAsia="Times New Roman" w:hAnsi="Times New Roman" w:cs="Times New Roman"/>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6: Concurrent Ownership and Marital Property</w:t>
      </w:r>
    </w:p>
    <w:p w:rsidR="00E46D95" w:rsidRDefault="006F495B">
      <w:pPr>
        <w:numPr>
          <w:ilvl w:val="0"/>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Concurrent Ownership – that multiple people can hold interests in the same land at the same time is a central concept in American property 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concurrent ownership</w:t>
      </w:r>
      <w:r>
        <w:rPr>
          <w:rFonts w:ascii="Times New Roman" w:eastAsia="Times New Roman" w:hAnsi="Times New Roman" w:cs="Times New Roman"/>
          <w:sz w:val="20"/>
          <w:szCs w:val="20"/>
        </w:rPr>
        <w:t xml:space="preserve"> gives all owners equal rights to use, possess, and enjoy the </w:t>
      </w:r>
      <w:r>
        <w:rPr>
          <w:rFonts w:ascii="Times New Roman" w:eastAsia="Times New Roman" w:hAnsi="Times New Roman" w:cs="Times New Roman"/>
          <w:i/>
          <w:sz w:val="20"/>
          <w:szCs w:val="20"/>
        </w:rPr>
        <w:t>entire</w:t>
      </w:r>
      <w:r>
        <w:rPr>
          <w:rFonts w:ascii="Times New Roman" w:eastAsia="Times New Roman" w:hAnsi="Times New Roman" w:cs="Times New Roman"/>
          <w:sz w:val="20"/>
          <w:szCs w:val="20"/>
        </w:rPr>
        <w:t xml:space="preserve"> parcel </w:t>
      </w:r>
    </w:p>
    <w:p w:rsidR="00E46D95" w:rsidRDefault="006F495B">
      <w:pPr>
        <w:numPr>
          <w:ilvl w:val="1"/>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Cotenant</w:t>
      </w:r>
      <w:r>
        <w:rPr>
          <w:rFonts w:ascii="Times New Roman" w:eastAsia="Times New Roman" w:hAnsi="Times New Roman" w:cs="Times New Roman"/>
          <w:sz w:val="20"/>
          <w:szCs w:val="20"/>
        </w:rPr>
        <w:t xml:space="preserve"> – each co-owner</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cotenants cannot agree on how the property should be used, their rights and obligations will be governed by a number of common la</w:t>
      </w:r>
      <w:r>
        <w:rPr>
          <w:rFonts w:ascii="Times New Roman" w:eastAsia="Times New Roman" w:hAnsi="Times New Roman" w:cs="Times New Roman"/>
          <w:sz w:val="20"/>
          <w:szCs w:val="20"/>
        </w:rPr>
        <w:t>w rules</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Modern Concurrent Estates; three basis types of concurrent ownership</w:t>
      </w:r>
    </w:p>
    <w:p w:rsidR="00E46D95" w:rsidRDefault="006F495B">
      <w:pPr>
        <w:numPr>
          <w:ilvl w:val="2"/>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Tenancy in Common </w:t>
      </w:r>
      <w:r>
        <w:rPr>
          <w:rFonts w:ascii="Times New Roman" w:eastAsia="Times New Roman" w:hAnsi="Times New Roman" w:cs="Times New Roman"/>
          <w:sz w:val="20"/>
          <w:szCs w:val="20"/>
        </w:rPr>
        <w:t>– each tenant in common has an undivided, fractional interest in the property; each may transfer his interest to another person; it is freely alienable, devisabl</w:t>
      </w:r>
      <w:r>
        <w:rPr>
          <w:rFonts w:ascii="Times New Roman" w:eastAsia="Times New Roman" w:hAnsi="Times New Roman" w:cs="Times New Roman"/>
          <w:sz w:val="20"/>
          <w:szCs w:val="20"/>
        </w:rPr>
        <w:t xml:space="preserve">e, and descendible; each has the right to possess the whole parcel, even if his fractional interest is smaller than the interests of the others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when the property is sold, the proceeds will be divided according to their proportionate shares</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Preferred La</w:t>
      </w:r>
      <w:r>
        <w:rPr>
          <w:rFonts w:ascii="Times New Roman" w:eastAsia="Times New Roman" w:hAnsi="Times New Roman" w:cs="Times New Roman"/>
          <w:sz w:val="20"/>
          <w:szCs w:val="20"/>
          <w:u w:val="single"/>
        </w:rPr>
        <w:t>nguage for Creation</w:t>
      </w:r>
      <w:r>
        <w:rPr>
          <w:rFonts w:ascii="Times New Roman" w:eastAsia="Times New Roman" w:hAnsi="Times New Roman" w:cs="Times New Roman"/>
          <w:sz w:val="20"/>
          <w:szCs w:val="20"/>
        </w:rPr>
        <w:t xml:space="preserve">: E.g. O conveys Greenacre “to A and B as tenants in common”  </w:t>
      </w:r>
    </w:p>
    <w:p w:rsidR="00E46D95" w:rsidRDefault="006F495B">
      <w:pPr>
        <w:numPr>
          <w:ilvl w:val="2"/>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Joint Tenancy </w:t>
      </w:r>
      <w:r>
        <w:rPr>
          <w:rFonts w:ascii="Times New Roman" w:eastAsia="Times New Roman" w:hAnsi="Times New Roman" w:cs="Times New Roman"/>
          <w:sz w:val="20"/>
          <w:szCs w:val="20"/>
        </w:rPr>
        <w:t xml:space="preserve">– joint tenants have an undivided right to use and possess the whole property (like tenants in common) but each joint tenant also has a </w:t>
      </w:r>
      <w:r>
        <w:rPr>
          <w:rFonts w:ascii="Times New Roman" w:eastAsia="Times New Roman" w:hAnsi="Times New Roman" w:cs="Times New Roman"/>
          <w:i/>
          <w:sz w:val="20"/>
          <w:szCs w:val="20"/>
        </w:rPr>
        <w:t>right of survivorship</w:t>
      </w:r>
      <w:r>
        <w:rPr>
          <w:rFonts w:ascii="Times New Roman" w:eastAsia="Times New Roman" w:hAnsi="Times New Roman" w:cs="Times New Roman"/>
          <w:sz w:val="20"/>
          <w:szCs w:val="20"/>
        </w:rPr>
        <w:t>, m</w:t>
      </w:r>
      <w:r>
        <w:rPr>
          <w:rFonts w:ascii="Times New Roman" w:eastAsia="Times New Roman" w:hAnsi="Times New Roman" w:cs="Times New Roman"/>
          <w:sz w:val="20"/>
          <w:szCs w:val="20"/>
        </w:rPr>
        <w:t>eaning that when one dies, the other becomes the sole owner; because of the right of survivorship, a joint tenancy interest is neither devisable nor descendible; a joint tenant may alienate his particular share during his lifetime because a joint tenant ow</w:t>
      </w:r>
      <w:r>
        <w:rPr>
          <w:rFonts w:ascii="Times New Roman" w:eastAsia="Times New Roman" w:hAnsi="Times New Roman" w:cs="Times New Roman"/>
          <w:sz w:val="20"/>
          <w:szCs w:val="20"/>
        </w:rPr>
        <w:t xml:space="preserve">ns a distinct share as well as an undivided interest in the whole; if one joint tenant transfers her interest, the joint tenancy is </w:t>
      </w:r>
      <w:r>
        <w:rPr>
          <w:rFonts w:ascii="Times New Roman" w:eastAsia="Times New Roman" w:hAnsi="Times New Roman" w:cs="Times New Roman"/>
          <w:i/>
          <w:sz w:val="20"/>
          <w:szCs w:val="20"/>
        </w:rPr>
        <w:t>severed</w:t>
      </w:r>
      <w:r>
        <w:rPr>
          <w:rFonts w:ascii="Times New Roman" w:eastAsia="Times New Roman" w:hAnsi="Times New Roman" w:cs="Times New Roman"/>
          <w:sz w:val="20"/>
          <w:szCs w:val="20"/>
        </w:rPr>
        <w:t xml:space="preserve">, breaking the unities of time and title, destroying the right of survivorship, and the grantee becomes a </w:t>
      </w:r>
      <w:r>
        <w:rPr>
          <w:rFonts w:ascii="Times New Roman" w:eastAsia="Times New Roman" w:hAnsi="Times New Roman" w:cs="Times New Roman"/>
          <w:i/>
          <w:sz w:val="20"/>
          <w:szCs w:val="20"/>
        </w:rPr>
        <w:t>tenant in c</w:t>
      </w:r>
      <w:r>
        <w:rPr>
          <w:rFonts w:ascii="Times New Roman" w:eastAsia="Times New Roman" w:hAnsi="Times New Roman" w:cs="Times New Roman"/>
          <w:i/>
          <w:sz w:val="20"/>
          <w:szCs w:val="20"/>
        </w:rPr>
        <w:t xml:space="preserve">ommon </w:t>
      </w:r>
      <w:r>
        <w:rPr>
          <w:rFonts w:ascii="Times New Roman" w:eastAsia="Times New Roman" w:hAnsi="Times New Roman" w:cs="Times New Roman"/>
          <w:sz w:val="20"/>
          <w:szCs w:val="20"/>
        </w:rPr>
        <w:t>with the other concurrent owners</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Preferred Language for Creation</w:t>
      </w:r>
      <w:r>
        <w:rPr>
          <w:rFonts w:ascii="Times New Roman" w:eastAsia="Times New Roman" w:hAnsi="Times New Roman" w:cs="Times New Roman"/>
          <w:sz w:val="20"/>
          <w:szCs w:val="20"/>
        </w:rPr>
        <w:t xml:space="preserve"> (in most jurisdictions): E.g. O conveys Greenacre “to A and B as joint tenants with right of survivorship”; joint tenancy is created only when the four unities of </w:t>
      </w:r>
      <w:r>
        <w:rPr>
          <w:rFonts w:ascii="Times New Roman" w:eastAsia="Times New Roman" w:hAnsi="Times New Roman" w:cs="Times New Roman"/>
          <w:i/>
          <w:sz w:val="20"/>
          <w:szCs w:val="20"/>
        </w:rPr>
        <w:t>time, title, interest</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and</w:t>
      </w:r>
      <w:r>
        <w:rPr>
          <w:rFonts w:ascii="Times New Roman" w:eastAsia="Times New Roman" w:hAnsi="Times New Roman" w:cs="Times New Roman"/>
          <w:i/>
          <w:sz w:val="20"/>
          <w:szCs w:val="20"/>
        </w:rPr>
        <w:t xml:space="preserve"> possession </w:t>
      </w:r>
      <w:r>
        <w:rPr>
          <w:rFonts w:ascii="Times New Roman" w:eastAsia="Times New Roman" w:hAnsi="Times New Roman" w:cs="Times New Roman"/>
          <w:sz w:val="20"/>
          <w:szCs w:val="20"/>
        </w:rPr>
        <w:t>are present:</w:t>
      </w:r>
    </w:p>
    <w:p w:rsidR="00E46D95" w:rsidRDefault="006F495B">
      <w:pPr>
        <w:numPr>
          <w:ilvl w:val="4"/>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Time</w:t>
      </w:r>
      <w:r>
        <w:rPr>
          <w:rFonts w:ascii="Times New Roman" w:eastAsia="Times New Roman" w:hAnsi="Times New Roman" w:cs="Times New Roman"/>
          <w:sz w:val="20"/>
          <w:szCs w:val="20"/>
        </w:rPr>
        <w:t xml:space="preserve"> – all joint tenants must acquire their interests at the same time; if obtain interests on different days, the unity of time is absent</w:t>
      </w:r>
    </w:p>
    <w:p w:rsidR="00E46D95" w:rsidRDefault="006F495B">
      <w:pPr>
        <w:numPr>
          <w:ilvl w:val="4"/>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Title </w:t>
      </w:r>
      <w:r>
        <w:rPr>
          <w:rFonts w:ascii="Times New Roman" w:eastAsia="Times New Roman" w:hAnsi="Times New Roman" w:cs="Times New Roman"/>
          <w:sz w:val="20"/>
          <w:szCs w:val="20"/>
        </w:rPr>
        <w:t>– must acquire title by the same instrument; if receive their instruments by different deeds, the unity of title is missing</w:t>
      </w:r>
    </w:p>
    <w:p w:rsidR="00E46D95" w:rsidRDefault="006F495B">
      <w:pPr>
        <w:numPr>
          <w:ilvl w:val="4"/>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Interest </w:t>
      </w:r>
      <w:r>
        <w:rPr>
          <w:rFonts w:ascii="Times New Roman" w:eastAsia="Times New Roman" w:hAnsi="Times New Roman" w:cs="Times New Roman"/>
          <w:sz w:val="20"/>
          <w:szCs w:val="20"/>
        </w:rPr>
        <w:t>– must have the same shares in the estate, equal in size and duration; if one receives an undivided ⅔ interest and the othe</w:t>
      </w:r>
      <w:r>
        <w:rPr>
          <w:rFonts w:ascii="Times New Roman" w:eastAsia="Times New Roman" w:hAnsi="Times New Roman" w:cs="Times New Roman"/>
          <w:sz w:val="20"/>
          <w:szCs w:val="20"/>
        </w:rPr>
        <w:t>r an undivided ⅓ interest, unity of interest is missing</w:t>
      </w:r>
    </w:p>
    <w:p w:rsidR="00E46D95" w:rsidRDefault="006F495B">
      <w:pPr>
        <w:numPr>
          <w:ilvl w:val="4"/>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Possession </w:t>
      </w:r>
      <w:r>
        <w:rPr>
          <w:rFonts w:ascii="Times New Roman" w:eastAsia="Times New Roman" w:hAnsi="Times New Roman" w:cs="Times New Roman"/>
          <w:sz w:val="20"/>
          <w:szCs w:val="20"/>
        </w:rPr>
        <w:t>– must have an equal right to possess, use, and enjoy the whole property, otherwise unity of possession is missing</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any of the unities are missing, a </w:t>
      </w:r>
      <w:r>
        <w:rPr>
          <w:rFonts w:ascii="Times New Roman" w:eastAsia="Times New Roman" w:hAnsi="Times New Roman" w:cs="Times New Roman"/>
          <w:i/>
          <w:sz w:val="20"/>
          <w:szCs w:val="20"/>
        </w:rPr>
        <w:t>tenancy in common</w:t>
      </w:r>
      <w:r>
        <w:rPr>
          <w:rFonts w:ascii="Times New Roman" w:eastAsia="Times New Roman" w:hAnsi="Times New Roman" w:cs="Times New Roman"/>
          <w:sz w:val="20"/>
          <w:szCs w:val="20"/>
        </w:rPr>
        <w:t xml:space="preserve"> ^ is created instea</w:t>
      </w:r>
      <w:r>
        <w:rPr>
          <w:rFonts w:ascii="Times New Roman" w:eastAsia="Times New Roman" w:hAnsi="Times New Roman" w:cs="Times New Roman"/>
          <w:sz w:val="20"/>
          <w:szCs w:val="20"/>
        </w:rPr>
        <w:t>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James v. Taylor</w:t>
      </w:r>
      <w:r>
        <w:rPr>
          <w:rFonts w:ascii="Times New Roman" w:eastAsia="Times New Roman" w:hAnsi="Times New Roman" w:cs="Times New Roman"/>
          <w:color w:val="FF0000"/>
          <w:sz w:val="20"/>
          <w:szCs w:val="20"/>
          <w:shd w:val="clear" w:color="auto" w:fill="FFF2CC"/>
        </w:rPr>
        <w:t xml:space="preserve"> (Court of Appeals of Arkansas, 1998)</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Ambiguity in deed conveying to children “Jointly and severally, and unto their heirs, assigns and successors forever” (attempting to create joint tenancy but created a tenancy in common)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JT or</w:t>
      </w:r>
      <w:r>
        <w:rPr>
          <w:rFonts w:ascii="Times New Roman" w:eastAsia="Times New Roman" w:hAnsi="Times New Roman" w:cs="Times New Roman"/>
          <w:color w:val="FF0000"/>
          <w:sz w:val="20"/>
          <w:szCs w:val="20"/>
        </w:rPr>
        <w:t xml:space="preserve"> TIC? </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Δ, extrinsic evid: Reveals intention to create JT in her children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 Descendants/heirs (grandchildren) of late son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 Daughter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Joint tenancy with right of survivorship (looked to intent per extrinsic evid)</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TIC (not going to look beyond t</w:t>
      </w:r>
      <w:r>
        <w:rPr>
          <w:rFonts w:ascii="Times New Roman" w:eastAsia="Times New Roman" w:hAnsi="Times New Roman" w:cs="Times New Roman"/>
          <w:color w:val="FF0000"/>
          <w:sz w:val="20"/>
          <w:szCs w:val="20"/>
        </w:rPr>
        <w:t>he four corners)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AR statute – presumptively CIT when ambiguous, creation of JT must be expressly created </w:t>
      </w:r>
      <w:r>
        <w:rPr>
          <w:rFonts w:ascii="Times New Roman" w:eastAsia="Times New Roman" w:hAnsi="Times New Roman" w:cs="Times New Roman"/>
          <w:i/>
          <w:color w:val="FF0000"/>
          <w:sz w:val="20"/>
          <w:szCs w:val="20"/>
        </w:rPr>
        <w:t>within the four corners of the instrument</w:t>
      </w:r>
      <w:r>
        <w:rPr>
          <w:rFonts w:ascii="Times New Roman" w:eastAsia="Times New Roman" w:hAnsi="Times New Roman" w:cs="Times New Roman"/>
          <w:color w:val="FF0000"/>
          <w:sz w:val="20"/>
          <w:szCs w:val="20"/>
        </w:rPr>
        <w:t xml:space="preserve"> (deed)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Tenhet v. Boswell</w:t>
      </w:r>
      <w:r>
        <w:rPr>
          <w:rFonts w:ascii="Times New Roman" w:eastAsia="Times New Roman" w:hAnsi="Times New Roman" w:cs="Times New Roman"/>
          <w:color w:val="FF0000"/>
          <w:sz w:val="20"/>
          <w:szCs w:val="20"/>
          <w:shd w:val="clear" w:color="auto" w:fill="FFF2CC"/>
        </w:rPr>
        <w:t xml:space="preserve"> (Supreme Court of California, 1976)</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JT leased interest in joint tenancy to a third party for years, lessor dies during the lessee's tenancy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I1: Whether the partial alienation of JT’s interest in the property effected a severance of the JT?</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I2: Whether she takes the property unencumbered b</w:t>
      </w:r>
      <w:r>
        <w:rPr>
          <w:rFonts w:ascii="Times New Roman" w:eastAsia="Times New Roman" w:hAnsi="Times New Roman" w:cs="Times New Roman"/>
          <w:color w:val="FF0000"/>
          <w:sz w:val="20"/>
          <w:szCs w:val="20"/>
        </w:rPr>
        <w:t>y the lease?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H1: No severance</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(pg. 392) Lease not inherently inconsistent with JT as to create a severance, either temporary or permanent; if had intended to sever and create a TIC, might have acted otherwise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H2: The leases of the JT property also expir</w:t>
      </w:r>
      <w:r>
        <w:rPr>
          <w:rFonts w:ascii="Times New Roman" w:eastAsia="Times New Roman" w:hAnsi="Times New Roman" w:cs="Times New Roman"/>
          <w:color w:val="FF0000"/>
          <w:sz w:val="20"/>
          <w:szCs w:val="20"/>
        </w:rPr>
        <w:t>es when the lessor dies</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Lessor’s interest in the joint property was an undivided interest in fee simple that encompassed the right to lease the property</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Lessee’s present interest would be something like a “term for years determinable upon lessor’s life </w:t>
      </w:r>
      <w:r>
        <w:rPr>
          <w:rFonts w:ascii="Times New Roman" w:eastAsia="Times New Roman" w:hAnsi="Times New Roman" w:cs="Times New Roman"/>
          <w:color w:val="FF0000"/>
          <w:sz w:val="20"/>
          <w:szCs w:val="20"/>
        </w:rPr>
        <w:t>span (/death)”</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Case has been very influential; Lessee could/should have inquired about (usually lessees don’t do (but since long term of years, perhaps should have inquired), those getting fees do)</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Lessee had lease with option to buy (perhaps should have</w:t>
      </w:r>
      <w:r>
        <w:rPr>
          <w:rFonts w:ascii="Times New Roman" w:eastAsia="Times New Roman" w:hAnsi="Times New Roman" w:cs="Times New Roman"/>
          <w:color w:val="FF0000"/>
          <w:sz w:val="20"/>
          <w:szCs w:val="20"/>
        </w:rPr>
        <w:t>) – if had exercised his option to purchases, would have been a conveyance of a JT (severs, create TIC), would have purchased interest in a TIC</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ab/>
        <w:t>→ Leases most places don’t sever JT</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393, </w:t>
      </w:r>
      <w:r>
        <w:rPr>
          <w:rFonts w:ascii="Times New Roman" w:eastAsia="Times New Roman" w:hAnsi="Times New Roman" w:cs="Times New Roman"/>
          <w:i/>
          <w:color w:val="FF0000"/>
          <w:sz w:val="20"/>
          <w:szCs w:val="20"/>
        </w:rPr>
        <w:t>Swartzbaugh v. Sampson</w:t>
      </w:r>
      <w:r>
        <w:rPr>
          <w:rFonts w:ascii="Times New Roman" w:eastAsia="Times New Roman" w:hAnsi="Times New Roman" w:cs="Times New Roman"/>
          <w:color w:val="FF0000"/>
          <w:sz w:val="20"/>
          <w:szCs w:val="20"/>
        </w:rPr>
        <w:t xml:space="preserve"> – unable to end lease (distinguished because after death (lease something different after death) – could extinguish after death but not during life)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393, </w:t>
      </w:r>
      <w:r>
        <w:rPr>
          <w:rFonts w:ascii="Times New Roman" w:eastAsia="Times New Roman" w:hAnsi="Times New Roman" w:cs="Times New Roman"/>
          <w:i/>
          <w:color w:val="FF0000"/>
          <w:sz w:val="20"/>
          <w:szCs w:val="20"/>
        </w:rPr>
        <w:t>People v. Nogarr</w:t>
      </w:r>
      <w:r>
        <w:rPr>
          <w:rFonts w:ascii="Times New Roman" w:eastAsia="Times New Roman" w:hAnsi="Times New Roman" w:cs="Times New Roman"/>
          <w:color w:val="FF0000"/>
          <w:sz w:val="20"/>
          <w:szCs w:val="20"/>
        </w:rPr>
        <w:t xml:space="preserve"> – upon the death of a JT who had executed a mortgage on the tenancy property, th</w:t>
      </w:r>
      <w:r>
        <w:rPr>
          <w:rFonts w:ascii="Times New Roman" w:eastAsia="Times New Roman" w:hAnsi="Times New Roman" w:cs="Times New Roman"/>
          <w:color w:val="FF0000"/>
          <w:sz w:val="20"/>
          <w:szCs w:val="20"/>
        </w:rPr>
        <w:t xml:space="preserve">e surviving JT took the property free of the mortgage </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Mortgage like a lease, does not sever (v. conveyance of a fee </w:t>
      </w:r>
      <w:r>
        <w:rPr>
          <w:rFonts w:ascii="Times New Roman" w:eastAsia="Times New Roman" w:hAnsi="Times New Roman" w:cs="Times New Roman"/>
          <w:i/>
          <w:color w:val="FF0000"/>
          <w:sz w:val="20"/>
          <w:szCs w:val="20"/>
        </w:rPr>
        <w:t xml:space="preserve">does </w:t>
      </w:r>
      <w:r>
        <w:rPr>
          <w:rFonts w:ascii="Times New Roman" w:eastAsia="Times New Roman" w:hAnsi="Times New Roman" w:cs="Times New Roman"/>
          <w:color w:val="FF0000"/>
          <w:sz w:val="20"/>
          <w:szCs w:val="20"/>
        </w:rPr>
        <w:t xml:space="preserve">sever) </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Ark Land Co. v. Harper</w:t>
      </w:r>
      <w:r>
        <w:rPr>
          <w:rFonts w:ascii="Times New Roman" w:eastAsia="Times New Roman" w:hAnsi="Times New Roman" w:cs="Times New Roman"/>
          <w:color w:val="FF0000"/>
          <w:sz w:val="20"/>
          <w:szCs w:val="20"/>
          <w:shd w:val="clear" w:color="auto" w:fill="FFF2CC"/>
        </w:rPr>
        <w:t xml:space="preserve"> (Supreme Court of Appeals of West Virginia, 2004)</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Partition judgment</w:t>
      </w:r>
      <w:r>
        <w:rPr>
          <w:rFonts w:ascii="Times New Roman" w:eastAsia="Times New Roman" w:hAnsi="Times New Roman" w:cs="Times New Roman"/>
          <w:sz w:val="20"/>
          <w:szCs w:val="20"/>
        </w:rPr>
        <w:t xml:space="preserve"> – ends the cotenancy and distributes its assets; any tenant in common or joint tenant has the right to sue for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Partition in co-ownership (American preference for severalty, may want to split of co-ownership) – a partition judgment ends the cotenancy and </w:t>
      </w:r>
      <w:r>
        <w:rPr>
          <w:rFonts w:ascii="Times New Roman" w:eastAsia="Times New Roman" w:hAnsi="Times New Roman" w:cs="Times New Roman"/>
          <w:color w:val="FF0000"/>
          <w:sz w:val="20"/>
          <w:szCs w:val="20"/>
        </w:rPr>
        <w:t>distributes its assets (American preference for partition)</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Partition by Kind – physical division of the i.e. land/realty (may require court to do a little bit more, i.e. draw the lines)</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Partition by Sale – holding an auction to sell and proceeds divided</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w:t>
      </w:r>
      <w:r>
        <w:rPr>
          <w:rFonts w:ascii="Times New Roman" w:eastAsia="Times New Roman" w:hAnsi="Times New Roman" w:cs="Times New Roman"/>
          <w:color w:val="FF0000"/>
          <w:sz w:val="20"/>
          <w:szCs w:val="20"/>
        </w:rPr>
        <w:t xml:space="preserve"> Longtime family ownership and coal mining co. (buying out portions of the property – about ⅓ of the family doesn’t want to sell, ⅔ does)</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Ark Land didn’t have the power to condemn (like some utilities do)</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(Ark Land): Petition for partition in sale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P</w:t>
      </w:r>
      <w:r>
        <w:rPr>
          <w:rFonts w:ascii="Times New Roman" w:eastAsia="Times New Roman" w:hAnsi="Times New Roman" w:cs="Times New Roman"/>
          <w:color w:val="FF0000"/>
          <w:sz w:val="20"/>
          <w:szCs w:val="20"/>
        </w:rPr>
        <w:t>etition for partition in kind</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Want to terminate joint tenancy, but how? (kind or sale)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Partition by sale, heirs (Δ) appeal</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Longstanding ownership value (emotion, sentiment) should be considered with economic value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Find for the heirs and partit</w:t>
      </w:r>
      <w:r>
        <w:rPr>
          <w:rFonts w:ascii="Times New Roman" w:eastAsia="Times New Roman" w:hAnsi="Times New Roman" w:cs="Times New Roman"/>
          <w:color w:val="FF0000"/>
          <w:sz w:val="20"/>
          <w:szCs w:val="20"/>
        </w:rPr>
        <w:t xml:space="preserve">ion in kind </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Econ values should not be the exclusive test, partition in kind should be favored</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(Standard of proof that must be established to overcome the presumption of partition in kind): A party desiring to compel partition through sa</w:t>
      </w:r>
      <w:r>
        <w:rPr>
          <w:rFonts w:ascii="Times New Roman" w:eastAsia="Times New Roman" w:hAnsi="Times New Roman" w:cs="Times New Roman"/>
          <w:color w:val="FF0000"/>
          <w:sz w:val="20"/>
          <w:szCs w:val="20"/>
        </w:rPr>
        <w:t>le is required to demonstrate that (1) property cannot be conveniently partitioned in kind, (2) that the interests of one or more of the parties will be promoted by the sale, and (3) that the interests of the other parties will not be prejudiced by the sal</w:t>
      </w:r>
      <w:r>
        <w:rPr>
          <w:rFonts w:ascii="Times New Roman" w:eastAsia="Times New Roman" w:hAnsi="Times New Roman" w:cs="Times New Roman"/>
          <w:color w:val="FF0000"/>
          <w:sz w:val="20"/>
          <w:szCs w:val="20"/>
        </w:rPr>
        <w:t>e (</w:t>
      </w:r>
      <w:r>
        <w:rPr>
          <w:rFonts w:ascii="Times New Roman" w:eastAsia="Times New Roman" w:hAnsi="Times New Roman" w:cs="Times New Roman"/>
          <w:color w:val="FF0000"/>
          <w:sz w:val="20"/>
          <w:szCs w:val="20"/>
          <w:u w:val="single"/>
        </w:rPr>
        <w:t>#3 at issue here</w:t>
      </w:r>
      <w:r>
        <w:rPr>
          <w:rFonts w:ascii="Times New Roman" w:eastAsia="Times New Roman" w:hAnsi="Times New Roman" w:cs="Times New Roman"/>
          <w:color w:val="FF0000"/>
          <w:sz w:val="20"/>
          <w:szCs w:val="20"/>
        </w:rPr>
        <w:t xml:space="preserve">)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Interests of society promoted? (PH, D – i.e. employment of miners)</w:t>
      </w:r>
    </w:p>
    <w:p w:rsidR="00E46D95" w:rsidRDefault="006F495B">
      <w:pPr>
        <w:ind w:left="144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If can show prejudice (and non-econ prejudice), partition in sale can be challenged</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Cases: </w:t>
      </w:r>
      <w:r>
        <w:rPr>
          <w:rFonts w:ascii="Times New Roman" w:eastAsia="Times New Roman" w:hAnsi="Times New Roman" w:cs="Times New Roman"/>
          <w:i/>
          <w:color w:val="FF0000"/>
          <w:sz w:val="20"/>
          <w:szCs w:val="20"/>
        </w:rPr>
        <w:t>Johnson v. Hendrickson</w:t>
      </w:r>
      <w:r>
        <w:rPr>
          <w:rFonts w:ascii="Times New Roman" w:eastAsia="Times New Roman" w:hAnsi="Times New Roman" w:cs="Times New Roman"/>
          <w:color w:val="FF0000"/>
          <w:sz w:val="20"/>
          <w:szCs w:val="20"/>
        </w:rPr>
        <w:t xml:space="preserve"> (pg. 401; not marketable to split up ⅓ - ⅔...), </w:t>
      </w:r>
      <w:r>
        <w:rPr>
          <w:rFonts w:ascii="Times New Roman" w:eastAsia="Times New Roman" w:hAnsi="Times New Roman" w:cs="Times New Roman"/>
          <w:i/>
          <w:color w:val="FF0000"/>
          <w:sz w:val="20"/>
          <w:szCs w:val="20"/>
        </w:rPr>
        <w:t xml:space="preserve">Delfino v. Vealencis </w:t>
      </w:r>
      <w:r>
        <w:rPr>
          <w:rFonts w:ascii="Times New Roman" w:eastAsia="Times New Roman" w:hAnsi="Times New Roman" w:cs="Times New Roman"/>
          <w:color w:val="FF0000"/>
          <w:sz w:val="20"/>
          <w:szCs w:val="20"/>
        </w:rPr>
        <w:t xml:space="preserve">(pg. 398; sentimental value even stronger than Ark Land because living there and business there) </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Agreements not to partition – equivalent of restraining alienation (historically unfavor</w:t>
      </w:r>
      <w:r>
        <w:rPr>
          <w:rFonts w:ascii="Times New Roman" w:eastAsia="Times New Roman" w:hAnsi="Times New Roman" w:cs="Times New Roman"/>
          <w:color w:val="FF0000"/>
          <w:sz w:val="20"/>
          <w:szCs w:val="20"/>
        </w:rPr>
        <w:t xml:space="preserve">able social policy)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will be upheld if duration/specified purpose; an unrestricted agreement not to partition almost certainly unreasonable/unenforceable </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Esteves v. Esteves</w:t>
      </w:r>
      <w:r>
        <w:rPr>
          <w:rFonts w:ascii="Times New Roman" w:eastAsia="Times New Roman" w:hAnsi="Times New Roman" w:cs="Times New Roman"/>
          <w:color w:val="FF0000"/>
          <w:sz w:val="20"/>
          <w:szCs w:val="20"/>
          <w:shd w:val="clear" w:color="auto" w:fill="FFF2CC"/>
        </w:rPr>
        <w:t xml:space="preserve"> (Superior Court of New Jersey, 2001)</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All states have developed default rules that establish the rights and duties of cotenants for payment in case of rent and repairs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Maintenance costs, cotenancy not preferred because difficult to distinguish who has to pay what and why, </w:t>
      </w:r>
      <w:r>
        <w:rPr>
          <w:rFonts w:ascii="Times New Roman" w:eastAsia="Times New Roman" w:hAnsi="Times New Roman" w:cs="Times New Roman"/>
          <w:color w:val="FF0000"/>
          <w:sz w:val="20"/>
          <w:szCs w:val="20"/>
          <w:u w:val="single"/>
        </w:rPr>
        <w:t>rules</w:t>
      </w:r>
      <w:r>
        <w:rPr>
          <w:rFonts w:ascii="Times New Roman" w:eastAsia="Times New Roman" w:hAnsi="Times New Roman" w:cs="Times New Roman"/>
          <w:color w:val="FF0000"/>
          <w:sz w:val="20"/>
          <w:szCs w:val="20"/>
        </w:rPr>
        <w:t>:</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Costs involve</w:t>
      </w:r>
      <w:r>
        <w:rPr>
          <w:rFonts w:ascii="Times New Roman" w:eastAsia="Times New Roman" w:hAnsi="Times New Roman" w:cs="Times New Roman"/>
          <w:color w:val="FF0000"/>
          <w:sz w:val="20"/>
          <w:szCs w:val="20"/>
        </w:rPr>
        <w:t>d in retaining title to estate (mortgage, taxes, HOA fees, etc.) – both owners liable for (equally shared)</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Repairs – an occupying cotenant that pays more than her share of repairs has a right to recoup those excess repair costs upon partition (eventually s</w:t>
      </w:r>
      <w:r>
        <w:rPr>
          <w:rFonts w:ascii="Times New Roman" w:eastAsia="Times New Roman" w:hAnsi="Times New Roman" w:cs="Times New Roman"/>
          <w:color w:val="FF0000"/>
          <w:sz w:val="20"/>
          <w:szCs w:val="20"/>
        </w:rPr>
        <w:t>he’ll get paid and should keep track of receipts), but no right to be comped immediately</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Improvements (difference between repairs/improvements unclear) – no right of costs to be recouped like repairs (so difference between repair/improvement can be importa</w:t>
      </w:r>
      <w:r>
        <w:rPr>
          <w:rFonts w:ascii="Times New Roman" w:eastAsia="Times New Roman" w:hAnsi="Times New Roman" w:cs="Times New Roman"/>
          <w:color w:val="FF0000"/>
          <w:sz w:val="20"/>
          <w:szCs w:val="20"/>
        </w:rPr>
        <w:t xml:space="preserve">nt) </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Non-occupying tenant can’t charge co-tenant for rent because doing as deed(?) allows (rent isn’t chargeable, here is an exception)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House already sold, proceeds being portioned between parties; parents and son purchased together, parents incurred mo</w:t>
      </w:r>
      <w:r>
        <w:rPr>
          <w:rFonts w:ascii="Times New Roman" w:eastAsia="Times New Roman" w:hAnsi="Times New Roman" w:cs="Times New Roman"/>
          <w:color w:val="FF0000"/>
          <w:sz w:val="20"/>
          <w:szCs w:val="20"/>
        </w:rPr>
        <w:t>rtgage payments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Want $ to recoup mortgage payments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Not occupying, their expense/responsibility since they were occupying; saying entitled to not pay because didn’t live there (his defense is based on a set-off – argues he never possessed; can’t char</w:t>
      </w:r>
      <w:r>
        <w:rPr>
          <w:rFonts w:ascii="Times New Roman" w:eastAsia="Times New Roman" w:hAnsi="Times New Roman" w:cs="Times New Roman"/>
          <w:color w:val="FF0000"/>
          <w:sz w:val="20"/>
          <w:szCs w:val="20"/>
        </w:rPr>
        <w:t>ge rent but can get a credit)</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(on rent): Can’t charge rent to parents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Could get a credit (unusual case – given credit that can’t get affirmative relief for (used as defense to operating expenses))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 and remanded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Straw Person – in jurisdictions that still retain the common law requirements of the four unities, to create a JT in yourself must convey to a straw person who then conveys back to you and the person(s) you want to create a JT (satisfies the four unities r</w:t>
      </w:r>
      <w:r>
        <w:rPr>
          <w:rFonts w:ascii="Times New Roman" w:eastAsia="Times New Roman" w:hAnsi="Times New Roman" w:cs="Times New Roman"/>
          <w:color w:val="FF0000"/>
          <w:sz w:val="20"/>
          <w:szCs w:val="20"/>
        </w:rPr>
        <w:t>equirement) with (BUT many JDs have eliminated the need for a straw person); Can also destroy a JT through a straw person</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People like JTs because quick (i.e. don’t have to have a will probated)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Leases and mortgages as severances</w:t>
      </w:r>
    </w:p>
    <w:p w:rsidR="00E46D95" w:rsidRDefault="006F495B">
      <w:pPr>
        <w:numPr>
          <w:ilvl w:val="2"/>
          <w:numId w:val="1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Spiller v. Mackereth </w:t>
      </w:r>
      <w:r>
        <w:rPr>
          <w:rFonts w:ascii="Times New Roman" w:eastAsia="Times New Roman" w:hAnsi="Times New Roman" w:cs="Times New Roman"/>
          <w:color w:val="FF0000"/>
          <w:sz w:val="20"/>
          <w:szCs w:val="20"/>
        </w:rPr>
        <w:t>(pg. 4</w:t>
      </w:r>
      <w:r>
        <w:rPr>
          <w:rFonts w:ascii="Times New Roman" w:eastAsia="Times New Roman" w:hAnsi="Times New Roman" w:cs="Times New Roman"/>
          <w:color w:val="FF0000"/>
          <w:sz w:val="20"/>
          <w:szCs w:val="20"/>
        </w:rPr>
        <w:t xml:space="preserve">06)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“Ouster” = when a cotenant in possession refuses to allow another cotenant to occupy the property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When non-occupying cotenant not allowed her right to possession, then ouster and may charge rent (</w:t>
      </w:r>
      <w:r>
        <w:rPr>
          <w:rFonts w:ascii="Times New Roman" w:eastAsia="Times New Roman" w:hAnsi="Times New Roman" w:cs="Times New Roman"/>
          <w:color w:val="FF0000"/>
          <w:sz w:val="20"/>
          <w:szCs w:val="20"/>
          <w:u w:val="single"/>
        </w:rPr>
        <w:t>when unable to occupy the property as a whole (right) t</w:t>
      </w:r>
      <w:r>
        <w:rPr>
          <w:rFonts w:ascii="Times New Roman" w:eastAsia="Times New Roman" w:hAnsi="Times New Roman" w:cs="Times New Roman"/>
          <w:color w:val="FF0000"/>
          <w:sz w:val="20"/>
          <w:szCs w:val="20"/>
          <w:u w:val="single"/>
        </w:rPr>
        <w:t>hen right to charge rent</w:t>
      </w:r>
      <w:r>
        <w:rPr>
          <w:rFonts w:ascii="Times New Roman" w:eastAsia="Times New Roman" w:hAnsi="Times New Roman" w:cs="Times New Roman"/>
          <w:color w:val="FF0000"/>
          <w:sz w:val="20"/>
          <w:szCs w:val="20"/>
        </w:rPr>
        <w:t>)</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occupying cotenant may become adverse possessor (but would also need something more?)</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Rents and Profits (pg. 406) – all profits, including 3rd party rents, divided equally among cotenants (pretty universal);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sharing costs</w:t>
      </w:r>
      <w:r>
        <w:rPr>
          <w:rFonts w:ascii="Times New Roman" w:eastAsia="Times New Roman" w:hAnsi="Times New Roman" w:cs="Times New Roman"/>
          <w:color w:val="FF0000"/>
          <w:sz w:val="20"/>
          <w:szCs w:val="20"/>
        </w:rPr>
        <w:t xml:space="preserve"> more complicated (repairs – accountable at the end v. improvements – no accountable, partition?)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Taxes, HOA fees, etc. all accountable immediately, don’t have to wait for a partition(?)</w:t>
      </w:r>
    </w:p>
    <w:p w:rsidR="00E46D95" w:rsidRDefault="006F495B">
      <w:pPr>
        <w:numPr>
          <w:ilvl w:val="2"/>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Tenancy by the Entirety </w:t>
      </w:r>
      <w:r>
        <w:rPr>
          <w:rFonts w:ascii="Times New Roman" w:eastAsia="Times New Roman" w:hAnsi="Times New Roman" w:cs="Times New Roman"/>
          <w:sz w:val="20"/>
          <w:szCs w:val="20"/>
        </w:rPr>
        <w:t>– only married couples can hold property in t</w:t>
      </w:r>
      <w:r>
        <w:rPr>
          <w:rFonts w:ascii="Times New Roman" w:eastAsia="Times New Roman" w:hAnsi="Times New Roman" w:cs="Times New Roman"/>
          <w:sz w:val="20"/>
          <w:szCs w:val="20"/>
        </w:rPr>
        <w:t>enancy by the entirety; like joint tenants, each tenant by the entirety has the right to use and possess the whole property and a right of survivorship</w:t>
      </w:r>
      <w:r>
        <w:rPr>
          <w:rFonts w:ascii="Times New Roman" w:eastAsia="Times New Roman" w:hAnsi="Times New Roman" w:cs="Times New Roman"/>
          <w:i/>
          <w:sz w:val="20"/>
          <w:szCs w:val="20"/>
        </w:rPr>
        <w:t xml:space="preserve"> but </w:t>
      </w:r>
      <w:r>
        <w:rPr>
          <w:rFonts w:ascii="Times New Roman" w:eastAsia="Times New Roman" w:hAnsi="Times New Roman" w:cs="Times New Roman"/>
          <w:sz w:val="20"/>
          <w:szCs w:val="20"/>
        </w:rPr>
        <w:t>a tenancy in common can only be ended by death, divorce, or the agreement of both spouses (cannot be</w:t>
      </w:r>
      <w:r>
        <w:rPr>
          <w:rFonts w:ascii="Times New Roman" w:eastAsia="Times New Roman" w:hAnsi="Times New Roman" w:cs="Times New Roman"/>
          <w:sz w:val="20"/>
          <w:szCs w:val="20"/>
        </w:rPr>
        <w:t xml:space="preserve"> unilaterally severed by either tenant like in joint tenancy); in most states that recognize this co-tenancy, neither spouse may transfer or encumber his or her interest</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Preferred Language for Creation</w:t>
      </w:r>
      <w:r>
        <w:rPr>
          <w:rFonts w:ascii="Times New Roman" w:eastAsia="Times New Roman" w:hAnsi="Times New Roman" w:cs="Times New Roman"/>
          <w:sz w:val="20"/>
          <w:szCs w:val="20"/>
        </w:rPr>
        <w:t>: E.g. O conveys Greenacre “to A and B as husband and wife as tenants by the entirety”</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Many think of this tenancy as a </w:t>
      </w:r>
      <w:r>
        <w:rPr>
          <w:rFonts w:ascii="Times New Roman" w:eastAsia="Times New Roman" w:hAnsi="Times New Roman" w:cs="Times New Roman"/>
          <w:i/>
          <w:sz w:val="20"/>
          <w:szCs w:val="20"/>
        </w:rPr>
        <w:t>joint tenancy</w:t>
      </w:r>
      <w:r>
        <w:rPr>
          <w:rFonts w:ascii="Times New Roman" w:eastAsia="Times New Roman" w:hAnsi="Times New Roman" w:cs="Times New Roman"/>
          <w:sz w:val="20"/>
          <w:szCs w:val="20"/>
        </w:rPr>
        <w:t xml:space="preserve"> with a fifth unity, (5) the unity of marriage </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Principal benefit: In many jurisdictions it allows the holders to partially </w:t>
      </w:r>
      <w:r>
        <w:rPr>
          <w:rFonts w:ascii="Times New Roman" w:eastAsia="Times New Roman" w:hAnsi="Times New Roman" w:cs="Times New Roman"/>
          <w:sz w:val="20"/>
          <w:szCs w:val="20"/>
        </w:rPr>
        <w:t xml:space="preserve">shield their assets from creditors </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Tenancy in Partnership</w:t>
      </w:r>
      <w:r>
        <w:rPr>
          <w:rFonts w:ascii="Times New Roman" w:eastAsia="Times New Roman" w:hAnsi="Times New Roman" w:cs="Times New Roman"/>
          <w:sz w:val="20"/>
          <w:szCs w:val="20"/>
        </w:rPr>
        <w:t>] – cotenancy used by individuals who want to jointly own and manage a business; many common law rules governing partnerships have been replaced by provisions of statute, e.g. the Uniform Partnersh</w:t>
      </w:r>
      <w:r>
        <w:rPr>
          <w:rFonts w:ascii="Times New Roman" w:eastAsia="Times New Roman" w:hAnsi="Times New Roman" w:cs="Times New Roman"/>
          <w:sz w:val="20"/>
          <w:szCs w:val="20"/>
        </w:rPr>
        <w:t>ip Act and other state statutes</w:t>
      </w:r>
    </w:p>
    <w:p w:rsidR="00E46D95" w:rsidRDefault="006F495B">
      <w:pPr>
        <w:numPr>
          <w:ilvl w:val="0"/>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Marital Property</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Traditional common law approach to marital property – virtually extinct in the US; under this doctrine, upon marriage (wife’s status changed from </w:t>
      </w:r>
      <w:r>
        <w:rPr>
          <w:rFonts w:ascii="Times New Roman" w:eastAsia="Times New Roman" w:hAnsi="Times New Roman" w:cs="Times New Roman"/>
          <w:i/>
          <w:sz w:val="20"/>
          <w:szCs w:val="20"/>
        </w:rPr>
        <w:t>feme sole</w:t>
      </w:r>
      <w:r>
        <w:rPr>
          <w:rFonts w:ascii="Times New Roman" w:eastAsia="Times New Roman" w:hAnsi="Times New Roman" w:cs="Times New Roman"/>
          <w:sz w:val="20"/>
          <w:szCs w:val="20"/>
        </w:rPr>
        <w:t xml:space="preserve">, a single woman who had the right to own property, to </w:t>
      </w:r>
      <w:r>
        <w:rPr>
          <w:rFonts w:ascii="Times New Roman" w:eastAsia="Times New Roman" w:hAnsi="Times New Roman" w:cs="Times New Roman"/>
          <w:i/>
          <w:sz w:val="20"/>
          <w:szCs w:val="20"/>
        </w:rPr>
        <w:t>feme covert</w:t>
      </w:r>
      <w:r>
        <w:rPr>
          <w:rFonts w:ascii="Times New Roman" w:eastAsia="Times New Roman" w:hAnsi="Times New Roman" w:cs="Times New Roman"/>
          <w:sz w:val="20"/>
          <w:szCs w:val="20"/>
        </w:rPr>
        <w:t>, a covered woman who had no legal rights distinct from those of her husband) a woman lost the ability to own, manage, and dispose of her property, except for her clothing and jewelry, givin</w:t>
      </w:r>
      <w:r>
        <w:rPr>
          <w:rFonts w:ascii="Times New Roman" w:eastAsia="Times New Roman" w:hAnsi="Times New Roman" w:cs="Times New Roman"/>
          <w:sz w:val="20"/>
          <w:szCs w:val="20"/>
        </w:rPr>
        <w:t xml:space="preserve">g the husband an estate </w:t>
      </w:r>
      <w:r>
        <w:rPr>
          <w:rFonts w:ascii="Times New Roman" w:eastAsia="Times New Roman" w:hAnsi="Times New Roman" w:cs="Times New Roman"/>
          <w:i/>
          <w:sz w:val="20"/>
          <w:szCs w:val="20"/>
        </w:rPr>
        <w:t>jure uxoris</w:t>
      </w:r>
      <w:r>
        <w:rPr>
          <w:rFonts w:ascii="Times New Roman" w:eastAsia="Times New Roman" w:hAnsi="Times New Roman" w:cs="Times New Roman"/>
          <w:sz w:val="20"/>
          <w:szCs w:val="20"/>
        </w:rPr>
        <w:t xml:space="preserve"> in all of the wife’s lands; the husband would use, mortgage or sell his wife’s property and it could also be reached by his creditors, while his wife could not even enter into contracts or execute other legal documents</w:t>
      </w:r>
    </w:p>
    <w:p w:rsidR="00E46D95" w:rsidRDefault="006F495B">
      <w:pPr>
        <w:numPr>
          <w:ilvl w:val="2"/>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w:t>
      </w:r>
      <w:r>
        <w:rPr>
          <w:rFonts w:ascii="Times New Roman" w:eastAsia="Times New Roman" w:hAnsi="Times New Roman" w:cs="Times New Roman"/>
          <w:i/>
          <w:sz w:val="20"/>
          <w:szCs w:val="20"/>
        </w:rPr>
        <w:t>ower</w:t>
      </w:r>
      <w:r>
        <w:rPr>
          <w:rFonts w:ascii="Times New Roman" w:eastAsia="Times New Roman" w:hAnsi="Times New Roman" w:cs="Times New Roman"/>
          <w:sz w:val="20"/>
          <w:szCs w:val="20"/>
        </w:rPr>
        <w:t xml:space="preserve"> – a life estate in ⅓ of all the freehold land that was owned by her husband and inheritable by his issue, given to wife if the husband in a marriage died first; could not be cancelled during the marriage, remained “attached” to the property even if it</w:t>
      </w:r>
      <w:r>
        <w:rPr>
          <w:rFonts w:ascii="Times New Roman" w:eastAsia="Times New Roman" w:hAnsi="Times New Roman" w:cs="Times New Roman"/>
          <w:sz w:val="20"/>
          <w:szCs w:val="20"/>
        </w:rPr>
        <w:t xml:space="preserve"> was conveyed to a third party, unless she voluntarily released them</w:t>
      </w:r>
    </w:p>
    <w:p w:rsidR="00E46D95" w:rsidRDefault="006F495B">
      <w:pPr>
        <w:numPr>
          <w:ilvl w:val="3"/>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Arkansas, Kentucky, Michigan, and Ohio still recognize, though generally now applies to both spouses</w:t>
      </w:r>
    </w:p>
    <w:p w:rsidR="00E46D95" w:rsidRDefault="006F495B">
      <w:pPr>
        <w:numPr>
          <w:ilvl w:val="1"/>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Married Women’s Property Act</w:t>
      </w:r>
      <w:r>
        <w:rPr>
          <w:rFonts w:ascii="Times New Roman" w:eastAsia="Times New Roman" w:hAnsi="Times New Roman" w:cs="Times New Roman"/>
          <w:sz w:val="20"/>
          <w:szCs w:val="20"/>
        </w:rPr>
        <w:t xml:space="preserve"> – most states passed, provided a wife with the same right</w:t>
      </w:r>
      <w:r>
        <w:rPr>
          <w:rFonts w:ascii="Times New Roman" w:eastAsia="Times New Roman" w:hAnsi="Times New Roman" w:cs="Times New Roman"/>
          <w:sz w:val="20"/>
          <w:szCs w:val="20"/>
        </w:rPr>
        <w:t>s as a single woman to own, manage, and dispose of her property, also protected a wife’s property from the claims of her husband’s creditors</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While in theory both spouses now had equal property rights (each had complete control over their own property), the</w:t>
      </w:r>
      <w:r>
        <w:rPr>
          <w:rFonts w:ascii="Times New Roman" w:eastAsia="Times New Roman" w:hAnsi="Times New Roman" w:cs="Times New Roman"/>
          <w:sz w:val="20"/>
          <w:szCs w:val="20"/>
        </w:rPr>
        <w:t xml:space="preserve"> husband’s wages and assets purchased from them were considered to be his property; in an era when a wife rarely worked outside of the home, this approach effectively vested control of the family property in the husband</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Separate Property System</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Approach</w:t>
      </w:r>
      <w:r>
        <w:rPr>
          <w:rFonts w:ascii="Times New Roman" w:eastAsia="Times New Roman" w:hAnsi="Times New Roman" w:cs="Times New Roman"/>
          <w:sz w:val="20"/>
          <w:szCs w:val="20"/>
        </w:rPr>
        <w:t xml:space="preserve"> (m</w:t>
      </w:r>
      <w:r>
        <w:rPr>
          <w:rFonts w:ascii="Times New Roman" w:eastAsia="Times New Roman" w:hAnsi="Times New Roman" w:cs="Times New Roman"/>
          <w:sz w:val="20"/>
          <w:szCs w:val="20"/>
        </w:rPr>
        <w:t>ost states); three categories:</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 during Marriage</w:t>
      </w:r>
      <w:r>
        <w:rPr>
          <w:rFonts w:ascii="Times New Roman" w:eastAsia="Times New Roman" w:hAnsi="Times New Roman" w:cs="Times New Roman"/>
          <w:sz w:val="20"/>
          <w:szCs w:val="20"/>
        </w:rPr>
        <w:t xml:space="preserve"> – generally, property is separately owned by the spouse who acquires it; under this approach the creditors of a particular spouse can only attach the separate property of that spouse; spouses could agre</w:t>
      </w:r>
      <w:r>
        <w:rPr>
          <w:rFonts w:ascii="Times New Roman" w:eastAsia="Times New Roman" w:hAnsi="Times New Roman" w:cs="Times New Roman"/>
          <w:sz w:val="20"/>
          <w:szCs w:val="20"/>
        </w:rPr>
        <w:t>e to hold property in a concurrent tenancy or one spouse might make a gift to the other</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 at Divorce</w:t>
      </w:r>
      <w:r>
        <w:rPr>
          <w:rFonts w:ascii="Times New Roman" w:eastAsia="Times New Roman" w:hAnsi="Times New Roman" w:cs="Times New Roman"/>
          <w:sz w:val="20"/>
          <w:szCs w:val="20"/>
        </w:rPr>
        <w:t xml:space="preserve"> – most separate property states mandate </w:t>
      </w:r>
      <w:r>
        <w:rPr>
          <w:rFonts w:ascii="Times New Roman" w:eastAsia="Times New Roman" w:hAnsi="Times New Roman" w:cs="Times New Roman"/>
          <w:i/>
          <w:sz w:val="20"/>
          <w:szCs w:val="20"/>
        </w:rPr>
        <w:t>equitable distribution</w:t>
      </w:r>
      <w:r>
        <w:rPr>
          <w:rFonts w:ascii="Times New Roman" w:eastAsia="Times New Roman" w:hAnsi="Times New Roman" w:cs="Times New Roman"/>
          <w:sz w:val="20"/>
          <w:szCs w:val="20"/>
        </w:rPr>
        <w:t xml:space="preserve"> of the property owned by each spouse</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Equitable Distribution</w:t>
      </w:r>
      <w:r>
        <w:rPr>
          <w:rFonts w:ascii="Times New Roman" w:eastAsia="Times New Roman" w:hAnsi="Times New Roman" w:cs="Times New Roman"/>
          <w:sz w:val="20"/>
          <w:szCs w:val="20"/>
        </w:rPr>
        <w:t xml:space="preserve"> – requires a court to divid</w:t>
      </w:r>
      <w:r>
        <w:rPr>
          <w:rFonts w:ascii="Times New Roman" w:eastAsia="Times New Roman" w:hAnsi="Times New Roman" w:cs="Times New Roman"/>
          <w:sz w:val="20"/>
          <w:szCs w:val="20"/>
        </w:rPr>
        <w:t>e the property in a just and fair manner, considering factors such as the spouses’ incomes, their standard of living, their contributions during marriage, their age and health, any special needs, and the length of the marriage; judge has broad discretion t</w:t>
      </w:r>
      <w:r>
        <w:rPr>
          <w:rFonts w:ascii="Times New Roman" w:eastAsia="Times New Roman" w:hAnsi="Times New Roman" w:cs="Times New Roman"/>
          <w:sz w:val="20"/>
          <w:szCs w:val="20"/>
        </w:rPr>
        <w:t>o decide how the property should be divided</w:t>
      </w:r>
    </w:p>
    <w:p w:rsidR="00E46D95" w:rsidRDefault="006F495B">
      <w:pPr>
        <w:numPr>
          <w:ilvl w:val="3"/>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“Property” subject to equitable distribution – usually defined as any property acquired with the earnings of either spouse during the marriage; few states also include property acquired before the marriage</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w:t>
      </w:r>
      <w:r>
        <w:rPr>
          <w:rFonts w:ascii="Times New Roman" w:eastAsia="Times New Roman" w:hAnsi="Times New Roman" w:cs="Times New Roman"/>
          <w:i/>
          <w:sz w:val="20"/>
          <w:szCs w:val="20"/>
        </w:rPr>
        <w:t xml:space="preserve"> at Death </w:t>
      </w:r>
      <w:r>
        <w:rPr>
          <w:rFonts w:ascii="Times New Roman" w:eastAsia="Times New Roman" w:hAnsi="Times New Roman" w:cs="Times New Roman"/>
          <w:sz w:val="20"/>
          <w:szCs w:val="20"/>
        </w:rPr>
        <w:t xml:space="preserve">– most states offer the surviving spouse a </w:t>
      </w:r>
      <w:r>
        <w:rPr>
          <w:rFonts w:ascii="Times New Roman" w:eastAsia="Times New Roman" w:hAnsi="Times New Roman" w:cs="Times New Roman"/>
          <w:i/>
          <w:sz w:val="20"/>
          <w:szCs w:val="20"/>
        </w:rPr>
        <w:t>forced share</w:t>
      </w:r>
      <w:r>
        <w:rPr>
          <w:rFonts w:ascii="Times New Roman" w:eastAsia="Times New Roman" w:hAnsi="Times New Roman" w:cs="Times New Roman"/>
          <w:sz w:val="20"/>
          <w:szCs w:val="20"/>
        </w:rPr>
        <w:t xml:space="preserve"> (or </w:t>
      </w:r>
      <w:r>
        <w:rPr>
          <w:rFonts w:ascii="Times New Roman" w:eastAsia="Times New Roman" w:hAnsi="Times New Roman" w:cs="Times New Roman"/>
          <w:i/>
          <w:sz w:val="20"/>
          <w:szCs w:val="20"/>
        </w:rPr>
        <w:t>elective share</w:t>
      </w:r>
      <w:r>
        <w:rPr>
          <w:rFonts w:ascii="Times New Roman" w:eastAsia="Times New Roman" w:hAnsi="Times New Roman" w:cs="Times New Roman"/>
          <w:sz w:val="20"/>
          <w:szCs w:val="20"/>
        </w:rPr>
        <w:t>) of the decedent’s estate</w:t>
      </w:r>
    </w:p>
    <w:p w:rsidR="00E46D95" w:rsidRDefault="006F495B">
      <w:pPr>
        <w:numPr>
          <w:ilvl w:val="3"/>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Forced share</w:t>
      </w:r>
      <w:r>
        <w:rPr>
          <w:rFonts w:ascii="Times New Roman" w:eastAsia="Times New Roman" w:hAnsi="Times New Roman" w:cs="Times New Roman"/>
          <w:sz w:val="20"/>
          <w:szCs w:val="20"/>
        </w:rPr>
        <w:t xml:space="preserve"> (or </w:t>
      </w:r>
      <w:r>
        <w:rPr>
          <w:rFonts w:ascii="Times New Roman" w:eastAsia="Times New Roman" w:hAnsi="Times New Roman" w:cs="Times New Roman"/>
          <w:i/>
          <w:sz w:val="20"/>
          <w:szCs w:val="20"/>
        </w:rPr>
        <w:t>elective share</w:t>
      </w:r>
      <w:r>
        <w:rPr>
          <w:rFonts w:ascii="Times New Roman" w:eastAsia="Times New Roman" w:hAnsi="Times New Roman" w:cs="Times New Roman"/>
          <w:sz w:val="20"/>
          <w:szCs w:val="20"/>
        </w:rPr>
        <w:t>) – the survivor has a choice to either (1) take under the decedent’s will or (2) receive a defined portion of the</w:t>
      </w:r>
      <w:r>
        <w:rPr>
          <w:rFonts w:ascii="Times New Roman" w:eastAsia="Times New Roman" w:hAnsi="Times New Roman" w:cs="Times New Roman"/>
          <w:sz w:val="20"/>
          <w:szCs w:val="20"/>
        </w:rPr>
        <w:t xml:space="preserve"> decedent’s estate, usually a ⅓ or ½ share; in most states, this forced share applies to gifts made for the purpose of intentionally avoiding the forced share by the dying spouse giving property away before death </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Community Property System</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Approach</w:t>
      </w:r>
      <w:r>
        <w:rPr>
          <w:rFonts w:ascii="Times New Roman" w:eastAsia="Times New Roman" w:hAnsi="Times New Roman" w:cs="Times New Roman"/>
          <w:sz w:val="20"/>
          <w:szCs w:val="20"/>
        </w:rPr>
        <w:t xml:space="preserve"> (nine s</w:t>
      </w:r>
      <w:r>
        <w:rPr>
          <w:rFonts w:ascii="Times New Roman" w:eastAsia="Times New Roman" w:hAnsi="Times New Roman" w:cs="Times New Roman"/>
          <w:sz w:val="20"/>
          <w:szCs w:val="20"/>
        </w:rPr>
        <w:t xml:space="preserve">tates: Arizona, California, Idaho, Louisiana, Nevada, New Mexico, Texas, Washington, and Wisconsin; arguably Alaska and Tennessee, in both given </w:t>
      </w:r>
      <w:r>
        <w:rPr>
          <w:rFonts w:ascii="Times New Roman" w:eastAsia="Times New Roman" w:hAnsi="Times New Roman" w:cs="Times New Roman"/>
          <w:i/>
          <w:sz w:val="20"/>
          <w:szCs w:val="20"/>
        </w:rPr>
        <w:t>option</w:t>
      </w:r>
      <w:r>
        <w:rPr>
          <w:rFonts w:ascii="Times New Roman" w:eastAsia="Times New Roman" w:hAnsi="Times New Roman" w:cs="Times New Roman"/>
          <w:sz w:val="20"/>
          <w:szCs w:val="20"/>
        </w:rPr>
        <w:t xml:space="preserve"> of holding their assets as community property); three categories:</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 during Marriage</w:t>
      </w:r>
      <w:r>
        <w:rPr>
          <w:rFonts w:ascii="Times New Roman" w:eastAsia="Times New Roman" w:hAnsi="Times New Roman" w:cs="Times New Roman"/>
          <w:sz w:val="20"/>
          <w:szCs w:val="20"/>
        </w:rPr>
        <w:t xml:space="preserve"> – all earnings during marriage and assets acquired from those earnings are owned by both spouses equally, based on the concept that both spouses contribute equally to the marriage (marriage is a partnership, the spouse who works inside the home contribute</w:t>
      </w:r>
      <w:r>
        <w:rPr>
          <w:rFonts w:ascii="Times New Roman" w:eastAsia="Times New Roman" w:hAnsi="Times New Roman" w:cs="Times New Roman"/>
          <w:sz w:val="20"/>
          <w:szCs w:val="20"/>
        </w:rPr>
        <w:t>s as much as the spouse who works outside the home); each spouse holds an equal, undivided share in the community property, although neither can transfer that share to a third party; neither party has a right of survivorship (v. joint tenancy or tenancy in</w:t>
      </w:r>
      <w:r>
        <w:rPr>
          <w:rFonts w:ascii="Times New Roman" w:eastAsia="Times New Roman" w:hAnsi="Times New Roman" w:cs="Times New Roman"/>
          <w:sz w:val="20"/>
          <w:szCs w:val="20"/>
        </w:rPr>
        <w:t xml:space="preserve"> the entirety); property acquired before or after marriage by gift or inheritance remains the separate property of the individual spouse</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 at Divorce</w:t>
      </w:r>
      <w:r>
        <w:rPr>
          <w:rFonts w:ascii="Times New Roman" w:eastAsia="Times New Roman" w:hAnsi="Times New Roman" w:cs="Times New Roman"/>
          <w:sz w:val="20"/>
          <w:szCs w:val="20"/>
        </w:rPr>
        <w:t xml:space="preserve"> – all community property divided between the spouses; in some states, each receives an equal share; i</w:t>
      </w:r>
      <w:r>
        <w:rPr>
          <w:rFonts w:ascii="Times New Roman" w:eastAsia="Times New Roman" w:hAnsi="Times New Roman" w:cs="Times New Roman"/>
          <w:sz w:val="20"/>
          <w:szCs w:val="20"/>
        </w:rPr>
        <w:t>n others, the assets are allocated using equitable distribution factors ^</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Rights at Death</w:t>
      </w:r>
      <w:r>
        <w:rPr>
          <w:rFonts w:ascii="Times New Roman" w:eastAsia="Times New Roman" w:hAnsi="Times New Roman" w:cs="Times New Roman"/>
          <w:sz w:val="20"/>
          <w:szCs w:val="20"/>
        </w:rPr>
        <w:t xml:space="preserve"> – no forced share to the survivor, instead the decedent may devise her half of the community property and all her separate property as she desires, the other half of </w:t>
      </w:r>
      <w:r>
        <w:rPr>
          <w:rFonts w:ascii="Times New Roman" w:eastAsia="Times New Roman" w:hAnsi="Times New Roman" w:cs="Times New Roman"/>
          <w:sz w:val="20"/>
          <w:szCs w:val="20"/>
        </w:rPr>
        <w:t>the community property belongs to the surviving spouse</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Tenancy by the Entirety</w:t>
      </w:r>
      <w:r>
        <w:rPr>
          <w:rFonts w:ascii="Times New Roman" w:eastAsia="Times New Roman" w:hAnsi="Times New Roman" w:cs="Times New Roman"/>
          <w:sz w:val="20"/>
          <w:szCs w:val="20"/>
        </w:rPr>
        <w:t xml:space="preserve"> – today only half of the states recognize this co-tenancy; where still permitted, may offer significant protection from creditors</w:t>
      </w:r>
    </w:p>
    <w:p w:rsidR="00E46D95" w:rsidRDefault="006F495B">
      <w:pPr>
        <w:numPr>
          <w:ilvl w:val="2"/>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Fraudulent Conveyance</w:t>
      </w:r>
      <w:r>
        <w:rPr>
          <w:rFonts w:ascii="Times New Roman" w:eastAsia="Times New Roman" w:hAnsi="Times New Roman" w:cs="Times New Roman"/>
          <w:sz w:val="20"/>
          <w:szCs w:val="20"/>
        </w:rPr>
        <w:t xml:space="preserve"> – one made for the purpos</w:t>
      </w:r>
      <w:r>
        <w:rPr>
          <w:rFonts w:ascii="Times New Roman" w:eastAsia="Times New Roman" w:hAnsi="Times New Roman" w:cs="Times New Roman"/>
          <w:sz w:val="20"/>
          <w:szCs w:val="20"/>
        </w:rPr>
        <w:t>e of avoiding a judgment, which judgment creditors may set aside</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Sawada v. Endo</w:t>
      </w:r>
      <w:r>
        <w:rPr>
          <w:rFonts w:ascii="Times New Roman" w:eastAsia="Times New Roman" w:hAnsi="Times New Roman" w:cs="Times New Roman"/>
          <w:color w:val="FF0000"/>
          <w:sz w:val="20"/>
          <w:szCs w:val="20"/>
          <w:shd w:val="clear" w:color="auto" w:fill="FFF2CC"/>
        </w:rPr>
        <w:t xml:space="preserve"> (Supreme Court of Hawai’i, 1977)</w:t>
      </w:r>
      <w:r>
        <w:rPr>
          <w:rFonts w:ascii="Times New Roman" w:eastAsia="Times New Roman" w:hAnsi="Times New Roman" w:cs="Times New Roman"/>
          <w:color w:val="FF0000"/>
          <w:sz w:val="20"/>
          <w:szCs w:val="20"/>
        </w:rPr>
        <w:t xml:space="preserve"> – </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Court surveys various states’ approach to MWPA and its effect on tenancy in the entirety</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D husband crashed into P (being sued in civil ac</w:t>
      </w:r>
      <w:r>
        <w:rPr>
          <w:rFonts w:ascii="Times New Roman" w:eastAsia="Times New Roman" w:hAnsi="Times New Roman" w:cs="Times New Roman"/>
          <w:color w:val="FF0000"/>
          <w:sz w:val="20"/>
          <w:szCs w:val="20"/>
        </w:rPr>
        <w:t>t/tort), husband and wife conveyed their home to their son(s), paper transaction as parents remain in home</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Conveyance fraudulent? (Ps want to set aside the conveyance)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Husband is debtor due to crash (and wife isn’t); statute doesn’t say anything about d</w:t>
      </w:r>
      <w:r>
        <w:rPr>
          <w:rFonts w:ascii="Times New Roman" w:eastAsia="Times New Roman" w:hAnsi="Times New Roman" w:cs="Times New Roman"/>
          <w:color w:val="FF0000"/>
          <w:sz w:val="20"/>
          <w:szCs w:val="20"/>
        </w:rPr>
        <w:t xml:space="preserve">ebtors/creditors, just that TbtE are equals </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four groups:</w:t>
      </w:r>
    </w:p>
    <w:p w:rsidR="00E46D95" w:rsidRDefault="006F495B">
      <w:pPr>
        <w:numPr>
          <w:ilvl w:val="3"/>
          <w:numId w:val="10"/>
        </w:numPr>
        <w:contextualSpacing/>
        <w:rPr>
          <w:rFonts w:ascii="Times New Roman" w:eastAsia="Times New Roman" w:hAnsi="Times New Roman" w:cs="Times New Roman"/>
          <w:strike/>
          <w:color w:val="FF0000"/>
          <w:sz w:val="20"/>
          <w:szCs w:val="20"/>
        </w:rPr>
      </w:pPr>
      <w:r>
        <w:rPr>
          <w:rFonts w:ascii="Times New Roman" w:eastAsia="Times New Roman" w:hAnsi="Times New Roman" w:cs="Times New Roman"/>
          <w:strike/>
          <w:color w:val="FF0000"/>
          <w:sz w:val="20"/>
          <w:szCs w:val="20"/>
        </w:rPr>
        <w:t>Group I: Irrelevant today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Group II: the estate may be sold or levied upon for his or her separate debts, subject to the other spouse’s contingent right of survivorship (right of survivorship preserved) (includes OR)</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Can attach anything but right of survivorship (</w:t>
      </w:r>
      <w:r>
        <w:rPr>
          <w:rFonts w:ascii="Times New Roman" w:eastAsia="Times New Roman" w:hAnsi="Times New Roman" w:cs="Times New Roman"/>
          <w:color w:val="FF0000"/>
          <w:sz w:val="20"/>
          <w:szCs w:val="20"/>
          <w:u w:val="single"/>
        </w:rPr>
        <w:t>problematic because</w:t>
      </w:r>
      <w:r>
        <w:rPr>
          <w:rFonts w:ascii="Times New Roman" w:eastAsia="Times New Roman" w:hAnsi="Times New Roman" w:cs="Times New Roman"/>
          <w:color w:val="FF0000"/>
          <w:sz w:val="20"/>
          <w:szCs w:val="20"/>
        </w:rPr>
        <w:t xml:space="preserve"> can attach spouse’s present estate – </w:t>
      </w:r>
      <w:r>
        <w:rPr>
          <w:rFonts w:ascii="Times New Roman" w:eastAsia="Times New Roman" w:hAnsi="Times New Roman" w:cs="Times New Roman"/>
          <w:color w:val="FF0000"/>
          <w:sz w:val="20"/>
          <w:szCs w:val="20"/>
          <w:u w:val="single"/>
        </w:rPr>
        <w:t>doesn’t preserve innocent party’s present interest</w:t>
      </w:r>
      <w:r>
        <w:rPr>
          <w:rFonts w:ascii="Times New Roman" w:eastAsia="Times New Roman" w:hAnsi="Times New Roman" w:cs="Times New Roman"/>
          <w:color w:val="FF0000"/>
          <w:sz w:val="20"/>
          <w:szCs w:val="20"/>
        </w:rPr>
        <w:t>)</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OR has imposed limits i.e. on homes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Group III</w:t>
      </w:r>
      <w:r>
        <w:rPr>
          <w:rFonts w:ascii="Times New Roman" w:eastAsia="Times New Roman" w:hAnsi="Times New Roman" w:cs="Times New Roman"/>
          <w:color w:val="FF0000"/>
          <w:sz w:val="20"/>
          <w:szCs w:val="20"/>
        </w:rPr>
        <w:t>: Individual conveyance wholly void and the estate may not be subjected to the separate debts of one spouse only (inalien</w:t>
      </w:r>
      <w:r>
        <w:rPr>
          <w:rFonts w:ascii="Times New Roman" w:eastAsia="Times New Roman" w:hAnsi="Times New Roman" w:cs="Times New Roman"/>
          <w:color w:val="FF0000"/>
          <w:sz w:val="20"/>
          <w:szCs w:val="20"/>
        </w:rPr>
        <w:t>able and therefore creditors cannot attach)</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ab/>
        <w:t>→ Selected as rule to adopt by the court (H)</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Group IV: Contingent right of survivorship appertaining to either spouse is separately alienable by him and attachable by his credits during the marriage, use and pro</w:t>
      </w:r>
      <w:r>
        <w:rPr>
          <w:rFonts w:ascii="Times New Roman" w:eastAsia="Times New Roman" w:hAnsi="Times New Roman" w:cs="Times New Roman"/>
          <w:color w:val="FF0000"/>
          <w:sz w:val="20"/>
          <w:szCs w:val="20"/>
        </w:rPr>
        <w:t>fits however may neither be alienated nor attached during coverture (only RoS alienable?)</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Can attach only right of survivorship</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fraud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If going to extend a loan to somebody, [bank] must do research to determine that tenancy by the entirety – if dis</w:t>
      </w:r>
      <w:r>
        <w:rPr>
          <w:rFonts w:ascii="Times New Roman" w:eastAsia="Times New Roman" w:hAnsi="Times New Roman" w:cs="Times New Roman"/>
          <w:color w:val="FF0000"/>
          <w:sz w:val="20"/>
          <w:szCs w:val="20"/>
        </w:rPr>
        <w:t>covered that was, bank would want both parties to sign the loan (because otherwise could shield themselves)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Public policy should favor family (family solidarity) &gt; creditors; convenient mode of protecting a spouse from poor decisionmaking by the other spou</w:t>
      </w:r>
      <w:r>
        <w:rPr>
          <w:rFonts w:ascii="Times New Roman" w:eastAsia="Times New Roman" w:hAnsi="Times New Roman" w:cs="Times New Roman"/>
          <w:color w:val="FF0000"/>
          <w:sz w:val="20"/>
          <w:szCs w:val="20"/>
        </w:rPr>
        <w:t xml:space="preserve">se; importance of real property to family and of obtaining a loan </w:t>
      </w:r>
    </w:p>
    <w:p w:rsidR="00E46D95" w:rsidRDefault="006F495B">
      <w:pPr>
        <w:numPr>
          <w:ilvl w:val="3"/>
          <w:numId w:val="1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problematic: TbtE </w:t>
      </w:r>
      <w:r>
        <w:rPr>
          <w:rFonts w:ascii="Times New Roman" w:eastAsia="Times New Roman" w:hAnsi="Times New Roman" w:cs="Times New Roman"/>
          <w:color w:val="FF0000"/>
          <w:sz w:val="20"/>
          <w:szCs w:val="20"/>
          <w:u w:val="single"/>
        </w:rPr>
        <w:t>not limited</w:t>
      </w:r>
      <w:r>
        <w:rPr>
          <w:rFonts w:ascii="Times New Roman" w:eastAsia="Times New Roman" w:hAnsi="Times New Roman" w:cs="Times New Roman"/>
          <w:color w:val="FF0000"/>
          <w:sz w:val="20"/>
          <w:szCs w:val="20"/>
        </w:rPr>
        <w:t xml:space="preserve"> to family homesteads, limited by marriage but could be luxury property, etc. (point of Group III is that inalienable)</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1"/>
          <w:numId w:val="1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United States v. Parcel o</w:t>
      </w:r>
      <w:r>
        <w:rPr>
          <w:rFonts w:ascii="Times New Roman" w:eastAsia="Times New Roman" w:hAnsi="Times New Roman" w:cs="Times New Roman"/>
          <w:i/>
          <w:color w:val="FF0000"/>
          <w:sz w:val="20"/>
          <w:szCs w:val="20"/>
        </w:rPr>
        <w:t>f Real Property Known as 1500 Lincoln Avenue</w:t>
      </w:r>
      <w:r>
        <w:rPr>
          <w:rFonts w:ascii="Times New Roman" w:eastAsia="Times New Roman" w:hAnsi="Times New Roman" w:cs="Times New Roman"/>
          <w:color w:val="FF0000"/>
          <w:sz w:val="20"/>
          <w:szCs w:val="20"/>
        </w:rPr>
        <w:t xml:space="preserve"> (pg. 418) – Group III state; then Judge Alito had to decide what means to have a Group III state in a federal JD </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Opted for a Group IV giving wife the Pharmacy and right of survivorship(?), husband in jail (p</w:t>
      </w:r>
      <w:r>
        <w:rPr>
          <w:rFonts w:ascii="Times New Roman" w:eastAsia="Times New Roman" w:hAnsi="Times New Roman" w:cs="Times New Roman"/>
          <w:color w:val="FF0000"/>
          <w:sz w:val="20"/>
          <w:szCs w:val="20"/>
        </w:rPr>
        <w:t>icked out “best rule”) and has been followed in many similar federal drug forfeiture cases (looks like the federal rule, not insignificant because many of these cases are drug forfeiture cases)</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Would have none of these if community property </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Defining Marital Property </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Guy v. Guy </w:t>
      </w:r>
      <w:r>
        <w:rPr>
          <w:rFonts w:ascii="Times New Roman" w:eastAsia="Times New Roman" w:hAnsi="Times New Roman" w:cs="Times New Roman"/>
          <w:color w:val="FF0000"/>
          <w:sz w:val="20"/>
          <w:szCs w:val="20"/>
          <w:shd w:val="clear" w:color="auto" w:fill="FFF2CC"/>
        </w:rPr>
        <w:t>(Supreme Court of Mississippi, 1999)</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Coupled married for three years while wife attended nursing school, divorced a few months after her graduating</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Is the graduate degree marital property subject to equitable </w:t>
      </w:r>
      <w:r>
        <w:rPr>
          <w:rFonts w:ascii="Times New Roman" w:eastAsia="Times New Roman" w:hAnsi="Times New Roman" w:cs="Times New Roman"/>
          <w:color w:val="FF0000"/>
          <w:sz w:val="20"/>
          <w:szCs w:val="20"/>
        </w:rPr>
        <w:t>division in a divorce?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Professional degrees are not marital property but supporting spouse may be entitled to lump sum alimony to replace any investment by him in the degree (should be equitable accommodations for supporting spouse)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R1: Doesn’t have the</w:t>
      </w:r>
      <w:r>
        <w:rPr>
          <w:rFonts w:ascii="Times New Roman" w:eastAsia="Times New Roman" w:hAnsi="Times New Roman" w:cs="Times New Roman"/>
          <w:color w:val="FF0000"/>
          <w:sz w:val="20"/>
          <w:szCs w:val="20"/>
        </w:rPr>
        <w:t xml:space="preserve"> sticks/qualities (i.e. transfer, develop) that most property have –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difficult to value because different people do different things with degrees </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Like most courts – marital property doesn’t include the enhanced earning capacity of a graduate degree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R2</w:t>
      </w:r>
      <w:r>
        <w:rPr>
          <w:rFonts w:ascii="Times New Roman" w:eastAsia="Times New Roman" w:hAnsi="Times New Roman" w:cs="Times New Roman"/>
          <w:color w:val="FF0000"/>
          <w:sz w:val="20"/>
          <w:szCs w:val="20"/>
        </w:rPr>
        <w:t>: Reimbursement alike repairs in general cotenancies (keep track of what spent, good records) – must easier for court to value, much more commonplace than having degree considered marital property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NY courts consider to be marital property)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 Reverse </w:t>
      </w:r>
      <w:r>
        <w:rPr>
          <w:rFonts w:ascii="Times New Roman" w:eastAsia="Times New Roman" w:hAnsi="Times New Roman" w:cs="Times New Roman"/>
          <w:color w:val="FF0000"/>
          <w:sz w:val="20"/>
          <w:szCs w:val="20"/>
        </w:rPr>
        <w:t>and remand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ORS 107-105 (in 1993) – OR change in denial of degree as marital property – OR will recognize degree marital property under certain circumstances (supporting spouse must establish that increased earning capacity substantially through contributio</w:t>
      </w:r>
      <w:r>
        <w:rPr>
          <w:rFonts w:ascii="Times New Roman" w:eastAsia="Times New Roman" w:hAnsi="Times New Roman" w:cs="Times New Roman"/>
          <w:color w:val="FF0000"/>
          <w:sz w:val="20"/>
          <w:szCs w:val="20"/>
        </w:rPr>
        <w:t>ns that were substantial not de minimis for a long duration), must be proved affirmatively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1996 OR Supreme Court case runs through evolution of this law in the state (</w:t>
      </w:r>
      <w:r>
        <w:rPr>
          <w:rFonts w:ascii="Times New Roman" w:eastAsia="Times New Roman" w:hAnsi="Times New Roman" w:cs="Times New Roman"/>
          <w:i/>
          <w:color w:val="FF0000"/>
          <w:sz w:val="20"/>
          <w:szCs w:val="20"/>
        </w:rPr>
        <w:t>Marriage of Denton</w:t>
      </w:r>
      <w:r>
        <w:rPr>
          <w:rFonts w:ascii="Times New Roman" w:eastAsia="Times New Roman" w:hAnsi="Times New Roman" w:cs="Times New Roman"/>
          <w:color w:val="FF0000"/>
          <w:sz w:val="20"/>
          <w:szCs w:val="20"/>
        </w:rPr>
        <w:t>)</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425, note e – may contract out of, enforceable if certain statutory conditions met  </w:t>
      </w:r>
    </w:p>
    <w:p w:rsidR="00E46D95" w:rsidRDefault="006F495B">
      <w:pPr>
        <w:numPr>
          <w:ilvl w:val="2"/>
          <w:numId w:val="1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Mace v. Mace</w:t>
      </w:r>
      <w:r>
        <w:rPr>
          <w:rFonts w:ascii="Cardo" w:eastAsia="Cardo" w:hAnsi="Cardo" w:cs="Cardo"/>
          <w:color w:val="FF0000"/>
          <w:sz w:val="20"/>
          <w:szCs w:val="20"/>
        </w:rPr>
        <w:t xml:space="preserve"> (pg. 425) – I: Whether income-producing enterprise made possible by professional degree is property subject to equitable division?; H: Practice as a busin</w:t>
      </w:r>
      <w:r>
        <w:rPr>
          <w:rFonts w:ascii="Cardo" w:eastAsia="Cardo" w:hAnsi="Cardo" w:cs="Cardo"/>
          <w:color w:val="FF0000"/>
          <w:sz w:val="20"/>
          <w:szCs w:val="20"/>
        </w:rPr>
        <w:t xml:space="preserve">ess subject to division (R: Easier to value) → understand </w:t>
      </w:r>
      <w:r>
        <w:rPr>
          <w:rFonts w:ascii="Times New Roman" w:eastAsia="Times New Roman" w:hAnsi="Times New Roman" w:cs="Times New Roman"/>
          <w:i/>
          <w:color w:val="FF0000"/>
          <w:sz w:val="20"/>
          <w:szCs w:val="20"/>
        </w:rPr>
        <w:t xml:space="preserve">Guy </w:t>
      </w:r>
      <w:r>
        <w:rPr>
          <w:rFonts w:ascii="Times New Roman" w:eastAsia="Times New Roman" w:hAnsi="Times New Roman" w:cs="Times New Roman"/>
          <w:color w:val="FF0000"/>
          <w:sz w:val="20"/>
          <w:szCs w:val="20"/>
        </w:rPr>
        <w:t>as a valuation issue</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Unmarried Couples – two cohabitants will not receive the same rights as married couples when the relationship ends, e.g. the surviving cohabitant cannot obtain equitable distribution nor is entitled to a forced share</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Many states recognize both express and </w:t>
      </w:r>
      <w:r>
        <w:rPr>
          <w:rFonts w:ascii="Times New Roman" w:eastAsia="Times New Roman" w:hAnsi="Times New Roman" w:cs="Times New Roman"/>
          <w:sz w:val="20"/>
          <w:szCs w:val="20"/>
        </w:rPr>
        <w:t>implied agreements between unmarried cohabitants about how their property will be divided</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In re Estate of Roccamonte </w:t>
      </w:r>
      <w:r>
        <w:rPr>
          <w:rFonts w:ascii="Times New Roman" w:eastAsia="Times New Roman" w:hAnsi="Times New Roman" w:cs="Times New Roman"/>
          <w:color w:val="FF0000"/>
          <w:sz w:val="20"/>
          <w:szCs w:val="20"/>
          <w:shd w:val="clear" w:color="auto" w:fill="FFF2CC"/>
        </w:rPr>
        <w:t>(Supreme Court of New Jersey, 2002)</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Palimony</w:t>
      </w:r>
      <w:r>
        <w:rPr>
          <w:rFonts w:ascii="Times New Roman" w:eastAsia="Times New Roman" w:hAnsi="Times New Roman" w:cs="Times New Roman"/>
          <w:sz w:val="20"/>
          <w:szCs w:val="20"/>
        </w:rPr>
        <w:t xml:space="preserve"> action</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Property rights of unmarried couples (couples who cohabitate that want rights of mar</w:t>
      </w:r>
      <w:r>
        <w:rPr>
          <w:rFonts w:ascii="Times New Roman" w:eastAsia="Times New Roman" w:hAnsi="Times New Roman" w:cs="Times New Roman"/>
          <w:color w:val="FF0000"/>
          <w:sz w:val="20"/>
          <w:szCs w:val="20"/>
        </w:rPr>
        <w:t>ried couples)</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Woman in couple worried about challenge to her being taken care of by the estate (man refuses to divorce his wife) where promised she’d be taken care of; cohabitated for 25ish years</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Files suit against estate (after he dies intestate and she g</w:t>
      </w:r>
      <w:r>
        <w:rPr>
          <w:rFonts w:ascii="Times New Roman" w:eastAsia="Times New Roman" w:hAnsi="Times New Roman" w:cs="Times New Roman"/>
          <w:color w:val="FF0000"/>
          <w:sz w:val="20"/>
          <w:szCs w:val="20"/>
        </w:rPr>
        <w:t xml:space="preserve">ets only a little of what she believes she deserves) claiming that the estate must fulfil deceased promise to her that she’d be taken care of – wants to be treated as the wife he held her out to be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Deceased’s duty to provide was not discharged by his d</w:t>
      </w:r>
      <w:r>
        <w:rPr>
          <w:rFonts w:ascii="Times New Roman" w:eastAsia="Times New Roman" w:hAnsi="Times New Roman" w:cs="Times New Roman"/>
          <w:color w:val="FF0000"/>
          <w:sz w:val="20"/>
          <w:szCs w:val="20"/>
        </w:rPr>
        <w:t>eath and must consequently be discharged by his estate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Contract law governed, consideration by both parties (estate argues that sexual favors, “mariticious favors,” do not qualify as consideration historically)</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Potential problem that contract was oral, not written out (preferable/in some places required that written out)</w:t>
      </w:r>
    </w:p>
    <w:p w:rsidR="00E46D95" w:rsidRDefault="006F495B">
      <w:pPr>
        <w:numPr>
          <w:ilvl w:val="4"/>
          <w:numId w:val="10"/>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Marvin v. Marvin</w:t>
      </w:r>
      <w:r>
        <w:rPr>
          <w:rFonts w:ascii="Times New Roman" w:eastAsia="Times New Roman" w:hAnsi="Times New Roman" w:cs="Times New Roman"/>
          <w:color w:val="FF0000"/>
          <w:sz w:val="20"/>
          <w:szCs w:val="20"/>
        </w:rPr>
        <w:t xml:space="preserve"> with actor Lee Marvin (pg. 431) (many have followed, including this one?)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Following case NJ enacted statute overruling </w:t>
      </w:r>
      <w:r>
        <w:rPr>
          <w:rFonts w:ascii="Times New Roman" w:eastAsia="Times New Roman" w:hAnsi="Times New Roman" w:cs="Times New Roman"/>
          <w:i/>
          <w:color w:val="FF0000"/>
          <w:sz w:val="20"/>
          <w:szCs w:val="20"/>
        </w:rPr>
        <w:t>Rocamont</w:t>
      </w:r>
      <w:r>
        <w:rPr>
          <w:rFonts w:ascii="Times New Roman" w:eastAsia="Times New Roman" w:hAnsi="Times New Roman" w:cs="Times New Roman"/>
          <w:i/>
          <w:color w:val="FF0000"/>
          <w:sz w:val="20"/>
          <w:szCs w:val="20"/>
        </w:rPr>
        <w:t>e</w:t>
      </w:r>
      <w:r>
        <w:rPr>
          <w:rFonts w:ascii="Times New Roman" w:eastAsia="Times New Roman" w:hAnsi="Times New Roman" w:cs="Times New Roman"/>
          <w:color w:val="FF0000"/>
          <w:sz w:val="20"/>
          <w:szCs w:val="20"/>
        </w:rPr>
        <w:t xml:space="preserve"> requiring such contracts to be in writing</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NY doesn’t recognize palimony (as involved in case here)</w:t>
      </w:r>
    </w:p>
    <w:p w:rsidR="00E46D95" w:rsidRDefault="006F495B">
      <w:pPr>
        <w:numPr>
          <w:ilvl w:val="1"/>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Same-Sex Marriage – American law increasingly provides same-sex couples with the legal benefits of marriage through domestic partnerships or civil un</w:t>
      </w:r>
      <w:r>
        <w:rPr>
          <w:rFonts w:ascii="Times New Roman" w:eastAsia="Times New Roman" w:hAnsi="Times New Roman" w:cs="Times New Roman"/>
          <w:sz w:val="20"/>
          <w:szCs w:val="20"/>
        </w:rPr>
        <w:t>ions</w:t>
      </w:r>
    </w:p>
    <w:p w:rsidR="00E46D95" w:rsidRDefault="006F495B">
      <w:pPr>
        <w:numPr>
          <w:ilvl w:val="2"/>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Varnum v. Brien </w:t>
      </w:r>
      <w:r>
        <w:rPr>
          <w:rFonts w:ascii="Times New Roman" w:eastAsia="Times New Roman" w:hAnsi="Times New Roman" w:cs="Times New Roman"/>
          <w:color w:val="FF0000"/>
          <w:sz w:val="20"/>
          <w:szCs w:val="20"/>
          <w:shd w:val="clear" w:color="auto" w:fill="FFF2CC"/>
        </w:rPr>
        <w:t>(Supreme Court of Iowa, 2009)</w:t>
      </w:r>
      <w:r>
        <w:rPr>
          <w:rFonts w:ascii="Times New Roman" w:eastAsia="Times New Roman" w:hAnsi="Times New Roman" w:cs="Times New Roman"/>
          <w:color w:val="FF0000"/>
          <w:sz w:val="20"/>
          <w:szCs w:val="20"/>
        </w:rPr>
        <w:t xml:space="preserve"> – </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Same-sex couple case in Iowa</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definition of marriage between man and woman (statute) in violation of Iowa Constitution’s Equal Protection Clause?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Y, does violate EPC of Iowa Constitution (s</w:t>
      </w:r>
      <w:r>
        <w:rPr>
          <w:rFonts w:ascii="Times New Roman" w:eastAsia="Times New Roman" w:hAnsi="Times New Roman" w:cs="Times New Roman"/>
          <w:color w:val="FF0000"/>
          <w:sz w:val="20"/>
          <w:szCs w:val="20"/>
        </w:rPr>
        <w:t>tate fails to meet its burden per standard of scrutiny)</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Does not further any important governmental objective (related to standard selected to measure by) of 5 expressed governmental interests and unexpressed (i.e. religion)</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Standard/Scrutiny: Intermedi</w:t>
      </w:r>
      <w:r>
        <w:rPr>
          <w:rFonts w:ascii="Times New Roman" w:eastAsia="Times New Roman" w:hAnsi="Times New Roman" w:cs="Times New Roman"/>
          <w:color w:val="FF0000"/>
          <w:sz w:val="20"/>
          <w:szCs w:val="20"/>
        </w:rPr>
        <w:t>ate/heightened scrutiny selected (pg. 437)</w:t>
      </w:r>
    </w:p>
    <w:p w:rsidR="00E46D95" w:rsidRDefault="006F495B">
      <w:pPr>
        <w:numPr>
          <w:ilvl w:val="4"/>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Pg. 438-442: See court’s address of each purported gov’t objective</w:t>
      </w:r>
    </w:p>
    <w:p w:rsidR="00E46D95" w:rsidRDefault="006F495B">
      <w:pPr>
        <w:numPr>
          <w:ilvl w:val="3"/>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Affirmed</w:t>
      </w:r>
    </w:p>
    <w:p w:rsidR="00E46D95" w:rsidRDefault="006F495B">
      <w:pPr>
        <w:numPr>
          <w:ilvl w:val="2"/>
          <w:numId w:val="1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Discussion of electing [state] judges, see note after </w:t>
      </w:r>
      <w:r>
        <w:rPr>
          <w:rFonts w:ascii="Times New Roman" w:eastAsia="Times New Roman" w:hAnsi="Times New Roman" w:cs="Times New Roman"/>
          <w:i/>
          <w:color w:val="FF0000"/>
          <w:sz w:val="20"/>
          <w:szCs w:val="20"/>
        </w:rPr>
        <w:t xml:space="preserve">Varnum </w:t>
      </w:r>
      <w:r>
        <w:rPr>
          <w:rFonts w:ascii="Times New Roman" w:eastAsia="Times New Roman" w:hAnsi="Times New Roman" w:cs="Times New Roman"/>
          <w:color w:val="FF0000"/>
          <w:sz w:val="20"/>
          <w:szCs w:val="20"/>
        </w:rPr>
        <w:t>case</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7: Leasing Real Property </w:t>
      </w:r>
    </w:p>
    <w:p w:rsidR="00E46D95" w:rsidRDefault="006F495B">
      <w:pPr>
        <w:numPr>
          <w:ilvl w:val="0"/>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Leasehold</w:t>
      </w:r>
      <w:r>
        <w:rPr>
          <w:rFonts w:ascii="Times New Roman" w:eastAsia="Times New Roman" w:hAnsi="Times New Roman" w:cs="Times New Roman"/>
          <w:sz w:val="20"/>
          <w:szCs w:val="20"/>
        </w:rPr>
        <w:t xml:space="preserve"> – a </w:t>
      </w:r>
      <w:r>
        <w:rPr>
          <w:rFonts w:ascii="Times New Roman" w:eastAsia="Times New Roman" w:hAnsi="Times New Roman" w:cs="Times New Roman"/>
          <w:i/>
          <w:sz w:val="20"/>
          <w:szCs w:val="20"/>
        </w:rPr>
        <w:t>non-freehold estate</w:t>
      </w:r>
      <w:r>
        <w:rPr>
          <w:rFonts w:ascii="Times New Roman" w:eastAsia="Times New Roman" w:hAnsi="Times New Roman" w:cs="Times New Roman"/>
          <w:sz w:val="20"/>
          <w:szCs w:val="20"/>
        </w:rPr>
        <w:t xml:space="preserve"> where a landlord (</w:t>
      </w:r>
      <w:r>
        <w:rPr>
          <w:rFonts w:ascii="Times New Roman" w:eastAsia="Times New Roman" w:hAnsi="Times New Roman" w:cs="Times New Roman"/>
          <w:i/>
          <w:sz w:val="20"/>
          <w:szCs w:val="20"/>
        </w:rPr>
        <w:t>lessor</w:t>
      </w:r>
      <w:r>
        <w:rPr>
          <w:rFonts w:ascii="Times New Roman" w:eastAsia="Times New Roman" w:hAnsi="Times New Roman" w:cs="Times New Roman"/>
          <w:sz w:val="20"/>
          <w:szCs w:val="20"/>
        </w:rPr>
        <w:t>) transfers the exclusive right to possession of the premises to a tenant (</w:t>
      </w:r>
      <w:r>
        <w:rPr>
          <w:rFonts w:ascii="Times New Roman" w:eastAsia="Times New Roman" w:hAnsi="Times New Roman" w:cs="Times New Roman"/>
          <w:i/>
          <w:sz w:val="20"/>
          <w:szCs w:val="20"/>
        </w:rPr>
        <w:t>lessee</w:t>
      </w:r>
      <w:r>
        <w:rPr>
          <w:rFonts w:ascii="Times New Roman" w:eastAsia="Times New Roman" w:hAnsi="Times New Roman" w:cs="Times New Roman"/>
          <w:sz w:val="20"/>
          <w:szCs w:val="20"/>
        </w:rPr>
        <w:t xml:space="preserve">) and retained a future interest (usually a </w:t>
      </w:r>
      <w:r>
        <w:rPr>
          <w:rFonts w:ascii="Times New Roman" w:eastAsia="Times New Roman" w:hAnsi="Times New Roman" w:cs="Times New Roman"/>
          <w:i/>
          <w:sz w:val="20"/>
          <w:szCs w:val="20"/>
        </w:rPr>
        <w:t>reversion</w:t>
      </w:r>
      <w:r>
        <w:rPr>
          <w:rFonts w:ascii="Times New Roman" w:eastAsia="Times New Roman" w:hAnsi="Times New Roman" w:cs="Times New Roman"/>
          <w:sz w:val="20"/>
          <w:szCs w:val="20"/>
        </w:rPr>
        <w:t>)</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Landlord-Tenant Revolution</w:t>
      </w:r>
      <w:r>
        <w:rPr>
          <w:rFonts w:ascii="Times New Roman" w:eastAsia="Times New Roman" w:hAnsi="Times New Roman" w:cs="Times New Roman"/>
          <w:sz w:val="20"/>
          <w:szCs w:val="20"/>
        </w:rPr>
        <w:t xml:space="preserve"> – a leasehold was traditionally viewed as an estate in land, governe</w:t>
      </w:r>
      <w:r>
        <w:rPr>
          <w:rFonts w:ascii="Times New Roman" w:eastAsia="Times New Roman" w:hAnsi="Times New Roman" w:cs="Times New Roman"/>
          <w:sz w:val="20"/>
          <w:szCs w:val="20"/>
        </w:rPr>
        <w:t>d by property law. In the 1960s, courts began to use contract law to redefine the rights of residential tenants. Today the residential lease is governed by both property and contract law.</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Immutable rules</w:t>
      </w:r>
      <w:r>
        <w:rPr>
          <w:rFonts w:ascii="Times New Roman" w:eastAsia="Times New Roman" w:hAnsi="Times New Roman" w:cs="Times New Roman"/>
          <w:sz w:val="20"/>
          <w:szCs w:val="20"/>
        </w:rPr>
        <w:t xml:space="preserve"> – rules that supercede any contrary provisions in th</w:t>
      </w:r>
      <w:r>
        <w:rPr>
          <w:rFonts w:ascii="Times New Roman" w:eastAsia="Times New Roman" w:hAnsi="Times New Roman" w:cs="Times New Roman"/>
          <w:sz w:val="20"/>
          <w:szCs w:val="20"/>
        </w:rPr>
        <w:t xml:space="preserve">e lease, usually to protect vulnerable residential tenants; parties are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free to ignore or evade </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Default rules</w:t>
      </w:r>
      <w:r>
        <w:rPr>
          <w:rFonts w:ascii="Times New Roman" w:eastAsia="Times New Roman" w:hAnsi="Times New Roman" w:cs="Times New Roman"/>
          <w:sz w:val="20"/>
          <w:szCs w:val="20"/>
        </w:rPr>
        <w:t xml:space="preserve"> – rules that fill in gaps that the parties did not address in the lease; parties </w:t>
      </w:r>
      <w:r>
        <w:rPr>
          <w:rFonts w:ascii="Times New Roman" w:eastAsia="Times New Roman" w:hAnsi="Times New Roman" w:cs="Times New Roman"/>
          <w:i/>
          <w:sz w:val="20"/>
          <w:szCs w:val="20"/>
        </w:rPr>
        <w:t>are</w:t>
      </w:r>
      <w:r>
        <w:rPr>
          <w:rFonts w:ascii="Times New Roman" w:eastAsia="Times New Roman" w:hAnsi="Times New Roman" w:cs="Times New Roman"/>
          <w:sz w:val="20"/>
          <w:szCs w:val="20"/>
        </w:rPr>
        <w:t xml:space="preserve"> free to ignore or evade</w:t>
      </w:r>
    </w:p>
    <w:p w:rsidR="00E46D95" w:rsidRDefault="006F495B">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Creating the Tenancy</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Selecting t</w:t>
      </w:r>
      <w:r>
        <w:rPr>
          <w:rFonts w:ascii="Times New Roman" w:eastAsia="Times New Roman" w:hAnsi="Times New Roman" w:cs="Times New Roman"/>
          <w:sz w:val="20"/>
          <w:szCs w:val="20"/>
        </w:rPr>
        <w:t>he Tenant</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Discrimination</w:t>
      </w:r>
      <w:r>
        <w:rPr>
          <w:rFonts w:ascii="Times New Roman" w:eastAsia="Times New Roman" w:hAnsi="Times New Roman" w:cs="Times New Roman"/>
          <w:sz w:val="20"/>
          <w:szCs w:val="20"/>
        </w:rPr>
        <w:t xml:space="preserve"> – traditionally, a landlord could refuse to rent to any prospective tenant but federal and state statutes prohibit the landlord from discriminating based on race, religion, sex, or other factors (re Federal Fair Housing Act of 1968</w:t>
      </w:r>
      <w:r>
        <w:rPr>
          <w:rFonts w:ascii="Times New Roman" w:eastAsia="Times New Roman" w:hAnsi="Times New Roman" w:cs="Times New Roman"/>
          <w:sz w:val="20"/>
          <w:szCs w:val="20"/>
        </w:rPr>
        <w:t>)</w:t>
      </w:r>
    </w:p>
    <w:p w:rsidR="00E46D95" w:rsidRDefault="006F495B">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Fair Housing Act of 1968 – the most important statute regulating the landlord’s right to exclude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Neithamer v. Brenneman Property Services, Inc. </w:t>
      </w:r>
      <w:r>
        <w:rPr>
          <w:rFonts w:ascii="Times New Roman" w:eastAsia="Times New Roman" w:hAnsi="Times New Roman" w:cs="Times New Roman"/>
          <w:color w:val="FF0000"/>
          <w:sz w:val="20"/>
          <w:szCs w:val="20"/>
          <w:shd w:val="clear" w:color="auto" w:fill="FFF2CC"/>
        </w:rPr>
        <w:t>(United States District Court, District of Columbia, 1999)</w:t>
      </w:r>
      <w:r>
        <w:rPr>
          <w:rFonts w:ascii="Times New Roman" w:eastAsia="Times New Roman" w:hAnsi="Times New Roman" w:cs="Times New Roman"/>
          <w:color w:val="FF0000"/>
          <w:sz w:val="20"/>
          <w:szCs w:val="20"/>
        </w:rPr>
        <w:t xml:space="preserve"> –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Bad credit but explainable went out of way to overcome (</w:t>
      </w:r>
      <w:r>
        <w:rPr>
          <w:rFonts w:ascii="Times New Roman" w:eastAsia="Times New Roman" w:hAnsi="Times New Roman" w:cs="Times New Roman"/>
          <w:i/>
          <w:color w:val="FF0000"/>
          <w:sz w:val="20"/>
          <w:szCs w:val="20"/>
        </w:rPr>
        <w:t>so</w:t>
      </w:r>
      <w:r>
        <w:rPr>
          <w:rFonts w:ascii="Times New Roman" w:eastAsia="Times New Roman" w:hAnsi="Times New Roman" w:cs="Times New Roman"/>
          <w:color w:val="FF0000"/>
          <w:sz w:val="20"/>
          <w:szCs w:val="20"/>
        </w:rPr>
        <w:t xml:space="preserve"> no economic reason to turn down), also shows that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Claim: Statutory discrimination (at CL (absent such a statute), broker/LL could exclude who they want) </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FHA  – discriminated against for having</w:t>
      </w:r>
      <w:r>
        <w:rPr>
          <w:rFonts w:ascii="Times New Roman" w:eastAsia="Times New Roman" w:hAnsi="Times New Roman" w:cs="Times New Roman"/>
          <w:color w:val="FF0000"/>
          <w:sz w:val="20"/>
          <w:szCs w:val="20"/>
        </w:rPr>
        <w:t xml:space="preserve"> a disability (being HIV positive) (being gay not protected against (and still is not protected) – local law can be more protective, as here and in OR)</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(Prima facie case of discrimination, burden first on the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(1) that he is a member of a protecte</w:t>
      </w:r>
      <w:r>
        <w:rPr>
          <w:rFonts w:ascii="Times New Roman" w:eastAsia="Times New Roman" w:hAnsi="Times New Roman" w:cs="Times New Roman"/>
          <w:color w:val="FF0000"/>
          <w:sz w:val="20"/>
          <w:szCs w:val="20"/>
        </w:rPr>
        <w:t xml:space="preserve">d class and Δs knew or suspected that he was, (2) that he applied for and was qualified to rent the property in question, (3) that Δs rejected his application, and (4) that the property remained available thereafter THEN once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establishes prima facie cas</w:t>
      </w:r>
      <w:r>
        <w:rPr>
          <w:rFonts w:ascii="Times New Roman" w:eastAsia="Times New Roman" w:hAnsi="Times New Roman" w:cs="Times New Roman"/>
          <w:color w:val="FF0000"/>
          <w:sz w:val="20"/>
          <w:szCs w:val="20"/>
        </w:rPr>
        <w:t xml:space="preserve">e, the burden shifts to the Δs to articulate some legitimate, nondiscriminatory reason for their rejection of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application (and Δ will likely show that renting to other persons of that protected class but not that particular person)</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Handicap (aka disab</w:t>
      </w:r>
      <w:r>
        <w:rPr>
          <w:rFonts w:ascii="Times New Roman" w:eastAsia="Times New Roman" w:hAnsi="Times New Roman" w:cs="Times New Roman"/>
          <w:color w:val="FF0000"/>
          <w:sz w:val="20"/>
          <w:szCs w:val="20"/>
        </w:rPr>
        <w:t>ility) implicated (see pg. 454)</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H/J: Denied Δ’s motion for SJ (got over the threshold to show prima facie case)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While not explicitly stated that had HIV, sufficiently hinted at/indicated </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Over federal discrimination </w:t>
      </w:r>
      <w:r>
        <w:rPr>
          <w:rFonts w:ascii="Times New Roman" w:eastAsia="Times New Roman" w:hAnsi="Times New Roman" w:cs="Times New Roman"/>
          <w:i/>
          <w:color w:val="FF0000"/>
          <w:sz w:val="20"/>
          <w:szCs w:val="20"/>
        </w:rPr>
        <w:t xml:space="preserve">and </w:t>
      </w:r>
      <w:r>
        <w:rPr>
          <w:rFonts w:ascii="Times New Roman" w:eastAsia="Times New Roman" w:hAnsi="Times New Roman" w:cs="Times New Roman"/>
          <w:color w:val="FF0000"/>
          <w:sz w:val="20"/>
          <w:szCs w:val="20"/>
        </w:rPr>
        <w:t>DC statute likely stricter</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STATUT</w:t>
      </w:r>
      <w:r>
        <w:rPr>
          <w:rFonts w:ascii="Times New Roman" w:eastAsia="Times New Roman" w:hAnsi="Times New Roman" w:cs="Times New Roman"/>
          <w:color w:val="FF0000"/>
          <w:sz w:val="20"/>
          <w:szCs w:val="20"/>
          <w:u w:val="single"/>
        </w:rPr>
        <w:t>E: Pg. 450</w:t>
      </w:r>
      <w:r>
        <w:rPr>
          <w:rFonts w:ascii="Times New Roman" w:eastAsia="Times New Roman" w:hAnsi="Times New Roman" w:cs="Times New Roman"/>
          <w:color w:val="FF0000"/>
          <w:sz w:val="20"/>
          <w:szCs w:val="20"/>
        </w:rPr>
        <w:t xml:space="preserve"> </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exceptions: Note c pg. 457</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(1) Rooms or units in dwellings containing living quarters occupied by no more than four families living independently of each other if the owner occupies one of such living quarters as his residence</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(2) Any single-family house sold or rented by an owner if he does not own more than three houses and does not use a real estate broker or agent in the sale or rental </w:t>
      </w:r>
    </w:p>
    <w:p w:rsidR="00E46D95" w:rsidRDefault="006F495B">
      <w:pPr>
        <w:numPr>
          <w:ilvl w:val="7"/>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Essentially you can discriminate if you’re smaller (in privacy of your own home); some in</w:t>
      </w:r>
      <w:r>
        <w:rPr>
          <w:rFonts w:ascii="Times New Roman" w:eastAsia="Times New Roman" w:hAnsi="Times New Roman" w:cs="Times New Roman"/>
          <w:color w:val="FF0000"/>
          <w:sz w:val="20"/>
          <w:szCs w:val="20"/>
        </w:rPr>
        <w:t xml:space="preserve"> advertising not allowed because exposing your racism to everyone (and would hurt/offend people just reading, not just the ones being discriminated against on a smaller scale) and don’t have to </w:t>
      </w:r>
    </w:p>
    <w:p w:rsidR="00E46D95" w:rsidRDefault="006F495B">
      <w:pPr>
        <w:numPr>
          <w:ilvl w:val="8"/>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Ad prohibition affects Mrs. Murphy’s business</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Why these excep</w:t>
      </w:r>
      <w:r>
        <w:rPr>
          <w:rFonts w:ascii="Times New Roman" w:eastAsia="Times New Roman" w:hAnsi="Times New Roman" w:cs="Times New Roman"/>
          <w:color w:val="FF0000"/>
          <w:sz w:val="20"/>
          <w:szCs w:val="20"/>
          <w:u w:val="single"/>
        </w:rPr>
        <w:t>tions</w:t>
      </w:r>
      <w:r>
        <w:rPr>
          <w:rFonts w:ascii="Times New Roman" w:eastAsia="Times New Roman" w:hAnsi="Times New Roman" w:cs="Times New Roman"/>
          <w:color w:val="FF0000"/>
          <w:sz w:val="20"/>
          <w:szCs w:val="20"/>
        </w:rPr>
        <w:t xml:space="preserve">? Don’t want to impose economic hardships on small people and benefits of preventing subjection to discrimination would be small scale (balancing test of sorts); privacy infringement </w:t>
      </w:r>
    </w:p>
    <w:p w:rsidR="00E46D95" w:rsidRDefault="006F495B">
      <w:pPr>
        <w:ind w:left="4320"/>
        <w:rPr>
          <w:rFonts w:ascii="Times New Roman" w:eastAsia="Times New Roman" w:hAnsi="Times New Roman" w:cs="Times New Roman"/>
          <w:color w:val="FF0000"/>
          <w:sz w:val="20"/>
          <w:szCs w:val="20"/>
        </w:rPr>
      </w:pPr>
      <w:r>
        <w:rPr>
          <w:rFonts w:ascii="Cardo" w:eastAsia="Cardo" w:hAnsi="Cardo" w:cs="Cardo"/>
          <w:color w:val="FF0000"/>
          <w:sz w:val="20"/>
          <w:szCs w:val="20"/>
        </w:rPr>
        <w:t>→ Not going to get much more by applying to all (costs large, benef</w:t>
      </w:r>
      <w:r>
        <w:rPr>
          <w:rFonts w:ascii="Cardo" w:eastAsia="Cardo" w:hAnsi="Cardo" w:cs="Cardo"/>
          <w:color w:val="FF0000"/>
          <w:sz w:val="20"/>
          <w:szCs w:val="20"/>
        </w:rPr>
        <w:t xml:space="preserve">its small); perhaps enforcement resources </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“Mrs. Murphy Exceptions,” </w:t>
      </w:r>
      <w:r>
        <w:rPr>
          <w:rFonts w:ascii="Times New Roman" w:eastAsia="Times New Roman" w:hAnsi="Times New Roman" w:cs="Times New Roman"/>
          <w:i/>
          <w:color w:val="FF0000"/>
          <w:sz w:val="20"/>
          <w:szCs w:val="20"/>
        </w:rPr>
        <w:t xml:space="preserve"> but </w:t>
      </w:r>
      <w:r>
        <w:rPr>
          <w:rFonts w:ascii="Times New Roman" w:eastAsia="Times New Roman" w:hAnsi="Times New Roman" w:cs="Times New Roman"/>
          <w:color w:val="FF0000"/>
          <w:sz w:val="20"/>
          <w:szCs w:val="20"/>
        </w:rPr>
        <w:t xml:space="preserve">don’t apply to subsection (c) regarding advertising, </w:t>
      </w:r>
      <w:r>
        <w:rPr>
          <w:rFonts w:ascii="Times New Roman" w:eastAsia="Times New Roman" w:hAnsi="Times New Roman" w:cs="Times New Roman"/>
          <w:color w:val="FF0000"/>
          <w:sz w:val="20"/>
          <w:szCs w:val="20"/>
          <w:u w:val="single"/>
        </w:rPr>
        <w:t>why</w:t>
      </w:r>
      <w:r>
        <w:rPr>
          <w:rFonts w:ascii="Times New Roman" w:eastAsia="Times New Roman" w:hAnsi="Times New Roman" w:cs="Times New Roman"/>
          <w:color w:val="FF0000"/>
          <w:sz w:val="20"/>
          <w:szCs w:val="20"/>
        </w:rPr>
        <w:t>? (see R under (2) above ^)</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Familial status for our purpose: Children under 18 (not i.e. gay marriage)</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“Dwelling” – interprete</w:t>
      </w:r>
      <w:r>
        <w:rPr>
          <w:rFonts w:ascii="Times New Roman" w:eastAsia="Times New Roman" w:hAnsi="Times New Roman" w:cs="Times New Roman"/>
          <w:color w:val="FF0000"/>
          <w:sz w:val="20"/>
          <w:szCs w:val="20"/>
        </w:rPr>
        <w:t xml:space="preserve">d by 9th Cir. in </w:t>
      </w:r>
      <w:r>
        <w:rPr>
          <w:rFonts w:ascii="Times New Roman" w:eastAsia="Times New Roman" w:hAnsi="Times New Roman" w:cs="Times New Roman"/>
          <w:i/>
          <w:color w:val="FF0000"/>
          <w:sz w:val="20"/>
          <w:szCs w:val="20"/>
        </w:rPr>
        <w:t>Roommate.com</w:t>
      </w:r>
      <w:r>
        <w:rPr>
          <w:rFonts w:ascii="Times New Roman" w:eastAsia="Times New Roman" w:hAnsi="Times New Roman" w:cs="Times New Roman"/>
          <w:color w:val="FF0000"/>
          <w:sz w:val="20"/>
          <w:szCs w:val="20"/>
        </w:rPr>
        <w:t xml:space="preserve"> (see below)</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Advertising (can’t ad interest in discriminating)</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adds in “handicap” – more complicated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at issue here includes HIV), includes physical handicaps</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Refusal to accommodate is violation of statute…</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Lower courts unanimously say inferential discrimination ok for showing intent (SCOTUS ruled statistical evidence permitted)</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issue of [local] enforcement (</w:t>
      </w:r>
      <w:r>
        <w:rPr>
          <w:rFonts w:ascii="Times New Roman" w:eastAsia="Times New Roman" w:hAnsi="Times New Roman" w:cs="Times New Roman"/>
          <w:i/>
          <w:color w:val="FF0000"/>
          <w:sz w:val="20"/>
          <w:szCs w:val="20"/>
        </w:rPr>
        <w:t>Oregonian</w:t>
      </w:r>
      <w:r>
        <w:rPr>
          <w:rFonts w:ascii="Times New Roman" w:eastAsia="Times New Roman" w:hAnsi="Times New Roman" w:cs="Times New Roman"/>
          <w:color w:val="FF0000"/>
          <w:sz w:val="20"/>
          <w:szCs w:val="20"/>
        </w:rPr>
        <w:t xml:space="preserve"> report that nearly 65% of [reported] discrimination cases weren’t enforced/charged)</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d: Civil Rights Act of 1866 (pg. 457) – applicable only to </w:t>
      </w:r>
      <w:r>
        <w:rPr>
          <w:rFonts w:ascii="Times New Roman" w:eastAsia="Times New Roman" w:hAnsi="Times New Roman" w:cs="Times New Roman"/>
          <w:i/>
          <w:color w:val="FF0000"/>
          <w:sz w:val="20"/>
          <w:szCs w:val="20"/>
        </w:rPr>
        <w:t xml:space="preserve">racial </w:t>
      </w:r>
      <w:r>
        <w:rPr>
          <w:rFonts w:ascii="Times New Roman" w:eastAsia="Times New Roman" w:hAnsi="Times New Roman" w:cs="Times New Roman"/>
          <w:color w:val="FF0000"/>
          <w:sz w:val="20"/>
          <w:szCs w:val="20"/>
        </w:rPr>
        <w:t xml:space="preserve">discrimination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no exemptions (unlike FHA)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Fair Housing Council of San Fernando Valley v. Roommate.com, LLC</w:t>
      </w:r>
      <w:r>
        <w:rPr>
          <w:rFonts w:ascii="Times New Roman" w:eastAsia="Times New Roman" w:hAnsi="Times New Roman" w:cs="Times New Roman"/>
          <w:color w:val="FF0000"/>
          <w:sz w:val="20"/>
          <w:szCs w:val="20"/>
          <w:shd w:val="clear" w:color="auto" w:fill="FFF2CC"/>
        </w:rPr>
        <w:t xml:space="preserve"> (United States Court of Appeals, Ninth Circuit, 2012)</w:t>
      </w:r>
      <w:r>
        <w:rPr>
          <w:rFonts w:ascii="Times New Roman" w:eastAsia="Times New Roman" w:hAnsi="Times New Roman" w:cs="Times New Roman"/>
          <w:color w:val="FF0000"/>
          <w:sz w:val="20"/>
          <w:szCs w:val="20"/>
        </w:rPr>
        <w:t xml:space="preserve"> –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Violation of</w:t>
      </w:r>
      <w:r>
        <w:rPr>
          <w:rFonts w:ascii="Times New Roman" w:eastAsia="Times New Roman" w:hAnsi="Times New Roman" w:cs="Times New Roman"/>
          <w:color w:val="FF0000"/>
          <w:sz w:val="20"/>
          <w:szCs w:val="20"/>
        </w:rPr>
        <w:t xml:space="preserve"> FHA and enjoined Roommates.com from discrimatory activities (grant of  SJ for the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FHA extends to roommates? (turns on the meaning/definition of of “dwelling”)</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Def. of “dwelling” turning on privacy concerns (implied constitutional right </w:t>
      </w:r>
      <w:r>
        <w:rPr>
          <w:rFonts w:ascii="Times New Roman" w:eastAsia="Times New Roman" w:hAnsi="Times New Roman" w:cs="Times New Roman"/>
          <w:color w:val="FF0000"/>
          <w:sz w:val="20"/>
          <w:szCs w:val="20"/>
        </w:rPr>
        <w:t>to intimate association then implied right to not associate)</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Affects scope of statute and how far it extends, here (APP) it stops at the door (i.e. outside v. inside and Congressional intent, see next bullet)</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Considering Congress’s intent in its use of “dw</w:t>
      </w:r>
      <w:r>
        <w:rPr>
          <w:rFonts w:ascii="Times New Roman" w:eastAsia="Times New Roman" w:hAnsi="Times New Roman" w:cs="Times New Roman"/>
          <w:color w:val="FF0000"/>
          <w:sz w:val="20"/>
          <w:szCs w:val="20"/>
        </w:rPr>
        <w:t>elling” – in 1968 was thinking outside not inside (i.e. would not have considered unmarried men and women living together)</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Right to intimate association (implied/emerging right) – means that “dwelling” is the whole unit, not a portion; if portioned, sha</w:t>
      </w:r>
      <w:r>
        <w:rPr>
          <w:rFonts w:ascii="Times New Roman" w:eastAsia="Times New Roman" w:hAnsi="Times New Roman" w:cs="Times New Roman"/>
          <w:color w:val="FF0000"/>
          <w:sz w:val="20"/>
          <w:szCs w:val="20"/>
        </w:rPr>
        <w:t>ring intimate portions of your life (idea of involuntary association)</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H: FHA interpreted as not applying to the sharing of living units → Roommate.com’s prompting, sorting, and publishing of information to facilitate roommate selection is not forbidden by </w:t>
      </w:r>
      <w:r>
        <w:rPr>
          <w:rFonts w:ascii="Cardo" w:eastAsia="Cardo" w:hAnsi="Cardo" w:cs="Cardo"/>
          <w:color w:val="FF0000"/>
          <w:sz w:val="20"/>
          <w:szCs w:val="20"/>
        </w:rPr>
        <w:t>the FHA</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Selecting the Estate; four non-freehold estates (new types of non-freehold estates cannot be created):</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Term of Years Tenancy</w:t>
      </w:r>
      <w:r>
        <w:rPr>
          <w:rFonts w:ascii="Times New Roman" w:eastAsia="Times New Roman" w:hAnsi="Times New Roman" w:cs="Times New Roman"/>
          <w:sz w:val="20"/>
          <w:szCs w:val="20"/>
        </w:rPr>
        <w:t xml:space="preserve"> – has a fixed duration that is agreed upon in advance. Once the term ends, the tenant’s possessory right automatically expires and the landlord may retake possession of the premises</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Periodic Tenancy </w:t>
      </w:r>
      <w:r>
        <w:rPr>
          <w:rFonts w:ascii="Times New Roman" w:eastAsia="Times New Roman" w:hAnsi="Times New Roman" w:cs="Times New Roman"/>
          <w:sz w:val="20"/>
          <w:szCs w:val="20"/>
        </w:rPr>
        <w:t>– automatically renewed for successive periods unless th</w:t>
      </w:r>
      <w:r>
        <w:rPr>
          <w:rFonts w:ascii="Times New Roman" w:eastAsia="Times New Roman" w:hAnsi="Times New Roman" w:cs="Times New Roman"/>
          <w:sz w:val="20"/>
          <w:szCs w:val="20"/>
        </w:rPr>
        <w:t xml:space="preserve">e landlord of tenant terminates the tenancy by giving advance notice. If month to month, in order to end the tenancy either must give one month’s advance notice to the other (month-to-month frequently used in residential leases). The basic period could be </w:t>
      </w:r>
      <w:r>
        <w:rPr>
          <w:rFonts w:ascii="Times New Roman" w:eastAsia="Times New Roman" w:hAnsi="Times New Roman" w:cs="Times New Roman"/>
          <w:sz w:val="20"/>
          <w:szCs w:val="20"/>
        </w:rPr>
        <w:t>longer than a month, which will increase the period for giving notice</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Tenancy at Will</w:t>
      </w:r>
      <w:r>
        <w:rPr>
          <w:rFonts w:ascii="Times New Roman" w:eastAsia="Times New Roman" w:hAnsi="Times New Roman" w:cs="Times New Roman"/>
          <w:sz w:val="20"/>
          <w:szCs w:val="20"/>
        </w:rPr>
        <w:t xml:space="preserve"> – no fixed ending point, continues “only so long as both the landlord and tenant desire.” This tenancy may be created but more often it arises by implication without an e</w:t>
      </w:r>
      <w:r>
        <w:rPr>
          <w:rFonts w:ascii="Times New Roman" w:eastAsia="Times New Roman" w:hAnsi="Times New Roman" w:cs="Times New Roman"/>
          <w:sz w:val="20"/>
          <w:szCs w:val="20"/>
        </w:rPr>
        <w:t xml:space="preserve">xpress agreement. At common law either could end the tenancy without advance notice but most states now require advance notice to end this tenancy, usually equal to the period of time between rent payments. Tenancy terminates automatically if either party </w:t>
      </w:r>
      <w:r>
        <w:rPr>
          <w:rFonts w:ascii="Times New Roman" w:eastAsia="Times New Roman" w:hAnsi="Times New Roman" w:cs="Times New Roman"/>
          <w:sz w:val="20"/>
          <w:szCs w:val="20"/>
        </w:rPr>
        <w:t xml:space="preserve">dies, the tenant abandons possession, or the landlord sells the property </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Tenancy at Sufferance</w:t>
      </w:r>
      <w:r>
        <w:rPr>
          <w:rFonts w:ascii="Times New Roman" w:eastAsia="Times New Roman" w:hAnsi="Times New Roman" w:cs="Times New Roman"/>
          <w:sz w:val="20"/>
          <w:szCs w:val="20"/>
        </w:rPr>
        <w:t xml:space="preserve"> – created when a person who rightfully took possession of land continues in possession after that right end, arising from the occupant’s conduct, not from an ag</w:t>
      </w:r>
      <w:r>
        <w:rPr>
          <w:rFonts w:ascii="Times New Roman" w:eastAsia="Times New Roman" w:hAnsi="Times New Roman" w:cs="Times New Roman"/>
          <w:sz w:val="20"/>
          <w:szCs w:val="20"/>
        </w:rPr>
        <w:t>reement (more of a wrongful occupancy than a true estate)</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Holdover tenant</w:t>
      </w:r>
      <w:r>
        <w:rPr>
          <w:rFonts w:ascii="Times New Roman" w:eastAsia="Times New Roman" w:hAnsi="Times New Roman" w:cs="Times New Roman"/>
          <w:sz w:val="20"/>
          <w:szCs w:val="20"/>
        </w:rPr>
        <w:t xml:space="preserve"> – where tenancy ends and the tenant wrongfully continues in possession; common law provided two options: (1)Treat occupant as a trespasser and evict him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(2) renew his tenancy for </w:t>
      </w:r>
      <w:r>
        <w:rPr>
          <w:rFonts w:ascii="Times New Roman" w:eastAsia="Times New Roman" w:hAnsi="Times New Roman" w:cs="Times New Roman"/>
          <w:sz w:val="20"/>
          <w:szCs w:val="20"/>
        </w:rPr>
        <w:t xml:space="preserve">another term; to avoid unfairness to the tenant, most states have abolished or limited the second option (e.g. requiring payment of double rent for the holdover period or limiting the length of tenancy to no more than one year)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Kajo Church Square, Inc. v.</w:t>
      </w:r>
      <w:r>
        <w:rPr>
          <w:rFonts w:ascii="Times New Roman" w:eastAsia="Times New Roman" w:hAnsi="Times New Roman" w:cs="Times New Roman"/>
          <w:i/>
          <w:color w:val="FF0000"/>
          <w:sz w:val="20"/>
          <w:szCs w:val="20"/>
          <w:shd w:val="clear" w:color="auto" w:fill="FFF2CC"/>
        </w:rPr>
        <w:t xml:space="preserve"> Walker</w:t>
      </w:r>
      <w:r>
        <w:rPr>
          <w:rFonts w:ascii="Times New Roman" w:eastAsia="Times New Roman" w:hAnsi="Times New Roman" w:cs="Times New Roman"/>
          <w:color w:val="FF0000"/>
          <w:sz w:val="20"/>
          <w:szCs w:val="20"/>
          <w:shd w:val="clear" w:color="auto" w:fill="FFF2CC"/>
        </w:rPr>
        <w:t xml:space="preserve"> (Court of Appeals of Texas, 2003)</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Couples conveyed land to church (part in gift, part in sale), believed creating life estate (or at least life lease) – believed reserved possession until last death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And church sells to another party but fami</w:t>
      </w:r>
      <w:r>
        <w:rPr>
          <w:rFonts w:ascii="Times New Roman" w:eastAsia="Times New Roman" w:hAnsi="Times New Roman" w:cs="Times New Roman"/>
          <w:color w:val="FF0000"/>
          <w:sz w:val="20"/>
          <w:szCs w:val="20"/>
        </w:rPr>
        <w:t>ly wanted to preserve a possessory right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law can recognize a “lease for life?” (whether a lease for life is permissible?)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specific: Is a lease for life a term for years?</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H1: Language not specific enough to create a life estate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H2: Not a le</w:t>
      </w:r>
      <w:r>
        <w:rPr>
          <w:rFonts w:ascii="Times New Roman" w:eastAsia="Times New Roman" w:hAnsi="Times New Roman" w:cs="Times New Roman"/>
          <w:color w:val="FF0000"/>
          <w:sz w:val="20"/>
          <w:szCs w:val="20"/>
        </w:rPr>
        <w:t>ase for life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Death uncertain so can’t be used as mark for termination (i.e. not a term for years) (and extrinsic evid not allowed, must be within four corners of the deed)</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How to justify that contrary to the party’s intent? – Pg. 475(?) law review citat</w:t>
      </w:r>
      <w:r>
        <w:rPr>
          <w:rFonts w:ascii="Cardo" w:eastAsia="Cardo" w:hAnsi="Cardo" w:cs="Cardo"/>
          <w:color w:val="FF0000"/>
          <w:sz w:val="20"/>
          <w:szCs w:val="20"/>
        </w:rPr>
        <w:t xml:space="preserve">ion (“numerous…” – limited number of  property rights/interests, don’t want to create new ones for each particular situation) → care about whether conforms with numerous clauses (rather than intent/fairness)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consider that LEs are not favored (must be made clear) and don’t want to put in a lease for life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Property rights “in rem” not “in personam” – applicable to other people as well (unfavorable social policy)</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 xml:space="preserve">Garner v. Gerrish </w:t>
      </w:r>
      <w:r>
        <w:rPr>
          <w:rFonts w:ascii="Times New Roman" w:eastAsia="Times New Roman" w:hAnsi="Times New Roman" w:cs="Times New Roman"/>
          <w:color w:val="FF0000"/>
          <w:sz w:val="20"/>
          <w:szCs w:val="20"/>
        </w:rPr>
        <w:t>(pg. 471), H: Created l</w:t>
      </w:r>
      <w:r>
        <w:rPr>
          <w:rFonts w:ascii="Times New Roman" w:eastAsia="Times New Roman" w:hAnsi="Times New Roman" w:cs="Times New Roman"/>
          <w:color w:val="FF0000"/>
          <w:sz w:val="20"/>
          <w:szCs w:val="20"/>
        </w:rPr>
        <w:t xml:space="preserve">ife estate [determinable] (not a tenancy at all) terminable at the will of the tenant (not a tenancy at will because LL can’t terminate at will), R: Fairness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Distinguish from H in </w:t>
      </w:r>
      <w:r>
        <w:rPr>
          <w:rFonts w:ascii="Times New Roman" w:eastAsia="Times New Roman" w:hAnsi="Times New Roman" w:cs="Times New Roman"/>
          <w:i/>
          <w:color w:val="FF0000"/>
          <w:sz w:val="20"/>
          <w:szCs w:val="20"/>
        </w:rPr>
        <w:t>Kajo Church Square, Inc.</w:t>
      </w:r>
      <w:r>
        <w:rPr>
          <w:rFonts w:ascii="Times New Roman" w:eastAsia="Times New Roman" w:hAnsi="Times New Roman" w:cs="Times New Roman"/>
          <w:color w:val="FF0000"/>
          <w:sz w:val="20"/>
          <w:szCs w:val="20"/>
        </w:rPr>
        <w:t xml:space="preserve"> (alternative way of dealing with this situation, T</w:t>
      </w:r>
      <w:r>
        <w:rPr>
          <w:rFonts w:ascii="Times New Roman" w:eastAsia="Times New Roman" w:hAnsi="Times New Roman" w:cs="Times New Roman"/>
          <w:color w:val="FF0000"/>
          <w:sz w:val="20"/>
          <w:szCs w:val="20"/>
        </w:rPr>
        <w:t xml:space="preserve">X in </w:t>
      </w:r>
      <w:r>
        <w:rPr>
          <w:rFonts w:ascii="Times New Roman" w:eastAsia="Times New Roman" w:hAnsi="Times New Roman" w:cs="Times New Roman"/>
          <w:i/>
          <w:color w:val="FF0000"/>
          <w:sz w:val="20"/>
          <w:szCs w:val="20"/>
        </w:rPr>
        <w:t>Kajo</w:t>
      </w:r>
      <w:r>
        <w:rPr>
          <w:rFonts w:ascii="Times New Roman" w:eastAsia="Times New Roman" w:hAnsi="Times New Roman" w:cs="Times New Roman"/>
          <w:color w:val="FF0000"/>
          <w:sz w:val="20"/>
          <w:szCs w:val="20"/>
        </w:rPr>
        <w:t xml:space="preserve"> could have chosen (but not bound, persuasive only))</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Negotiating the Lease; three aspects merit special attention:</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Statute of Frauds</w:t>
      </w:r>
      <w:r>
        <w:rPr>
          <w:rFonts w:ascii="Times New Roman" w:eastAsia="Times New Roman" w:hAnsi="Times New Roman" w:cs="Times New Roman"/>
          <w:sz w:val="20"/>
          <w:szCs w:val="20"/>
        </w:rPr>
        <w:t xml:space="preserve"> – mandates that a lease of real property for a term of more than one year cannot be enforced unless it is in writi</w:t>
      </w:r>
      <w:r>
        <w:rPr>
          <w:rFonts w:ascii="Times New Roman" w:eastAsia="Times New Roman" w:hAnsi="Times New Roman" w:cs="Times New Roman"/>
          <w:sz w:val="20"/>
          <w:szCs w:val="20"/>
        </w:rPr>
        <w:t xml:space="preserve">ng; to meet this requirement the lease (or other document) must contain the key lease terms (parties, property, duration, and rent)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be signed by the party </w:t>
      </w:r>
      <w:r>
        <w:rPr>
          <w:rFonts w:ascii="Times New Roman" w:eastAsia="Times New Roman" w:hAnsi="Times New Roman" w:cs="Times New Roman"/>
          <w:i/>
          <w:sz w:val="20"/>
          <w:szCs w:val="20"/>
        </w:rPr>
        <w:t>against whom</w:t>
      </w:r>
      <w:r>
        <w:rPr>
          <w:rFonts w:ascii="Times New Roman" w:eastAsia="Times New Roman" w:hAnsi="Times New Roman" w:cs="Times New Roman"/>
          <w:sz w:val="20"/>
          <w:szCs w:val="20"/>
        </w:rPr>
        <w:t xml:space="preserve"> enforcement is sought</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Standard Forms</w:t>
      </w:r>
      <w:r>
        <w:rPr>
          <w:rFonts w:ascii="Times New Roman" w:eastAsia="Times New Roman" w:hAnsi="Times New Roman" w:cs="Times New Roman"/>
          <w:sz w:val="20"/>
          <w:szCs w:val="20"/>
        </w:rPr>
        <w:t xml:space="preserve"> – landlord and tenant usually negotiate key ter</w:t>
      </w:r>
      <w:r>
        <w:rPr>
          <w:rFonts w:ascii="Times New Roman" w:eastAsia="Times New Roman" w:hAnsi="Times New Roman" w:cs="Times New Roman"/>
          <w:sz w:val="20"/>
          <w:szCs w:val="20"/>
        </w:rPr>
        <w:t>ms (rent and duration) but the tenant is asked to sign a preprinted standard lease form without any meaningful opportunity to negotiate the other terms; in a commercial lease extensive bargaining often precedes the execution of a commercial lease</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Rent Cont</w:t>
      </w:r>
      <w:r>
        <w:rPr>
          <w:rFonts w:ascii="Times New Roman" w:eastAsia="Times New Roman" w:hAnsi="Times New Roman" w:cs="Times New Roman"/>
          <w:i/>
          <w:sz w:val="20"/>
          <w:szCs w:val="20"/>
        </w:rPr>
        <w:t>rol</w:t>
      </w:r>
      <w:r>
        <w:rPr>
          <w:rFonts w:ascii="Times New Roman" w:eastAsia="Times New Roman" w:hAnsi="Times New Roman" w:cs="Times New Roman"/>
          <w:sz w:val="20"/>
          <w:szCs w:val="20"/>
        </w:rPr>
        <w:t xml:space="preserve"> – local ordinances may limit the amount of rent that a residential landlord can charge; typical ordinance establishes a base rent for each unit and allows landlords an automatic increase for all units each year; though withering away, where it remains </w:t>
      </w:r>
      <w:r>
        <w:rPr>
          <w:rFonts w:ascii="Times New Roman" w:eastAsia="Times New Roman" w:hAnsi="Times New Roman" w:cs="Times New Roman"/>
          <w:sz w:val="20"/>
          <w:szCs w:val="20"/>
        </w:rPr>
        <w:t>it supersedes the ability of landlords and tenants to negotiate rents</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Delivering Possession – the landlord is obligated to deliver the legal right to possession when the lease term begins; under the majority view he is also required to deliver physical pos</w:t>
      </w:r>
      <w:r>
        <w:rPr>
          <w:rFonts w:ascii="Times New Roman" w:eastAsia="Times New Roman" w:hAnsi="Times New Roman" w:cs="Times New Roman"/>
          <w:sz w:val="20"/>
          <w:szCs w:val="20"/>
        </w:rPr>
        <w:t>session of the premises at the same time</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Keydata Corp. v. United States</w:t>
      </w:r>
      <w:r>
        <w:rPr>
          <w:rFonts w:ascii="Times New Roman" w:eastAsia="Times New Roman" w:hAnsi="Times New Roman" w:cs="Times New Roman"/>
          <w:color w:val="FF0000"/>
          <w:sz w:val="20"/>
          <w:szCs w:val="20"/>
          <w:shd w:val="clear" w:color="auto" w:fill="FFF2CC"/>
        </w:rPr>
        <w:t xml:space="preserve"> (United States Court of Claims, 1974)</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Commercial lease with holdover tenant – Keydata to move out, NASA to lease out computer room. Date mutually agreed upon but Keydata had not vacated the area on day of move in (date). NASA wants to end/perform on lease.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Two relatively innocent parties, problem is LL – if duty just to hand over legal possession, he did that (American Rule); if duty to hand over actual/physical possession he did not do that (English Rule)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COA/Claim: Keydata (Wyman) sues NASA in </w:t>
      </w:r>
      <w:r>
        <w:rPr>
          <w:rFonts w:ascii="Times New Roman" w:eastAsia="Times New Roman" w:hAnsi="Times New Roman" w:cs="Times New Roman"/>
          <w:color w:val="FF0000"/>
          <w:sz w:val="20"/>
          <w:szCs w:val="20"/>
          <w:u w:val="single"/>
        </w:rPr>
        <w:t>Court of Cla</w:t>
      </w:r>
      <w:r>
        <w:rPr>
          <w:rFonts w:ascii="Times New Roman" w:eastAsia="Times New Roman" w:hAnsi="Times New Roman" w:cs="Times New Roman"/>
          <w:color w:val="FF0000"/>
          <w:sz w:val="20"/>
          <w:szCs w:val="20"/>
          <w:u w:val="single"/>
        </w:rPr>
        <w:t>ims</w:t>
      </w:r>
      <w:r>
        <w:rPr>
          <w:rFonts w:ascii="Times New Roman" w:eastAsia="Times New Roman" w:hAnsi="Times New Roman" w:cs="Times New Roman"/>
          <w:color w:val="FF0000"/>
          <w:sz w:val="20"/>
          <w:szCs w:val="20"/>
        </w:rPr>
        <w:t xml:space="preserve"> alleging holdover doesn’t matter – valid lease and LL doesn’t have the duty to deliver actual/physical possession</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Does the LL have the duty to deliver actual or physical possession?</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Adoption of the English Rule as set out in the R.2d (disagree</w:t>
      </w:r>
      <w:r>
        <w:rPr>
          <w:rFonts w:ascii="Times New Roman" w:eastAsia="Times New Roman" w:hAnsi="Times New Roman" w:cs="Times New Roman"/>
          <w:color w:val="FF0000"/>
          <w:sz w:val="20"/>
          <w:szCs w:val="20"/>
        </w:rPr>
        <w:t xml:space="preserve"> with MA/American Rule)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American Rule: Legal possession only (MA rule)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English Rule: Legal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actual/physical possession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Don’t want state law to apply to the federal gov’t, want a uniform rule for the federal gov’t (adopting English Rule as the federa</w:t>
      </w:r>
      <w:r>
        <w:rPr>
          <w:rFonts w:ascii="Times New Roman" w:eastAsia="Times New Roman" w:hAnsi="Times New Roman" w:cs="Times New Roman"/>
          <w:color w:val="FF0000"/>
          <w:sz w:val="20"/>
          <w:szCs w:val="20"/>
        </w:rPr>
        <w:t>l rule)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avoid holdovers, English Rule provides the better rule (LL picked the person, knows about them whereas the prior party did not (or may not) pick, does not (or may not) know)</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set out in R.2d; more recent cases have adopted the English Rule (</w:t>
      </w:r>
      <w:r>
        <w:rPr>
          <w:rFonts w:ascii="Times New Roman" w:eastAsia="Times New Roman" w:hAnsi="Times New Roman" w:cs="Times New Roman"/>
          <w:color w:val="FF0000"/>
          <w:sz w:val="20"/>
          <w:szCs w:val="20"/>
        </w:rPr>
        <w:t xml:space="preserve">though perhaps not the majority rule)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Deny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motion for SJ, grant Δ’s motion to first COA and dismiss that portion of the petition</w:t>
      </w:r>
    </w:p>
    <w:p w:rsidR="00E46D95" w:rsidRDefault="006F495B">
      <w:pPr>
        <w:numPr>
          <w:ilvl w:val="3"/>
          <w:numId w:val="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Hannan v. Dusch </w:t>
      </w:r>
      <w:r>
        <w:rPr>
          <w:rFonts w:ascii="Times New Roman" w:eastAsia="Times New Roman" w:hAnsi="Times New Roman" w:cs="Times New Roman"/>
          <w:color w:val="FF0000"/>
          <w:sz w:val="20"/>
          <w:szCs w:val="20"/>
        </w:rPr>
        <w:t>(pg. 477), hypo: Takeaway – if can’t win on the law may be able to win on the facts (not going to over</w:t>
      </w:r>
      <w:r>
        <w:rPr>
          <w:rFonts w:ascii="Times New Roman" w:eastAsia="Times New Roman" w:hAnsi="Times New Roman" w:cs="Times New Roman"/>
          <w:color w:val="FF0000"/>
          <w:sz w:val="20"/>
          <w:szCs w:val="20"/>
        </w:rPr>
        <w:t>turn American Rule but may be able to argue that doesn’t apply)</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on legal right to possession (pg. 478) – all states agree that LL is required to deliver the legal right to possession when the lease term begins </w:t>
      </w:r>
    </w:p>
    <w:p w:rsidR="00E46D95" w:rsidRDefault="006F495B">
      <w:pPr>
        <w:ind w:left="2160"/>
        <w:rPr>
          <w:rFonts w:ascii="Times New Roman" w:eastAsia="Times New Roman" w:hAnsi="Times New Roman" w:cs="Times New Roman"/>
          <w:sz w:val="20"/>
          <w:szCs w:val="20"/>
        </w:rPr>
      </w:pPr>
      <w:r>
        <w:rPr>
          <w:rFonts w:ascii="Cardo" w:eastAsia="Cardo" w:hAnsi="Cardo" w:cs="Cardo"/>
          <w:color w:val="FF0000"/>
          <w:sz w:val="20"/>
          <w:szCs w:val="20"/>
        </w:rPr>
        <w:t xml:space="preserve">→ Kind of possession LL owes depends on </w:t>
      </w:r>
      <w:r>
        <w:rPr>
          <w:rFonts w:ascii="Cardo" w:eastAsia="Cardo" w:hAnsi="Cardo" w:cs="Cardo"/>
          <w:color w:val="FF0000"/>
          <w:sz w:val="20"/>
          <w:szCs w:val="20"/>
        </w:rPr>
        <w:t>the jurisdiction (i.e. English or American Rule – split among JDs on physical possession)</w:t>
      </w:r>
    </w:p>
    <w:p w:rsidR="00E46D95" w:rsidRDefault="006F495B">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Conditions of the Premises – traditionally the duty to repair the premises was placed on the tenant; now:</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Challenge of Substandard Housing</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In re Clark</w:t>
      </w:r>
      <w:r>
        <w:rPr>
          <w:rFonts w:ascii="Times New Roman" w:eastAsia="Times New Roman" w:hAnsi="Times New Roman" w:cs="Times New Roman"/>
          <w:color w:val="FF0000"/>
          <w:sz w:val="20"/>
          <w:szCs w:val="20"/>
          <w:shd w:val="clear" w:color="auto" w:fill="FFF2CC"/>
        </w:rPr>
        <w:t xml:space="preserve"> (United States Bankruptcy Court, Eastern District of Pennsylvania, 1989)</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Bankruptcy Court decision in Philadelphia, slumlord case </w:t>
      </w:r>
    </w:p>
    <w:p w:rsidR="00E46D95" w:rsidRDefault="006F495B">
      <w:pPr>
        <w:numPr>
          <w:ilvl w:val="3"/>
          <w:numId w:val="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Caveat emptor</w:t>
      </w:r>
      <w:r>
        <w:rPr>
          <w:rFonts w:ascii="Times New Roman" w:eastAsia="Times New Roman" w:hAnsi="Times New Roman" w:cs="Times New Roman"/>
          <w:color w:val="FF0000"/>
          <w:sz w:val="20"/>
          <w:szCs w:val="20"/>
        </w:rPr>
        <w:t xml:space="preserve"> – “buyer beware”; </w:t>
      </w:r>
      <w:r>
        <w:rPr>
          <w:rFonts w:ascii="Times New Roman" w:eastAsia="Times New Roman" w:hAnsi="Times New Roman" w:cs="Times New Roman"/>
          <w:color w:val="FF0000"/>
          <w:sz w:val="20"/>
          <w:szCs w:val="20"/>
          <w:u w:val="single"/>
        </w:rPr>
        <w:t>traditional approach</w:t>
      </w:r>
      <w:r>
        <w:rPr>
          <w:rFonts w:ascii="Times New Roman" w:eastAsia="Times New Roman" w:hAnsi="Times New Roman" w:cs="Times New Roman"/>
          <w:color w:val="FF0000"/>
          <w:sz w:val="20"/>
          <w:szCs w:val="20"/>
        </w:rPr>
        <w:t xml:space="preserve"> to put it in the lease/negotiate expectations (i.e. that will produc</w:t>
      </w:r>
      <w:r>
        <w:rPr>
          <w:rFonts w:ascii="Times New Roman" w:eastAsia="Times New Roman" w:hAnsi="Times New Roman" w:cs="Times New Roman"/>
          <w:color w:val="FF0000"/>
          <w:sz w:val="20"/>
          <w:szCs w:val="20"/>
        </w:rPr>
        <w:t xml:space="preserve">e a habitable dwelling), if you don’t it’s your fault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Revolution, why doesn’t this traditional approach actually work?</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Tenants unable to repair/afford repairs; no good alternatives – i.e. a seller’s market (where seller’s market, no negotiations)</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Tenants/</w:t>
      </w:r>
      <w:r>
        <w:rPr>
          <w:rFonts w:ascii="Times New Roman" w:eastAsia="Times New Roman" w:hAnsi="Times New Roman" w:cs="Times New Roman"/>
          <w:color w:val="FF0000"/>
          <w:sz w:val="20"/>
          <w:szCs w:val="20"/>
        </w:rPr>
        <w:t>leases/the purpose of leases are all different since origins of LL-T law (in America, Jeffersonian era and yeoman farmers) – assumptions underlying traditional LL-T law inapplicable for modern and esp. low-income tenants</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Tenant at common law (traditionally</w:t>
      </w:r>
      <w:r>
        <w:rPr>
          <w:rFonts w:ascii="Times New Roman" w:eastAsia="Times New Roman" w:hAnsi="Times New Roman" w:cs="Times New Roman"/>
          <w:color w:val="FF0000"/>
          <w:sz w:val="20"/>
          <w:szCs w:val="20"/>
        </w:rPr>
        <w:t xml:space="preserve">) did have one defense – no obligation of rent if evicted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(pg. 481) one could be “constructively evicted” – special protection for the tenant in defective leased premises </w:t>
      </w:r>
    </w:p>
    <w:p w:rsidR="00E46D95" w:rsidRDefault="006F495B">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Could have made a case for constructive eviction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would have had to leave and</w:t>
      </w:r>
      <w:r>
        <w:rPr>
          <w:rFonts w:ascii="Times New Roman" w:eastAsia="Times New Roman" w:hAnsi="Times New Roman" w:cs="Times New Roman"/>
          <w:color w:val="FF0000"/>
          <w:sz w:val="20"/>
          <w:szCs w:val="20"/>
        </w:rPr>
        <w:t xml:space="preserve"> leave within a “reasonable” amount of time – not realistic for many tenants who want to stay, don’t have the option to leave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Waste – all future interest holders, like LL, have a waste COA</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Permissive waste – present interest holder can’t let place run over implicating duty to repair/maintain the place and would need to continue paying rent (obligated) (under traditional approach)</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Legal possession everywhere/physical possession in most JDs pr</w:t>
      </w:r>
      <w:r>
        <w:rPr>
          <w:rFonts w:ascii="Times New Roman" w:eastAsia="Times New Roman" w:hAnsi="Times New Roman" w:cs="Times New Roman"/>
          <w:color w:val="FF0000"/>
          <w:sz w:val="20"/>
          <w:szCs w:val="20"/>
        </w:rPr>
        <w:t xml:space="preserve">omised in a lease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Enforcement issue of code violations – LL in violation of numerous code provisions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Cities can enforce but often don’t (because resources or whatnot) </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Constructive Eviction</w:t>
      </w:r>
      <w:r>
        <w:rPr>
          <w:rFonts w:ascii="Times New Roman" w:eastAsia="Times New Roman" w:hAnsi="Times New Roman" w:cs="Times New Roman"/>
          <w:sz w:val="20"/>
          <w:szCs w:val="20"/>
        </w:rPr>
        <w:t xml:space="preserve"> – wrongful conduct by the landlord that substantially interfered </w:t>
      </w:r>
      <w:r>
        <w:rPr>
          <w:rFonts w:ascii="Times New Roman" w:eastAsia="Times New Roman" w:hAnsi="Times New Roman" w:cs="Times New Roman"/>
          <w:sz w:val="20"/>
          <w:szCs w:val="20"/>
        </w:rPr>
        <w:t>with the tenant's beneficial use and enjoyment of leased premises; under these circumstances the tenant could vacate the premises and end the lease avoiding the liability for future rent</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Implied covenant of quiet enjoyment</w:t>
      </w:r>
      <w:r>
        <w:rPr>
          <w:rFonts w:ascii="Times New Roman" w:eastAsia="Times New Roman" w:hAnsi="Times New Roman" w:cs="Times New Roman"/>
          <w:sz w:val="20"/>
          <w:szCs w:val="20"/>
        </w:rPr>
        <w:t xml:space="preserve"> – a promise by the landlord that </w:t>
      </w:r>
      <w:r>
        <w:rPr>
          <w:rFonts w:ascii="Times New Roman" w:eastAsia="Times New Roman" w:hAnsi="Times New Roman" w:cs="Times New Roman"/>
          <w:sz w:val="20"/>
          <w:szCs w:val="20"/>
        </w:rPr>
        <w:t xml:space="preserve">he would not wrongfully interfere with the tenant’s possession </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Actual eviction</w:t>
      </w:r>
      <w:r>
        <w:rPr>
          <w:rFonts w:ascii="Times New Roman" w:eastAsia="Times New Roman" w:hAnsi="Times New Roman" w:cs="Times New Roman"/>
          <w:sz w:val="20"/>
          <w:szCs w:val="20"/>
        </w:rPr>
        <w:t xml:space="preserve"> – only exception to this implied covenant at common law, if the landlord physically evicted the tenant, this breached the covenant and ended the lease</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Constructive eviction </w:t>
      </w:r>
      <w:r>
        <w:rPr>
          <w:rFonts w:ascii="Times New Roman" w:eastAsia="Times New Roman" w:hAnsi="Times New Roman" w:cs="Times New Roman"/>
          <w:sz w:val="20"/>
          <w:szCs w:val="20"/>
        </w:rPr>
        <w:t>– o</w:t>
      </w:r>
      <w:r>
        <w:rPr>
          <w:rFonts w:ascii="Times New Roman" w:eastAsia="Times New Roman" w:hAnsi="Times New Roman" w:cs="Times New Roman"/>
          <w:sz w:val="20"/>
          <w:szCs w:val="20"/>
        </w:rPr>
        <w:t xml:space="preserve">ver time attys successfully argued that conduct other than actual eviction might so substantially interfere with the tenant’s possession that it was the </w:t>
      </w:r>
      <w:r>
        <w:rPr>
          <w:rFonts w:ascii="Times New Roman" w:eastAsia="Times New Roman" w:hAnsi="Times New Roman" w:cs="Times New Roman"/>
          <w:i/>
          <w:sz w:val="20"/>
          <w:szCs w:val="20"/>
        </w:rPr>
        <w:t>functional equivalent</w:t>
      </w:r>
      <w:r>
        <w:rPr>
          <w:rFonts w:ascii="Times New Roman" w:eastAsia="Times New Roman" w:hAnsi="Times New Roman" w:cs="Times New Roman"/>
          <w:sz w:val="20"/>
          <w:szCs w:val="20"/>
        </w:rPr>
        <w:t xml:space="preserve"> of action eviction; key questions in every constructive eviction case: (1) What c</w:t>
      </w:r>
      <w:r>
        <w:rPr>
          <w:rFonts w:ascii="Times New Roman" w:eastAsia="Times New Roman" w:hAnsi="Times New Roman" w:cs="Times New Roman"/>
          <w:sz w:val="20"/>
          <w:szCs w:val="20"/>
        </w:rPr>
        <w:t>onstitutes “wrongful conduct”? (2) Which conduct is “by the landlord”? And (3) what conduct “substantially interferes” with the tenant’s rights?</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Fidelity Mutual Life Insurance Co. v. Kaminsky</w:t>
      </w:r>
      <w:r>
        <w:rPr>
          <w:rFonts w:ascii="Times New Roman" w:eastAsia="Times New Roman" w:hAnsi="Times New Roman" w:cs="Times New Roman"/>
          <w:color w:val="FF0000"/>
          <w:sz w:val="20"/>
          <w:szCs w:val="20"/>
          <w:shd w:val="clear" w:color="auto" w:fill="FFF2CC"/>
        </w:rPr>
        <w:t xml:space="preserve"> (Court of Appeals of Texas, 1989)</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Fidelity suing Dr. Kamin</w:t>
      </w:r>
      <w:r>
        <w:rPr>
          <w:rFonts w:ascii="Times New Roman" w:eastAsia="Times New Roman" w:hAnsi="Times New Roman" w:cs="Times New Roman"/>
          <w:color w:val="FF0000"/>
          <w:sz w:val="20"/>
          <w:szCs w:val="20"/>
        </w:rPr>
        <w:t xml:space="preserve">sky for failure to pay rent (leasing from Fidelity’s agent, commercial lease), in lease express clause for private enjoyment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in Texas running an abortion clinic so protestors; Dr. Kaminsky leaves and refuses rent (constructive eviction case)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Wants to get out of legal possession and therefore rent obligation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Δ was constructively evicted – failure to respond to/do anything about protestors enough to affect business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left within a reasonable amount of time (v. </w:t>
      </w:r>
      <w:r>
        <w:rPr>
          <w:rFonts w:ascii="Times New Roman" w:eastAsia="Times New Roman" w:hAnsi="Times New Roman" w:cs="Times New Roman"/>
          <w:i/>
          <w:color w:val="FF0000"/>
          <w:sz w:val="20"/>
          <w:szCs w:val="20"/>
        </w:rPr>
        <w:t>Paolucci</w:t>
      </w:r>
      <w:r>
        <w:rPr>
          <w:rFonts w:ascii="Times New Roman" w:eastAsia="Times New Roman" w:hAnsi="Times New Roman" w:cs="Times New Roman"/>
          <w:color w:val="FF0000"/>
          <w:sz w:val="20"/>
          <w:szCs w:val="20"/>
        </w:rPr>
        <w: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Classically have</w:t>
      </w:r>
      <w:r>
        <w:rPr>
          <w:rFonts w:ascii="Times New Roman" w:eastAsia="Times New Roman" w:hAnsi="Times New Roman" w:cs="Times New Roman"/>
          <w:color w:val="FF0000"/>
          <w:sz w:val="20"/>
          <w:szCs w:val="20"/>
        </w:rPr>
        <w:t xml:space="preserve"> to leave in constructive eviction case (alike classic eviction case), exception would be declaratory relief</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Can’t be constructively evicted by 3rd parties (i.e. like the protestors)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here the LL technically evicting them by failing to act upon th</w:t>
      </w:r>
      <w:r>
        <w:rPr>
          <w:rFonts w:ascii="Times New Roman" w:eastAsia="Times New Roman" w:hAnsi="Times New Roman" w:cs="Times New Roman"/>
          <w:color w:val="FF0000"/>
          <w:sz w:val="20"/>
          <w:szCs w:val="20"/>
        </w:rPr>
        <w:t>eir duties (doing nothing), must figure out duties – must not substantially interfere with duties of the lease (express term)</w:t>
      </w:r>
    </w:p>
    <w:p w:rsidR="00E46D95" w:rsidRDefault="006F495B">
      <w:pPr>
        <w:numPr>
          <w:ilvl w:val="4"/>
          <w:numId w:val="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arguable because protestors only once a week, could have performed abortions on other days, etc.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Notes a, c, &amp; d (pg. 489) – </w:t>
      </w:r>
      <w:r>
        <w:rPr>
          <w:rFonts w:ascii="Times New Roman" w:eastAsia="Times New Roman" w:hAnsi="Times New Roman" w:cs="Times New Roman"/>
          <w:color w:val="FF0000"/>
          <w:sz w:val="20"/>
          <w:szCs w:val="20"/>
        </w:rPr>
        <w:t xml:space="preserve">“wrongful conduct,” “substantial interference,” and procedural steps [for constructive eviction]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JMB Properties Urban Co. v. Paolucci</w:t>
      </w:r>
      <w:r>
        <w:rPr>
          <w:rFonts w:ascii="Times New Roman" w:eastAsia="Times New Roman" w:hAnsi="Times New Roman" w:cs="Times New Roman"/>
          <w:color w:val="FF0000"/>
          <w:sz w:val="20"/>
          <w:szCs w:val="20"/>
          <w:shd w:val="clear" w:color="auto" w:fill="FFF2CC"/>
        </w:rPr>
        <w:t xml:space="preserve"> (Appellate Court of Illinois, 1992)</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F/PH: Commercial lease (jeweler) being sued by mall LL for failure to pay rent (co</w:t>
      </w:r>
      <w:r>
        <w:rPr>
          <w:rFonts w:ascii="Times New Roman" w:eastAsia="Times New Roman" w:hAnsi="Times New Roman" w:cs="Times New Roman"/>
          <w:color w:val="FF0000"/>
          <w:sz w:val="20"/>
          <w:szCs w:val="20"/>
        </w:rPr>
        <w:t>nstructive evict claim); jewelry store next to audio/video store, claims constructively evicted for failure to act on noise issues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Ended lease prematurely and moved within 5 miles (also in violation of the K)</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Claims losing/impacting business because custom</w:t>
      </w:r>
      <w:r>
        <w:rPr>
          <w:rFonts w:ascii="Times New Roman" w:eastAsia="Times New Roman" w:hAnsi="Times New Roman" w:cs="Times New Roman"/>
          <w:color w:val="FF0000"/>
          <w:sz w:val="20"/>
          <w:szCs w:val="20"/>
        </w:rPr>
        <w:t>er complaints, failure to do fragile jewelry repairs</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Constructive eviction</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No constructive eviction for failure to leave within a </w:t>
      </w:r>
      <w:r>
        <w:rPr>
          <w:rFonts w:ascii="Times New Roman" w:eastAsia="Times New Roman" w:hAnsi="Times New Roman" w:cs="Times New Roman"/>
          <w:i/>
          <w:color w:val="FF0000"/>
          <w:sz w:val="20"/>
          <w:szCs w:val="20"/>
        </w:rPr>
        <w:t xml:space="preserve">reasonable </w:t>
      </w:r>
      <w:r>
        <w:rPr>
          <w:rFonts w:ascii="Times New Roman" w:eastAsia="Times New Roman" w:hAnsi="Times New Roman" w:cs="Times New Roman"/>
          <w:color w:val="FF0000"/>
          <w:sz w:val="20"/>
          <w:szCs w:val="20"/>
        </w:rPr>
        <w:t>amount of time</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Highlights failure of constructive eviction (must leave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within a reasonable amount of t</w:t>
      </w:r>
      <w:r>
        <w:rPr>
          <w:rFonts w:ascii="Times New Roman" w:eastAsia="Times New Roman" w:hAnsi="Times New Roman" w:cs="Times New Roman"/>
          <w:color w:val="FF0000"/>
          <w:sz w:val="20"/>
          <w:szCs w:val="20"/>
        </w:rPr>
        <w:t>ime and unclear)</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Signed new lease after issue(s) started and remained for 5ish(?) years</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490 Problems, see laundry list of “wrongful conduct” on pg. 489 – LL (1) fails to perform an obligation in the lease, (2) fails to adequately maintain and control the </w:t>
      </w:r>
      <w:r>
        <w:rPr>
          <w:rFonts w:ascii="Times New Roman" w:eastAsia="Times New Roman" w:hAnsi="Times New Roman" w:cs="Times New Roman"/>
          <w:color w:val="FF0000"/>
          <w:sz w:val="20"/>
          <w:szCs w:val="20"/>
          <w:u w:val="single"/>
        </w:rPr>
        <w:t>common area</w:t>
      </w:r>
      <w:r>
        <w:rPr>
          <w:rFonts w:ascii="Times New Roman" w:eastAsia="Times New Roman" w:hAnsi="Times New Roman" w:cs="Times New Roman"/>
          <w:color w:val="FF0000"/>
          <w:sz w:val="20"/>
          <w:szCs w:val="20"/>
        </w:rPr>
        <w:t xml:space="preserve"> (i.e. stairwells, hallways), (3) breaches a statutory duty owed to the te</w:t>
      </w:r>
      <w:r>
        <w:rPr>
          <w:rFonts w:ascii="Times New Roman" w:eastAsia="Times New Roman" w:hAnsi="Times New Roman" w:cs="Times New Roman"/>
          <w:color w:val="FF0000"/>
          <w:sz w:val="20"/>
          <w:szCs w:val="20"/>
        </w:rPr>
        <w:t xml:space="preserve">nant, (4) fails to perform promised repairs, or (5) allows nuisance-like behavior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Problem 1: If no AC, would very likely be wrongful conduct</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Problem 2: Draw parallels to/distinguish </w:t>
      </w:r>
      <w:r>
        <w:rPr>
          <w:rFonts w:ascii="Times New Roman" w:eastAsia="Times New Roman" w:hAnsi="Times New Roman" w:cs="Times New Roman"/>
          <w:i/>
          <w:color w:val="FF0000"/>
          <w:sz w:val="20"/>
          <w:szCs w:val="20"/>
        </w:rPr>
        <w:t>Paolucci</w:t>
      </w:r>
      <w:r>
        <w:rPr>
          <w:rFonts w:ascii="Times New Roman" w:eastAsia="Times New Roman" w:hAnsi="Times New Roman" w:cs="Times New Roman"/>
          <w:color w:val="FF0000"/>
          <w:sz w:val="20"/>
          <w:szCs w:val="20"/>
        </w:rPr>
        <w:t xml:space="preserve"> to argue either way (likely no wrongful conduct if nothing in th</w:t>
      </w:r>
      <w:r>
        <w:rPr>
          <w:rFonts w:ascii="Times New Roman" w:eastAsia="Times New Roman" w:hAnsi="Times New Roman" w:cs="Times New Roman"/>
          <w:color w:val="FF0000"/>
          <w:sz w:val="20"/>
          <w:szCs w:val="20"/>
        </w:rPr>
        <w:t>e lease)</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Implied Warranty of Habitability – the most significant accomplishment of the landlord-tenant revolution to protect residential tenants from defective housing conditions; requires a residential landlord to maintain the premises in a habitable cond</w:t>
      </w:r>
      <w:r>
        <w:rPr>
          <w:rFonts w:ascii="Times New Roman" w:eastAsia="Times New Roman" w:hAnsi="Times New Roman" w:cs="Times New Roman"/>
          <w:sz w:val="20"/>
          <w:szCs w:val="20"/>
        </w:rPr>
        <w:t>ition</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Remedies for Breach</w:t>
      </w:r>
    </w:p>
    <w:p w:rsidR="00E46D95" w:rsidRDefault="006F495B">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Withhold Rent</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Repair and Deduct</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Sue for Damages</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Wade v. Jobe </w:t>
      </w:r>
      <w:r>
        <w:rPr>
          <w:rFonts w:ascii="Times New Roman" w:eastAsia="Times New Roman" w:hAnsi="Times New Roman" w:cs="Times New Roman"/>
          <w:color w:val="FF0000"/>
          <w:sz w:val="20"/>
          <w:szCs w:val="20"/>
          <w:shd w:val="clear" w:color="auto" w:fill="FFF2CC"/>
        </w:rPr>
        <w:t>(Supreme Court of Utah, 1991)</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Implied Warranty of Habitability (historic change in LL-T law)</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Unlike constructive eviction, only applicable to residential leases (and usually not high-end residences, more like </w:t>
      </w:r>
      <w:r>
        <w:rPr>
          <w:rFonts w:ascii="Times New Roman" w:eastAsia="Times New Roman" w:hAnsi="Times New Roman" w:cs="Times New Roman"/>
          <w:i/>
          <w:color w:val="FF0000"/>
          <w:sz w:val="20"/>
          <w:szCs w:val="20"/>
        </w:rPr>
        <w:t>In re Clark</w:t>
      </w:r>
      <w:r>
        <w:rPr>
          <w:rFonts w:ascii="Times New Roman" w:eastAsia="Times New Roman" w:hAnsi="Times New Roman" w:cs="Times New Roman"/>
          <w:color w:val="FF0000"/>
          <w:sz w:val="20"/>
          <w:szCs w:val="20"/>
        </w:rPr>
        <w: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Various defects, no permanent repairs made. Decides to withhold rent until permanent repair, brings in 3rd party to inspect </w:t>
      </w:r>
      <w:r>
        <w:rPr>
          <w:rFonts w:ascii="Times New Roman" w:eastAsia="Times New Roman" w:hAnsi="Times New Roman" w:cs="Times New Roman"/>
          <w:color w:val="FF0000"/>
          <w:sz w:val="20"/>
          <w:szCs w:val="20"/>
        </w:rPr>
        <w:t xml:space="preserve">who note numerous violations/uninhabitable, finally moves out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LL sues T for unpaid rent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w:t>
      </w:r>
      <w:r>
        <w:rPr>
          <w:rFonts w:ascii="Times New Roman" w:eastAsia="Times New Roman" w:hAnsi="Times New Roman" w:cs="Times New Roman"/>
          <w:i/>
          <w:color w:val="FF0000"/>
          <w:sz w:val="20"/>
          <w:szCs w:val="20"/>
        </w:rPr>
        <w:t xml:space="preserve">Caveat emptor </w:t>
      </w:r>
      <w:r>
        <w:rPr>
          <w:rFonts w:ascii="Times New Roman" w:eastAsia="Times New Roman" w:hAnsi="Times New Roman" w:cs="Times New Roman"/>
          <w:color w:val="FF0000"/>
          <w:sz w:val="20"/>
          <w:szCs w:val="20"/>
        </w:rPr>
        <w:t>applies (LL awarded judgment of unpaid rent), implied warranty of habitability doesn’t apply (trial judges don’t like changing rules)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R: Under ind</w:t>
      </w:r>
      <w:r>
        <w:rPr>
          <w:rFonts w:ascii="Times New Roman" w:eastAsia="Times New Roman" w:hAnsi="Times New Roman" w:cs="Times New Roman"/>
          <w:color w:val="FF0000"/>
          <w:sz w:val="20"/>
          <w:szCs w:val="20"/>
        </w:rPr>
        <w:t>ependent covenants, can take various actions but cannot withhold rent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Adopts implied warranty of habitability in UT (undercutting </w:t>
      </w:r>
      <w:r>
        <w:rPr>
          <w:rFonts w:ascii="Times New Roman" w:eastAsia="Times New Roman" w:hAnsi="Times New Roman" w:cs="Times New Roman"/>
          <w:i/>
          <w:color w:val="FF0000"/>
          <w:sz w:val="20"/>
          <w:szCs w:val="20"/>
        </w:rPr>
        <w:t>caveat emptor</w:t>
      </w:r>
      <w:r>
        <w:rPr>
          <w:rFonts w:ascii="Times New Roman" w:eastAsia="Times New Roman" w:hAnsi="Times New Roman" w:cs="Times New Roman"/>
          <w:color w:val="FF0000"/>
          <w:sz w:val="20"/>
          <w:szCs w:val="20"/>
        </w:rPr>
        <w:t xml:space="preserve"> – put those clauses in the lease, inspect beforehand)</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Depends on individual facts of each case but gene</w:t>
      </w:r>
      <w:r>
        <w:rPr>
          <w:rFonts w:ascii="Times New Roman" w:eastAsia="Times New Roman" w:hAnsi="Times New Roman" w:cs="Times New Roman"/>
          <w:color w:val="FF0000"/>
          <w:sz w:val="20"/>
          <w:szCs w:val="20"/>
        </w:rPr>
        <w:t xml:space="preserve">ral rule that the LL maintain “bare living requirements,” substantial compliance with the housing code... (pg. 494); minor violations and perfect living conditions </w:t>
      </w:r>
      <w:r>
        <w:rPr>
          <w:rFonts w:ascii="Times New Roman" w:eastAsia="Times New Roman" w:hAnsi="Times New Roman" w:cs="Times New Roman"/>
          <w:i/>
          <w:color w:val="FF0000"/>
          <w:sz w:val="20"/>
          <w:szCs w:val="20"/>
        </w:rPr>
        <w:t xml:space="preserve">don’t </w:t>
      </w:r>
      <w:r>
        <w:rPr>
          <w:rFonts w:ascii="Times New Roman" w:eastAsia="Times New Roman" w:hAnsi="Times New Roman" w:cs="Times New Roman"/>
          <w:color w:val="FF0000"/>
          <w:sz w:val="20"/>
          <w:szCs w:val="20"/>
        </w:rPr>
        <w:t>invoke the implied warranty of habitability</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Tenants/leases/lease purposes not the s</w:t>
      </w:r>
      <w:r>
        <w:rPr>
          <w:rFonts w:ascii="Times New Roman" w:eastAsia="Times New Roman" w:hAnsi="Times New Roman" w:cs="Times New Roman"/>
          <w:color w:val="FF0000"/>
          <w:sz w:val="20"/>
          <w:szCs w:val="20"/>
        </w:rPr>
        <w:t>ame as used to be (see book)</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Distinguish from constructive eviction – </w:t>
      </w:r>
      <w:r>
        <w:rPr>
          <w:rFonts w:ascii="Times New Roman" w:eastAsia="Times New Roman" w:hAnsi="Times New Roman" w:cs="Times New Roman"/>
          <w:color w:val="FF0000"/>
          <w:sz w:val="20"/>
          <w:szCs w:val="20"/>
          <w:u w:val="single"/>
        </w:rPr>
        <w:t>doesn’t have to leave/move out to activate this right and therefore do not have to worry about a reasonable time period at all</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May also collect damages, get injunctive relief, can repair</w:t>
      </w:r>
      <w:r>
        <w:rPr>
          <w:rFonts w:ascii="Times New Roman" w:eastAsia="Times New Roman" w:hAnsi="Times New Roman" w:cs="Times New Roman"/>
          <w:color w:val="FF0000"/>
          <w:sz w:val="20"/>
          <w:szCs w:val="20"/>
        </w:rPr>
        <w:t xml:space="preserve"> herself and charge the LL for those repairs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IWH more narrow than CE but damages/remedies much broader</w:t>
      </w:r>
      <w:r>
        <w:rPr>
          <w:rFonts w:ascii="Times New Roman" w:eastAsia="Times New Roman" w:hAnsi="Times New Roman" w:cs="Times New Roman"/>
          <w:color w:val="FF0000"/>
          <w:sz w:val="20"/>
          <w:szCs w:val="20"/>
        </w:rPr>
        <w:t xml:space="preserve"> (puts pressure on the LL to fix the problem)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Most jurisdictions award tenants lots of different remedies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Teller v. McCoy </w:t>
      </w:r>
      <w:r>
        <w:rPr>
          <w:rFonts w:ascii="Times New Roman" w:eastAsia="Times New Roman" w:hAnsi="Times New Roman" w:cs="Times New Roman"/>
          <w:color w:val="FF0000"/>
          <w:sz w:val="20"/>
          <w:szCs w:val="20"/>
          <w:shd w:val="clear" w:color="auto" w:fill="FFF2CC"/>
        </w:rPr>
        <w:t xml:space="preserve">(Supreme Court of Appeals of </w:t>
      </w:r>
      <w:r>
        <w:rPr>
          <w:rFonts w:ascii="Times New Roman" w:eastAsia="Times New Roman" w:hAnsi="Times New Roman" w:cs="Times New Roman"/>
          <w:color w:val="FF0000"/>
          <w:sz w:val="20"/>
          <w:szCs w:val="20"/>
          <w:shd w:val="clear" w:color="auto" w:fill="FFF2CC"/>
        </w:rPr>
        <w:t>West Virginia, 1978)</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Dissent to WV decision adopting the IWH (for reasons similar to above) – argues creating irrational higher standard for habitability, may be worried about LLs getting out of the LL business </w:t>
      </w:r>
    </w:p>
    <w:p w:rsidR="00E46D95" w:rsidRDefault="006F495B">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Transferring the Tenant’s Interest – generally the tenant and landlord are both entitled to transfer their interests to third parties (re freedom of alienation policy); two ways a tenant may transfer her rights (the method chosen affects the rights and dut</w:t>
      </w:r>
      <w:r>
        <w:rPr>
          <w:rFonts w:ascii="Times New Roman" w:eastAsia="Times New Roman" w:hAnsi="Times New Roman" w:cs="Times New Roman"/>
          <w:sz w:val="20"/>
          <w:szCs w:val="20"/>
        </w:rPr>
        <w:t>ies of the landlord, tenant, and transferee after the transfer occurs):</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Assignment</w:t>
      </w:r>
      <w:r>
        <w:rPr>
          <w:rFonts w:ascii="Times New Roman" w:eastAsia="Times New Roman" w:hAnsi="Times New Roman" w:cs="Times New Roman"/>
          <w:sz w:val="20"/>
          <w:szCs w:val="20"/>
        </w:rPr>
        <w:t xml:space="preserve"> – the transfer of a tenant’s entire remaining lease term to a third person (under the majority test)</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Sublease</w:t>
      </w:r>
      <w:r>
        <w:rPr>
          <w:rFonts w:ascii="Times New Roman" w:eastAsia="Times New Roman" w:hAnsi="Times New Roman" w:cs="Times New Roman"/>
          <w:sz w:val="20"/>
          <w:szCs w:val="20"/>
        </w:rPr>
        <w:t xml:space="preserve"> – the transfer of less than the entire term </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Privity of</w:t>
      </w:r>
      <w:r>
        <w:rPr>
          <w:rFonts w:ascii="Times New Roman" w:eastAsia="Times New Roman" w:hAnsi="Times New Roman" w:cs="Times New Roman"/>
          <w:i/>
          <w:sz w:val="20"/>
          <w:szCs w:val="20"/>
        </w:rPr>
        <w:t xml:space="preserve"> Contract </w:t>
      </w:r>
      <w:r>
        <w:rPr>
          <w:rFonts w:ascii="Times New Roman" w:eastAsia="Times New Roman" w:hAnsi="Times New Roman" w:cs="Times New Roman"/>
          <w:sz w:val="20"/>
          <w:szCs w:val="20"/>
        </w:rPr>
        <w:t>– where lease is a contract, both the landlord and tenant have rights and duties under contract law</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Privity of Estate</w:t>
      </w:r>
      <w:r>
        <w:rPr>
          <w:rFonts w:ascii="Times New Roman" w:eastAsia="Times New Roman" w:hAnsi="Times New Roman" w:cs="Times New Roman"/>
          <w:sz w:val="20"/>
          <w:szCs w:val="20"/>
        </w:rPr>
        <w:t xml:space="preserve"> – where lease is a conveyance of an estate in land, there is this relationship arising out of property law in which the tenant a</w:t>
      </w:r>
      <w:r>
        <w:rPr>
          <w:rFonts w:ascii="Times New Roman" w:eastAsia="Times New Roman" w:hAnsi="Times New Roman" w:cs="Times New Roman"/>
          <w:sz w:val="20"/>
          <w:szCs w:val="20"/>
        </w:rPr>
        <w:t xml:space="preserve">nd landlord also have rights and duties arising from privity of estate regardless of contract law; consider a feudal holdover – a person who occupies land owned by another has certain rights and duties based simply on that possession </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Lindsey v. Normet </w:t>
      </w:r>
      <w:r>
        <w:rPr>
          <w:rFonts w:ascii="Times New Roman" w:eastAsia="Times New Roman" w:hAnsi="Times New Roman" w:cs="Times New Roman"/>
          <w:color w:val="FF0000"/>
          <w:sz w:val="20"/>
          <w:szCs w:val="20"/>
          <w:shd w:val="clear" w:color="auto" w:fill="FFF2CC"/>
        </w:rPr>
        <w:t>(SC</w:t>
      </w:r>
      <w:r>
        <w:rPr>
          <w:rFonts w:ascii="Times New Roman" w:eastAsia="Times New Roman" w:hAnsi="Times New Roman" w:cs="Times New Roman"/>
          <w:color w:val="FF0000"/>
          <w:sz w:val="20"/>
          <w:szCs w:val="20"/>
          <w:shd w:val="clear" w:color="auto" w:fill="FFF2CC"/>
        </w:rPr>
        <w:t>OTUS, 1972)</w:t>
      </w:r>
      <w:r>
        <w:rPr>
          <w:rFonts w:ascii="Times New Roman" w:eastAsia="Times New Roman" w:hAnsi="Times New Roman" w:cs="Times New Roman"/>
          <w:color w:val="FF0000"/>
          <w:sz w:val="20"/>
          <w:szCs w:val="20"/>
        </w:rPr>
        <w:t xml:space="preserve"> –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Month-to-month residential lease, $100/month rent, condition of premises poor (City declared unfit for habitation – good evidence for the tenants’ case, but city didn’t do anything about/enforce)</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Tenants sue exercising own form of sel</w:t>
      </w:r>
      <w:r>
        <w:rPr>
          <w:rFonts w:ascii="Times New Roman" w:eastAsia="Times New Roman" w:hAnsi="Times New Roman" w:cs="Times New Roman"/>
          <w:color w:val="FF0000"/>
          <w:sz w:val="20"/>
          <w:szCs w:val="20"/>
        </w:rPr>
        <w:t>f-help –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claim don’t have to pay rent; challenge the statute (know LL will use), seek declaratory judgment (injunction(?)) against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FED Statute (Summary Eviction), statute evoked by LL – says have to pay rent anyway, promises independent of each other</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Because uninhabitable, don’t have to pay rent – rent conditioned on apt’s condition (i.e. promise to pay rent conditioned on certain circumstances, i.e. the apt not being a dumb)</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Doctrine of…: May be a dump… but </w:t>
      </w:r>
      <w:r>
        <w:rPr>
          <w:rFonts w:ascii="Times New Roman" w:eastAsia="Times New Roman" w:hAnsi="Times New Roman" w:cs="Times New Roman"/>
          <w:color w:val="FF0000"/>
          <w:sz w:val="20"/>
          <w:szCs w:val="20"/>
          <w:u w:val="single"/>
        </w:rPr>
        <w:t>this issue is solely that didn’t pay ren</w:t>
      </w:r>
      <w:r>
        <w:rPr>
          <w:rFonts w:ascii="Times New Roman" w:eastAsia="Times New Roman" w:hAnsi="Times New Roman" w:cs="Times New Roman"/>
          <w:color w:val="FF0000"/>
          <w:sz w:val="20"/>
          <w:szCs w:val="20"/>
          <w:u w:val="single"/>
        </w:rPr>
        <w:t>t</w:t>
      </w:r>
      <w:r>
        <w:rPr>
          <w:rFonts w:ascii="Times New Roman" w:eastAsia="Times New Roman" w:hAnsi="Times New Roman" w:cs="Times New Roman"/>
          <w:color w:val="FF0000"/>
          <w:sz w:val="20"/>
          <w:szCs w:val="20"/>
        </w:rPr>
        <w:t xml:space="preserve"> (LL framed this way purposefully) – if don’t pay rent then out/evicted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want court to declare that rent should be dependant on condition of the premises</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Sides with LL (goes all the way to SCOTUS, rare in property cases) because statute not unconstitutional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Statute constitutional because poor tenants not a “suspect class,” otherwise more stringent analysis/scrutiny would be applied to the statute; si</w:t>
      </w:r>
      <w:r>
        <w:rPr>
          <w:rFonts w:ascii="Times New Roman" w:eastAsia="Times New Roman" w:hAnsi="Times New Roman" w:cs="Times New Roman"/>
          <w:color w:val="FF0000"/>
          <w:sz w:val="20"/>
          <w:szCs w:val="20"/>
        </w:rPr>
        <w:t>nce no higher scrutiny, only question is, is it rational? Y (see case rationale)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The doctrine of independent covenants is not a constitutional question</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Aftermath: Went to OR (state) legislature to establish dependent covenants – losing case can educate, </w:t>
      </w:r>
      <w:r>
        <w:rPr>
          <w:rFonts w:ascii="Cardo" w:eastAsia="Cardo" w:hAnsi="Cardo" w:cs="Cardo"/>
          <w:color w:val="FF0000"/>
          <w:sz w:val="20"/>
          <w:szCs w:val="20"/>
        </w:rPr>
        <w:t xml:space="preserve">not always about individual case (created statutorily (v. judicially, as in UT) implied warranty of habitability) – meaning that every lease creates statutory implied warranty of habitability </w:t>
      </w:r>
    </w:p>
    <w:p w:rsidR="00E46D95" w:rsidRDefault="006F495B">
      <w:pPr>
        <w:numPr>
          <w:ilvl w:val="1"/>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ORS 90.320: Maintenance of unit in habitable condition</w:t>
      </w:r>
      <w:r>
        <w:rPr>
          <w:rFonts w:ascii="Times New Roman" w:eastAsia="Times New Roman" w:hAnsi="Times New Roman" w:cs="Times New Roman"/>
          <w:color w:val="FF0000"/>
          <w:sz w:val="20"/>
          <w:szCs w:val="20"/>
        </w:rPr>
        <w:t xml:space="preserve"> (OR impl</w:t>
      </w:r>
      <w:r>
        <w:rPr>
          <w:rFonts w:ascii="Times New Roman" w:eastAsia="Times New Roman" w:hAnsi="Times New Roman" w:cs="Times New Roman"/>
          <w:color w:val="FF0000"/>
          <w:sz w:val="20"/>
          <w:szCs w:val="20"/>
        </w:rPr>
        <w:t xml:space="preserve">ied warranty of habitability), </w:t>
      </w:r>
      <w:r>
        <w:rPr>
          <w:rFonts w:ascii="Times New Roman" w:eastAsia="Times New Roman" w:hAnsi="Times New Roman" w:cs="Times New Roman"/>
          <w:color w:val="FF0000"/>
          <w:sz w:val="20"/>
          <w:szCs w:val="20"/>
          <w:u w:val="single"/>
        </w:rPr>
        <w:t>see bottom of HO #4</w:t>
      </w:r>
      <w:r>
        <w:rPr>
          <w:rFonts w:ascii="Cardo" w:eastAsia="Cardo" w:hAnsi="Cardo" w:cs="Cardo"/>
          <w:color w:val="FF0000"/>
          <w:sz w:val="20"/>
          <w:szCs w:val="20"/>
        </w:rPr>
        <w:t xml:space="preserve"> (and remedies supplied) → no longer independent in OR because brought to legislature after judiciary failed to establish</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and </w:t>
      </w:r>
      <w:r>
        <w:rPr>
          <w:rFonts w:ascii="Times New Roman" w:eastAsia="Times New Roman" w:hAnsi="Times New Roman" w:cs="Times New Roman"/>
          <w:b/>
          <w:color w:val="FF0000"/>
          <w:sz w:val="20"/>
          <w:szCs w:val="20"/>
        </w:rPr>
        <w:t>ORS 90.360: Noncompliance by landlord with rental agreement or obligation to mai</w:t>
      </w:r>
      <w:r>
        <w:rPr>
          <w:rFonts w:ascii="Times New Roman" w:eastAsia="Times New Roman" w:hAnsi="Times New Roman" w:cs="Times New Roman"/>
          <w:b/>
          <w:color w:val="FF0000"/>
          <w:sz w:val="20"/>
          <w:szCs w:val="20"/>
        </w:rPr>
        <w:t>ntain premises in habitable condition</w:t>
      </w:r>
      <w:r>
        <w:rPr>
          <w:rFonts w:ascii="Times New Roman" w:eastAsia="Times New Roman" w:hAnsi="Times New Roman" w:cs="Times New Roman"/>
          <w:color w:val="FF0000"/>
          <w:sz w:val="20"/>
          <w:szCs w:val="20"/>
        </w:rPr>
        <w:t xml:space="preserve"> </w:t>
      </w:r>
    </w:p>
    <w:p w:rsidR="00E46D95" w:rsidRDefault="006F495B">
      <w:pPr>
        <w:numPr>
          <w:ilvl w:val="1"/>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Ernst v. Conditt</w:t>
      </w:r>
      <w:r>
        <w:rPr>
          <w:rFonts w:ascii="Times New Roman" w:eastAsia="Times New Roman" w:hAnsi="Times New Roman" w:cs="Times New Roman"/>
          <w:color w:val="FF0000"/>
          <w:sz w:val="20"/>
          <w:szCs w:val="20"/>
          <w:shd w:val="clear" w:color="auto" w:fill="FFF2CC"/>
        </w:rPr>
        <w:t xml:space="preserve"> (Court of Appeals of Tennessee, 1964)</w:t>
      </w:r>
      <w:r>
        <w:rPr>
          <w:rFonts w:ascii="Times New Roman" w:eastAsia="Times New Roman" w:hAnsi="Times New Roman" w:cs="Times New Roman"/>
          <w:color w:val="FF0000"/>
          <w:sz w:val="20"/>
          <w:szCs w:val="20"/>
        </w:rPr>
        <w:t xml:space="preserve"> –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Transferability of Tenant’s Interest (Leaseholds)</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Public policy: We like alienability, even of leaseholds – assignments and subleases</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How to interpret whether </w:t>
      </w:r>
      <w:r>
        <w:rPr>
          <w:rFonts w:ascii="Times New Roman" w:eastAsia="Times New Roman" w:hAnsi="Times New Roman" w:cs="Times New Roman"/>
          <w:color w:val="FF0000"/>
          <w:sz w:val="20"/>
          <w:szCs w:val="20"/>
        </w:rPr>
        <w:t>assignment or sublease: (1) Ascertaining the intention of the parties (</w:t>
      </w:r>
      <w:r>
        <w:rPr>
          <w:rFonts w:ascii="Times New Roman" w:eastAsia="Times New Roman" w:hAnsi="Times New Roman" w:cs="Times New Roman"/>
          <w:i/>
          <w:color w:val="FF0000"/>
          <w:sz w:val="20"/>
          <w:szCs w:val="20"/>
        </w:rPr>
        <w:t>Ernst</w:t>
      </w:r>
      <w:r>
        <w:rPr>
          <w:rFonts w:ascii="Times New Roman" w:eastAsia="Times New Roman" w:hAnsi="Times New Roman" w:cs="Times New Roman"/>
          <w:color w:val="FF0000"/>
          <w:sz w:val="20"/>
          <w:szCs w:val="20"/>
        </w:rPr>
        <w:t>) and (2) did pass on all of the remaining term? (if all of remaining term has been conveyed then assignment)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Assignment v. sublease (see pg. 508-509)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Commercial lease for 1 year with amendment to “sublet” stating clearly that original T still “on the hook”/liable; “sublessee” stops paying rent, LL wants to collect rent from “sublessee” (whether able to collect from Rogers (original T) not really at i</w:t>
      </w:r>
      <w:r>
        <w:rPr>
          <w:rFonts w:ascii="Times New Roman" w:eastAsia="Times New Roman" w:hAnsi="Times New Roman" w:cs="Times New Roman"/>
          <w:color w:val="FF0000"/>
          <w:sz w:val="20"/>
          <w:szCs w:val="20"/>
        </w:rPr>
        <w:t>ssue)</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I: May LL collect from “sublessee?” → Sublease or assignment?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If sublessee, may not collect; if assignee then may collect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Whether privity of estate? Dependant on whether assignment (then privity of estate because entire term (clearer)/intent of the parties (less clear)) or sublease (then no privity of estate)?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Privity of estate only transfer is there’s an assignment (v. suble</w:t>
      </w:r>
      <w:r>
        <w:rPr>
          <w:rFonts w:ascii="Times New Roman" w:eastAsia="Times New Roman" w:hAnsi="Times New Roman" w:cs="Times New Roman"/>
          <w:color w:val="FF0000"/>
          <w:sz w:val="20"/>
          <w:szCs w:val="20"/>
          <w:u w:val="single"/>
        </w:rPr>
        <w:t>ase)</w:t>
      </w:r>
      <w:r>
        <w:rPr>
          <w:rFonts w:ascii="Times New Roman" w:eastAsia="Times New Roman" w:hAnsi="Times New Roman" w:cs="Times New Roman"/>
          <w:color w:val="FF0000"/>
          <w:sz w:val="20"/>
          <w:szCs w:val="20"/>
        </w:rPr>
        <w:t xml:space="preserve">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Types of privity: (1) Privity of K and (2) Privity of Estate (an assignment passes privity of estate) (see pg. 508-509)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Sublessee, can’t collect from me (can stay on and don’t have to pay rent)</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Assignee, can collect</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Assignment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In suble</w:t>
      </w:r>
      <w:r>
        <w:rPr>
          <w:rFonts w:ascii="Times New Roman" w:eastAsia="Times New Roman" w:hAnsi="Times New Roman" w:cs="Times New Roman"/>
          <w:color w:val="FF0000"/>
          <w:sz w:val="20"/>
          <w:szCs w:val="20"/>
        </w:rPr>
        <w:t xml:space="preserve">ases, prior T retains… (doesn’t transfer whole term); in assignment transfers whole term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 xml:space="preserve">Because assignment (transfers whole term, actually extended term) transfers privity of estate and therefore LL </w:t>
      </w:r>
      <w:r>
        <w:rPr>
          <w:rFonts w:ascii="Times New Roman" w:eastAsia="Times New Roman" w:hAnsi="Times New Roman" w:cs="Times New Roman"/>
          <w:color w:val="FF0000"/>
          <w:sz w:val="20"/>
          <w:szCs w:val="20"/>
          <w:u w:val="single"/>
        </w:rPr>
        <w:t>𝝅</w:t>
      </w:r>
      <w:r>
        <w:rPr>
          <w:rFonts w:ascii="Times New Roman" w:eastAsia="Times New Roman" w:hAnsi="Times New Roman" w:cs="Times New Roman"/>
          <w:color w:val="FF0000"/>
          <w:sz w:val="20"/>
          <w:szCs w:val="20"/>
          <w:u w:val="single"/>
        </w:rPr>
        <w:t xml:space="preserve"> could have collected/recovered</w:t>
      </w:r>
      <w:r>
        <w:rPr>
          <w:rFonts w:ascii="Times New Roman" w:eastAsia="Times New Roman" w:hAnsi="Times New Roman" w:cs="Times New Roman"/>
          <w:color w:val="FF0000"/>
          <w:sz w:val="20"/>
          <w:szCs w:val="20"/>
        </w:rPr>
        <w:t xml:space="preserve"> (Conditt’s argument t</w:t>
      </w:r>
      <w:r>
        <w:rPr>
          <w:rFonts w:ascii="Times New Roman" w:eastAsia="Times New Roman" w:hAnsi="Times New Roman" w:cs="Times New Roman"/>
          <w:color w:val="FF0000"/>
          <w:sz w:val="20"/>
          <w:szCs w:val="20"/>
        </w:rPr>
        <w:t>hat not liable to Ernst falls apart)</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If assignee, personally liable to LL even if no promise (though arguably could be liable in K, see Blumm note below)</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Could have recovered from prior T Rogers in privity of K or “sublessee” (aka assignee) in privity of</w:t>
      </w:r>
      <w:r>
        <w:rPr>
          <w:rFonts w:ascii="Cardo" w:eastAsia="Cardo" w:hAnsi="Cardo" w:cs="Cardo"/>
          <w:color w:val="FF0000"/>
          <w:sz w:val="20"/>
          <w:szCs w:val="20"/>
        </w:rPr>
        <w:t xml:space="preserve"> estate</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PH/J: Affirmed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Arguably (Professor Blumm) didn’t hinge on whether sublease or assignment, (pg. 503) “to faithfully perform all conditions of the within lease as amended…individually remain liable” (K issue(?), consider difference in K and property</w:t>
      </w:r>
      <w:r>
        <w:rPr>
          <w:rFonts w:ascii="Times New Roman" w:eastAsia="Times New Roman" w:hAnsi="Times New Roman" w:cs="Times New Roman"/>
          <w:color w:val="FF0000"/>
          <w:sz w:val="20"/>
          <w:szCs w:val="20"/>
        </w:rPr>
        <w:t>)</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K can be liable because of breach of K</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Arguably privity of K (did not necessarily have to determine assignment v. lease)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privity of estate (here)</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Case illustrates difference between privity of K and estate, though perhaps unnecessary </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Purpose of </w:t>
      </w:r>
      <w:r>
        <w:rPr>
          <w:rFonts w:ascii="Times New Roman" w:eastAsia="Times New Roman" w:hAnsi="Times New Roman" w:cs="Times New Roman"/>
          <w:color w:val="FF0000"/>
          <w:sz w:val="20"/>
          <w:szCs w:val="20"/>
        </w:rPr>
        <w:t>assignment/lease: Americans like alienability (public policy)</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Restriction on a Tenant’s Right to Transfer – may expressly restrict the tenant’s right to transfer or may permit a transfer only if the landlord consents, three possible standards:</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Sole Discretion Clause</w:t>
      </w:r>
      <w:r>
        <w:rPr>
          <w:rFonts w:ascii="Times New Roman" w:eastAsia="Times New Roman" w:hAnsi="Times New Roman" w:cs="Times New Roman"/>
          <w:sz w:val="20"/>
          <w:szCs w:val="20"/>
        </w:rPr>
        <w:t xml:space="preserve"> – the lease might provide that the landlord may refuse consent for any reason whatsoever in his “sole discretion”</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Reasonableness Clause</w:t>
      </w:r>
      <w:r>
        <w:rPr>
          <w:rFonts w:ascii="Times New Roman" w:eastAsia="Times New Roman" w:hAnsi="Times New Roman" w:cs="Times New Roman"/>
          <w:sz w:val="20"/>
          <w:szCs w:val="20"/>
        </w:rPr>
        <w:t xml:space="preserve"> – the lease may provide that the landlord may refuse consent only on a commercially reasonable ba</w:t>
      </w:r>
      <w:r>
        <w:rPr>
          <w:rFonts w:ascii="Times New Roman" w:eastAsia="Times New Roman" w:hAnsi="Times New Roman" w:cs="Times New Roman"/>
          <w:sz w:val="20"/>
          <w:szCs w:val="20"/>
        </w:rPr>
        <w:t>sis (e.g. bad credit record)</w:t>
      </w:r>
    </w:p>
    <w:p w:rsidR="00E46D95" w:rsidRDefault="006F495B">
      <w:pPr>
        <w:numPr>
          <w:ilvl w:val="2"/>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 Standard in Lease</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silent consent clause</w:t>
      </w:r>
      <w:r>
        <w:rPr>
          <w:rFonts w:ascii="Times New Roman" w:eastAsia="Times New Roman" w:hAnsi="Times New Roman" w:cs="Times New Roman"/>
          <w:sz w:val="20"/>
          <w:szCs w:val="20"/>
        </w:rPr>
        <w:t>”) – the lease might require the landlord’s consent but contain no standard to guide his decision; the modern trend in this case is that the landlord may withhold consent only if he h</w:t>
      </w:r>
      <w:r>
        <w:rPr>
          <w:rFonts w:ascii="Times New Roman" w:eastAsia="Times New Roman" w:hAnsi="Times New Roman" w:cs="Times New Roman"/>
          <w:sz w:val="20"/>
          <w:szCs w:val="20"/>
        </w:rPr>
        <w:t xml:space="preserve">as a </w:t>
      </w:r>
      <w:r>
        <w:rPr>
          <w:rFonts w:ascii="Times New Roman" w:eastAsia="Times New Roman" w:hAnsi="Times New Roman" w:cs="Times New Roman"/>
          <w:i/>
          <w:sz w:val="20"/>
          <w:szCs w:val="20"/>
        </w:rPr>
        <w:t>commercially reasonable objection</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Kendall v. Ernest Pestana, Inc. </w:t>
      </w:r>
      <w:r>
        <w:rPr>
          <w:rFonts w:ascii="Times New Roman" w:eastAsia="Times New Roman" w:hAnsi="Times New Roman" w:cs="Times New Roman"/>
          <w:color w:val="FF0000"/>
          <w:sz w:val="20"/>
          <w:szCs w:val="20"/>
          <w:shd w:val="clear" w:color="auto" w:fill="FFF2CC"/>
        </w:rPr>
        <w:t>(Supreme Court of California, 1985)</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Commercial lease (identify at outset, distinction between commercial/residential may be significant; parties presumed intelligent – likely coun</w:t>
      </w:r>
      <w:r>
        <w:rPr>
          <w:rFonts w:ascii="Times New Roman" w:eastAsia="Times New Roman" w:hAnsi="Times New Roman" w:cs="Times New Roman"/>
          <w:color w:val="FF0000"/>
          <w:sz w:val="20"/>
          <w:szCs w:val="20"/>
        </w:rPr>
        <w:t xml:space="preserve">sel) in San Jose airport hangar for </w:t>
      </w:r>
      <w:r>
        <w:rPr>
          <w:rFonts w:ascii="Times New Roman" w:eastAsia="Times New Roman" w:hAnsi="Times New Roman" w:cs="Times New Roman"/>
          <w:color w:val="FF0000"/>
          <w:sz w:val="20"/>
          <w:szCs w:val="20"/>
          <w:u w:val="single"/>
        </w:rPr>
        <w:t>25 years</w:t>
      </w:r>
      <w:r>
        <w:rPr>
          <w:rFonts w:ascii="Times New Roman" w:eastAsia="Times New Roman" w:hAnsi="Times New Roman" w:cs="Times New Roman"/>
          <w:color w:val="FF0000"/>
          <w:sz w:val="20"/>
          <w:szCs w:val="20"/>
        </w:rPr>
        <w:t xml:space="preserve">; lessee wants to sublet but </w:t>
      </w:r>
      <w:r>
        <w:rPr>
          <w:rFonts w:ascii="Times New Roman" w:eastAsia="Times New Roman" w:hAnsi="Times New Roman" w:cs="Times New Roman"/>
          <w:i/>
          <w:color w:val="FF0000"/>
          <w:sz w:val="20"/>
          <w:szCs w:val="20"/>
        </w:rPr>
        <w:t xml:space="preserve">silent </w:t>
      </w:r>
      <w:r>
        <w:rPr>
          <w:rFonts w:ascii="Times New Roman" w:eastAsia="Times New Roman" w:hAnsi="Times New Roman" w:cs="Times New Roman"/>
          <w:color w:val="FF0000"/>
          <w:sz w:val="20"/>
          <w:szCs w:val="20"/>
        </w:rPr>
        <w:t>consent term (LL must consent to sublessees (or assignees))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LL reserved right to consent, not necessarily right to be arbitrary about right to consent</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LLs can be arbitrary in selecting their tenants but with assignees/sublessees?</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Majority: (pg. 512): Where a lease contains an approval clause, the lessor may arbitrarily refuse to approve a proposed assignee no matter how suitable the assignee </w:t>
      </w:r>
      <w:r>
        <w:rPr>
          <w:rFonts w:ascii="Times New Roman" w:eastAsia="Times New Roman" w:hAnsi="Times New Roman" w:cs="Times New Roman"/>
          <w:color w:val="FF0000"/>
          <w:sz w:val="20"/>
          <w:szCs w:val="20"/>
        </w:rPr>
        <w:t xml:space="preserve">appears to be and no matter how unreasonable the lessor’s objection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 xml:space="preserve">Minority (CA Supreme Court): Consent may be withheld </w:t>
      </w:r>
      <w:r>
        <w:rPr>
          <w:rFonts w:ascii="Times New Roman" w:eastAsia="Times New Roman" w:hAnsi="Times New Roman" w:cs="Times New Roman"/>
          <w:i/>
          <w:color w:val="FF0000"/>
          <w:sz w:val="20"/>
          <w:szCs w:val="20"/>
          <w:u w:val="single"/>
        </w:rPr>
        <w:t>only where the lessor has a commercially reasonable objection to the assignment</w:t>
      </w:r>
      <w:r>
        <w:rPr>
          <w:rFonts w:ascii="Times New Roman" w:eastAsia="Times New Roman" w:hAnsi="Times New Roman" w:cs="Times New Roman"/>
          <w:color w:val="FF0000"/>
          <w:sz w:val="20"/>
          <w:szCs w:val="20"/>
          <w:u w:val="single"/>
        </w:rPr>
        <w:t xml:space="preserve"> (pg. 513)</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App: Here, LL denied because wanted more money; can only deny where bad credit/credit risk (would be considered commercially reasonable), here Bixler very wealthy with better credit than present lessees </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Pg. 514 for factors that are “commercially reasonabl</w:t>
      </w:r>
      <w:r>
        <w:rPr>
          <w:rFonts w:ascii="Times New Roman" w:eastAsia="Times New Roman" w:hAnsi="Times New Roman" w:cs="Times New Roman"/>
          <w:color w:val="FF0000"/>
          <w:sz w:val="20"/>
          <w:szCs w:val="20"/>
        </w:rPr>
        <w:t>e” (and note c, pg. 517 – reasonable reasons based on money not personal taste)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Adopts minority rule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Promotion of transferability (the law favors alienability) (public policy justification)</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Pg. 513: “Civil Code section 711 provides: ‘Conditions re</w:t>
      </w:r>
      <w:r>
        <w:rPr>
          <w:rFonts w:ascii="Times New Roman" w:eastAsia="Times New Roman" w:hAnsi="Times New Roman" w:cs="Times New Roman"/>
          <w:color w:val="FF0000"/>
          <w:sz w:val="20"/>
          <w:szCs w:val="20"/>
        </w:rPr>
        <w:t>straining alienation, when repugnant to the interest created, are void.’”</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b: Mass. refused to apply to residential tenancies (along with others, some have but fewer than commercial) – likely because shorter leases and… would further increase if LL liv</w:t>
      </w:r>
      <w:r>
        <w:rPr>
          <w:rFonts w:ascii="Times New Roman" w:eastAsia="Times New Roman" w:hAnsi="Times New Roman" w:cs="Times New Roman"/>
          <w:color w:val="FF0000"/>
          <w:sz w:val="20"/>
          <w:szCs w:val="20"/>
        </w:rPr>
        <w:t>ed on-site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Looking for objective standard (pg. 518 problems) unaffected by personal tastes</w:t>
      </w:r>
    </w:p>
    <w:p w:rsidR="00E46D95" w:rsidRDefault="006F495B">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Ending Tenancy </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Surrender</w:t>
      </w:r>
      <w:r>
        <w:rPr>
          <w:rFonts w:ascii="Times New Roman" w:eastAsia="Times New Roman" w:hAnsi="Times New Roman" w:cs="Times New Roman"/>
          <w:sz w:val="20"/>
          <w:szCs w:val="20"/>
        </w:rPr>
        <w:t xml:space="preserve"> – where the tenant and landlord mutually agree to terminate the lease early </w:t>
      </w:r>
    </w:p>
    <w:p w:rsidR="00E46D95" w:rsidRDefault="006F495B">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Abandonment</w:t>
      </w:r>
      <w:r>
        <w:rPr>
          <w:rFonts w:ascii="Times New Roman" w:eastAsia="Times New Roman" w:hAnsi="Times New Roman" w:cs="Times New Roman"/>
          <w:sz w:val="20"/>
          <w:szCs w:val="20"/>
        </w:rPr>
        <w:t xml:space="preserve"> – occurs when the tenant vacates the leased proper</w:t>
      </w:r>
      <w:r>
        <w:rPr>
          <w:rFonts w:ascii="Times New Roman" w:eastAsia="Times New Roman" w:hAnsi="Times New Roman" w:cs="Times New Roman"/>
          <w:sz w:val="20"/>
          <w:szCs w:val="20"/>
        </w:rPr>
        <w:t xml:space="preserve">ty without justification and without any present intention of returning and he defaults in the payment of rent; it a tenant abandons the leased premises </w:t>
      </w:r>
      <w:r>
        <w:rPr>
          <w:rFonts w:ascii="Times New Roman" w:eastAsia="Times New Roman" w:hAnsi="Times New Roman" w:cs="Times New Roman"/>
          <w:i/>
          <w:sz w:val="20"/>
          <w:szCs w:val="20"/>
        </w:rPr>
        <w:t>with</w:t>
      </w:r>
      <w:r>
        <w:rPr>
          <w:rFonts w:ascii="Times New Roman" w:eastAsia="Times New Roman" w:hAnsi="Times New Roman" w:cs="Times New Roman"/>
          <w:sz w:val="20"/>
          <w:szCs w:val="20"/>
        </w:rPr>
        <w:t xml:space="preserve"> justification (e.g. constructive eviction) no abandonment occurs; [traditionally] the landlord has</w:t>
      </w:r>
      <w:r>
        <w:rPr>
          <w:rFonts w:ascii="Times New Roman" w:eastAsia="Times New Roman" w:hAnsi="Times New Roman" w:cs="Times New Roman"/>
          <w:sz w:val="20"/>
          <w:szCs w:val="20"/>
        </w:rPr>
        <w:t xml:space="preserve"> three options where the tenant abandons the leases premises:</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Sue for all rent – may keep the premises vacant until the lease term expired and then sue for all the accrued rent </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Terminate the lease – may treat the abandonment as an implied offer or surrend</w:t>
      </w:r>
      <w:r>
        <w:rPr>
          <w:rFonts w:ascii="Times New Roman" w:eastAsia="Times New Roman" w:hAnsi="Times New Roman" w:cs="Times New Roman"/>
          <w:sz w:val="20"/>
          <w:szCs w:val="20"/>
        </w:rPr>
        <w:t>er and terminate the lease</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Mitigate damages and then sue for rent – may mitigate his damages by reletting the premises to another tenant, retaining that rent, and then suing the tenant for the balance</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Sommer v. Kridel</w:t>
      </w:r>
      <w:r>
        <w:rPr>
          <w:rFonts w:ascii="Times New Roman" w:eastAsia="Times New Roman" w:hAnsi="Times New Roman" w:cs="Times New Roman"/>
          <w:color w:val="FF0000"/>
          <w:sz w:val="20"/>
          <w:szCs w:val="20"/>
          <w:shd w:val="clear" w:color="auto" w:fill="FFF2CC"/>
        </w:rPr>
        <w:t xml:space="preserve"> (Supreme Court of New Jersey, 1977)</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Broken engagement and no longer able to move into the apartment the two planned to live in together; writes letter, willing to forego whatever already paid (2 months and deposits) but wanting to rescind 2-year lease (get out of lease), LL does not resp</w:t>
      </w:r>
      <w:r>
        <w:rPr>
          <w:rFonts w:ascii="Times New Roman" w:eastAsia="Times New Roman" w:hAnsi="Times New Roman" w:cs="Times New Roman"/>
          <w:color w:val="FF0000"/>
          <w:sz w:val="20"/>
          <w:szCs w:val="20"/>
        </w:rPr>
        <w:t>ond to the letter (does not think he has to), 3rd party offers to rent apt but LL doesn’t approve/refuses substitute tenant (LL thought he shouldn’t approve, thought still held by Kridel)</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LL sues Δ tenant to recover two years rent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LL relying on </w:t>
      </w:r>
      <w:r>
        <w:rPr>
          <w:rFonts w:ascii="Times New Roman" w:eastAsia="Times New Roman" w:hAnsi="Times New Roman" w:cs="Times New Roman"/>
          <w:i/>
          <w:color w:val="FF0000"/>
          <w:sz w:val="20"/>
          <w:szCs w:val="20"/>
        </w:rPr>
        <w:t>Joyce</w:t>
      </w:r>
      <w:r>
        <w:rPr>
          <w:rFonts w:ascii="Times New Roman" w:eastAsia="Times New Roman" w:hAnsi="Times New Roman" w:cs="Times New Roman"/>
          <w:color w:val="FF0000"/>
          <w:sz w:val="20"/>
          <w:szCs w:val="20"/>
        </w:rPr>
        <w:t>, believed didn’t have to do anything, concerned and didn’t want to let Δ off the hook for the lease</w:t>
      </w:r>
    </w:p>
    <w:p w:rsidR="00E46D95" w:rsidRDefault="006F495B">
      <w:pPr>
        <w:numPr>
          <w:ilvl w:val="5"/>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(For imposing rule on unsuspecting party) Purposeful use of land, minimize economic costs (public policy – </w:t>
      </w:r>
      <w:r>
        <w:rPr>
          <w:rFonts w:ascii="Times New Roman" w:eastAsia="Times New Roman" w:hAnsi="Times New Roman" w:cs="Times New Roman"/>
          <w:color w:val="FF0000"/>
          <w:sz w:val="20"/>
          <w:szCs w:val="20"/>
          <w:u w:val="single"/>
        </w:rPr>
        <w:t>court says fairness issue, but more so e</w:t>
      </w:r>
      <w:r>
        <w:rPr>
          <w:rFonts w:ascii="Times New Roman" w:eastAsia="Times New Roman" w:hAnsi="Times New Roman" w:cs="Times New Roman"/>
          <w:color w:val="FF0000"/>
          <w:sz w:val="20"/>
          <w:szCs w:val="20"/>
          <w:u w:val="single"/>
        </w:rPr>
        <w:t>fficiency</w:t>
      </w:r>
      <w:r>
        <w:rPr>
          <w:rFonts w:ascii="Times New Roman" w:eastAsia="Times New Roman" w:hAnsi="Times New Roman" w:cs="Times New Roman"/>
          <w:color w:val="FF0000"/>
          <w:sz w:val="20"/>
          <w:szCs w:val="20"/>
        </w:rPr>
        <w:t xml:space="preserve"> (Blumm)); court says LL in better position to re-let the place, to carry out the policy of efficiency (putting land to productive use)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a LL seeking damages from a defaulting tenant is under a duty to mitigate damages by making reasonab</w:t>
      </w:r>
      <w:r>
        <w:rPr>
          <w:rFonts w:ascii="Times New Roman" w:eastAsia="Times New Roman" w:hAnsi="Times New Roman" w:cs="Times New Roman"/>
          <w:color w:val="FF0000"/>
          <w:sz w:val="20"/>
          <w:szCs w:val="20"/>
        </w:rPr>
        <w:t>le efforts to re-let an apartment wrongfully vacated by the tenant? (Q of what happens in the interim between vacate and end of vacated(?) lease)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Favors Δ, LL does have an obligation to make a reasonable effort to mitigate damages in such a situation (o</w:t>
      </w:r>
      <w:r>
        <w:rPr>
          <w:rFonts w:ascii="Times New Roman" w:eastAsia="Times New Roman" w:hAnsi="Times New Roman" w:cs="Times New Roman"/>
          <w:color w:val="FF0000"/>
          <w:sz w:val="20"/>
          <w:szCs w:val="20"/>
        </w:rPr>
        <w:t xml:space="preserve">verruling </w:t>
      </w:r>
      <w:r>
        <w:rPr>
          <w:rFonts w:ascii="Times New Roman" w:eastAsia="Times New Roman" w:hAnsi="Times New Roman" w:cs="Times New Roman"/>
          <w:i/>
          <w:color w:val="FF0000"/>
          <w:sz w:val="20"/>
          <w:szCs w:val="20"/>
        </w:rPr>
        <w:t>Joyce v. Bauman</w:t>
      </w:r>
      <w:r>
        <w:rPr>
          <w:rFonts w:ascii="Times New Roman" w:eastAsia="Times New Roman" w:hAnsi="Times New Roman" w:cs="Times New Roman"/>
          <w:color w:val="FF0000"/>
          <w:sz w:val="20"/>
          <w:szCs w:val="20"/>
        </w:rPr>
        <w:t xml:space="preserve"> to the extent that it is inconsistent with present case)</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Pg. 523-524</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w:t>
      </w:r>
    </w:p>
    <w:p w:rsidR="00E46D95" w:rsidRDefault="006F495B">
      <w:pPr>
        <w:numPr>
          <w:ilvl w:val="3"/>
          <w:numId w:val="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Foggia</w:t>
      </w:r>
      <w:r>
        <w:rPr>
          <w:rFonts w:ascii="Times New Roman" w:eastAsia="Times New Roman" w:hAnsi="Times New Roman" w:cs="Times New Roman"/>
          <w:color w:val="FF0000"/>
          <w:sz w:val="20"/>
          <w:szCs w:val="20"/>
        </w:rPr>
        <w:t xml:space="preserve"> OR case (bottom of pg. 524)</w:t>
      </w:r>
    </w:p>
    <w:p w:rsidR="00E46D95" w:rsidRDefault="006F495B">
      <w:pPr>
        <w:ind w:left="216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All states follow (unlike </w:t>
      </w:r>
      <w:r>
        <w:rPr>
          <w:rFonts w:ascii="Times New Roman" w:eastAsia="Times New Roman" w:hAnsi="Times New Roman" w:cs="Times New Roman"/>
          <w:i/>
          <w:color w:val="FF0000"/>
          <w:sz w:val="20"/>
          <w:szCs w:val="20"/>
        </w:rPr>
        <w:t>Kendall</w:t>
      </w:r>
      <w:r>
        <w:rPr>
          <w:rFonts w:ascii="Times New Roman" w:eastAsia="Times New Roman" w:hAnsi="Times New Roman" w:cs="Times New Roman"/>
          <w:color w:val="FF0000"/>
          <w:sz w:val="20"/>
          <w:szCs w:val="20"/>
        </w:rPr>
        <w:t xml:space="preserve">, both ground-breaking), revolutionary </w:t>
      </w:r>
    </w:p>
    <w:p w:rsidR="00E46D95" w:rsidRDefault="006F495B">
      <w:pPr>
        <w:ind w:left="2160" w:firstLine="720"/>
        <w:rPr>
          <w:rFonts w:ascii="Times New Roman" w:eastAsia="Times New Roman" w:hAnsi="Times New Roman" w:cs="Times New Roman"/>
          <w:sz w:val="20"/>
          <w:szCs w:val="20"/>
        </w:rPr>
      </w:pPr>
      <w:r>
        <w:rPr>
          <w:rFonts w:ascii="Cardo" w:eastAsia="Cardo" w:hAnsi="Cardo" w:cs="Cardo"/>
          <w:color w:val="FF0000"/>
          <w:sz w:val="20"/>
          <w:szCs w:val="20"/>
        </w:rPr>
        <w:t xml:space="preserve">→ Imposing affirmative mitigation obligation on the LL where tenant wants to rescind </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Security Deposits – most states have adopted legislation that regulates security deposits provided by residential tenants</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Eviction – traditionally a landlord was free to </w:t>
      </w:r>
      <w:r>
        <w:rPr>
          <w:rFonts w:ascii="Times New Roman" w:eastAsia="Times New Roman" w:hAnsi="Times New Roman" w:cs="Times New Roman"/>
          <w:sz w:val="20"/>
          <w:szCs w:val="20"/>
        </w:rPr>
        <w:t>terminate a periodic tenancy for any reason or no reason at all (reflecting the broad scope of the right to exclude), increasingly the law has restricted the landlord’s right to terminate a tenancy (e.g. in violation of the Fair Housing Act of 1968)</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Where </w:t>
      </w:r>
      <w:r>
        <w:rPr>
          <w:rFonts w:ascii="Times New Roman" w:eastAsia="Times New Roman" w:hAnsi="Times New Roman" w:cs="Times New Roman"/>
          <w:sz w:val="20"/>
          <w:szCs w:val="20"/>
        </w:rPr>
        <w:t>the landlord is entitled to evict a tenant he has two options:</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Self-Help</w:t>
      </w:r>
      <w:r>
        <w:rPr>
          <w:rFonts w:ascii="Times New Roman" w:eastAsia="Times New Roman" w:hAnsi="Times New Roman" w:cs="Times New Roman"/>
          <w:sz w:val="20"/>
          <w:szCs w:val="20"/>
        </w:rPr>
        <w:t xml:space="preserve"> – the landlord may retake possession through self-help by physically entering the premises and causing the tenant to leave as long as the landlord used only a reasonable amount of for</w:t>
      </w:r>
      <w:r>
        <w:rPr>
          <w:rFonts w:ascii="Times New Roman" w:eastAsia="Times New Roman" w:hAnsi="Times New Roman" w:cs="Times New Roman"/>
          <w:sz w:val="20"/>
          <w:szCs w:val="20"/>
        </w:rPr>
        <w:t>ce;  few states still allow for this</w:t>
      </w:r>
    </w:p>
    <w:p w:rsidR="00E46D95" w:rsidRDefault="006F495B">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Sue the Tenant</w:t>
      </w:r>
      <w:r>
        <w:rPr>
          <w:rFonts w:ascii="Times New Roman" w:eastAsia="Times New Roman" w:hAnsi="Times New Roman" w:cs="Times New Roman"/>
          <w:sz w:val="20"/>
          <w:szCs w:val="20"/>
        </w:rPr>
        <w:t xml:space="preserve"> – the landlord may sue the tenant, secure a judgment ordering the tenant’s eviction, and have the judgment entered by a law enforcement officer; in most states now the landlord can only evict using the ju</w:t>
      </w:r>
      <w:r>
        <w:rPr>
          <w:rFonts w:ascii="Times New Roman" w:eastAsia="Times New Roman" w:hAnsi="Times New Roman" w:cs="Times New Roman"/>
          <w:sz w:val="20"/>
          <w:szCs w:val="20"/>
        </w:rPr>
        <w:t>dicial process (not self-help)</w:t>
      </w:r>
    </w:p>
    <w:p w:rsidR="00E46D95" w:rsidRDefault="006F495B">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Defenses to eviction – most states protect tenants from retaliatory eviction; in a few states the landlord may evict a tenant only for good cause</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Hillview Associates v. Bloomquist</w:t>
      </w:r>
      <w:r>
        <w:rPr>
          <w:rFonts w:ascii="Times New Roman" w:eastAsia="Times New Roman" w:hAnsi="Times New Roman" w:cs="Times New Roman"/>
          <w:color w:val="FF0000"/>
          <w:sz w:val="20"/>
          <w:szCs w:val="20"/>
          <w:shd w:val="clear" w:color="auto" w:fill="FFF2CC"/>
        </w:rPr>
        <w:t xml:space="preserve"> (Supreme Court of Iowa, 1989)</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Formation</w:t>
      </w:r>
      <w:r>
        <w:rPr>
          <w:rFonts w:ascii="Times New Roman" w:eastAsia="Times New Roman" w:hAnsi="Times New Roman" w:cs="Times New Roman"/>
          <w:color w:val="FF0000"/>
          <w:sz w:val="20"/>
          <w:szCs w:val="20"/>
        </w:rPr>
        <w:t xml:space="preserve"> of tenants association in mobile home park</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LL right to evict at CL at the end of a term: Could not renew a lease meaning tenants must go (unfettered) (present case fettering)</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Fettering per case/statute: Can evict for no reason at all but not for re</w:t>
      </w:r>
      <w:r>
        <w:rPr>
          <w:rFonts w:ascii="Times New Roman" w:eastAsia="Times New Roman" w:hAnsi="Times New Roman" w:cs="Times New Roman"/>
          <w:color w:val="FF0000"/>
          <w:sz w:val="20"/>
          <w:szCs w:val="20"/>
        </w:rPr>
        <w:t>taliation of... (pg. 530) can’t evict for 6 months (many jurisdictions instead define as until retaliatory situation(?) dissipates – not easy to show)</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Statute/case is an enforcement mechanism (like implied warranty of habitability), means of protection of </w:t>
      </w:r>
      <w:r>
        <w:rPr>
          <w:rFonts w:ascii="Times New Roman" w:eastAsia="Times New Roman" w:hAnsi="Times New Roman" w:cs="Times New Roman"/>
          <w:color w:val="FF0000"/>
          <w:sz w:val="20"/>
          <w:szCs w:val="20"/>
        </w:rPr>
        <w:t>a tenant’s possession</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Fetter on LL: Can’t evict if wrong motive (here tenant Davenport not retaliatory because actual threat to LL’s safety)</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d, Good Faith Eviction: </w:t>
      </w:r>
      <w:r>
        <w:rPr>
          <w:rFonts w:ascii="Times New Roman" w:eastAsia="Times New Roman" w:hAnsi="Times New Roman" w:cs="Times New Roman"/>
          <w:i/>
          <w:color w:val="FF0000"/>
          <w:sz w:val="20"/>
          <w:szCs w:val="20"/>
        </w:rPr>
        <w:t>AIMCO Properties, LLC c. Dziewisz</w:t>
      </w:r>
      <w:r>
        <w:rPr>
          <w:rFonts w:ascii="Times New Roman" w:eastAsia="Times New Roman" w:hAnsi="Times New Roman" w:cs="Times New Roman"/>
          <w:color w:val="FF0000"/>
          <w:sz w:val="20"/>
          <w:szCs w:val="20"/>
        </w:rPr>
        <w:t xml:space="preserve"> – requirement of “good cause” (v. “good faith”) eviction (pg. 533)</w:t>
      </w:r>
    </w:p>
    <w:p w:rsidR="00E46D95" w:rsidRDefault="006F495B">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Berg v. Wiley</w:t>
      </w:r>
      <w:r>
        <w:rPr>
          <w:rFonts w:ascii="Times New Roman" w:eastAsia="Times New Roman" w:hAnsi="Times New Roman" w:cs="Times New Roman"/>
          <w:color w:val="FF0000"/>
          <w:sz w:val="20"/>
          <w:szCs w:val="20"/>
          <w:shd w:val="clear" w:color="auto" w:fill="FFF2CC"/>
        </w:rPr>
        <w:t xml:space="preserve"> (Supreme Court of Minnesota, 1978)</w:t>
      </w:r>
      <w:r>
        <w:rPr>
          <w:rFonts w:ascii="Times New Roman" w:eastAsia="Times New Roman" w:hAnsi="Times New Roman" w:cs="Times New Roman"/>
          <w:color w:val="FF0000"/>
          <w:sz w:val="20"/>
          <w:szCs w:val="20"/>
        </w:rPr>
        <w:t xml:space="preserve"> –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Commercial (restaurant) tenant in violation of lease (health code violations, no approval for remodeling)</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I1: Whether she intended to</w:t>
      </w:r>
      <w:r>
        <w:rPr>
          <w:rFonts w:ascii="Times New Roman" w:eastAsia="Times New Roman" w:hAnsi="Times New Roman" w:cs="Times New Roman"/>
          <w:color w:val="FF0000"/>
          <w:sz w:val="20"/>
          <w:szCs w:val="20"/>
        </w:rPr>
        <w:t xml:space="preserve"> permanently close the restaurant and vacate the premises at the end of the 2 weeks or comply close for about 1 month in order to remodel to comply with the health code? The sufficiency of evidence to support the jury’s finding that Berg had no abandoned o</w:t>
      </w:r>
      <w:r>
        <w:rPr>
          <w:rFonts w:ascii="Times New Roman" w:eastAsia="Times New Roman" w:hAnsi="Times New Roman" w:cs="Times New Roman"/>
          <w:color w:val="FF0000"/>
          <w:sz w:val="20"/>
          <w:szCs w:val="20"/>
        </w:rPr>
        <w:t>r surrendered the leasehold before being locked out by Wiley?</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I2: Whether Wiley’s self-help repossession (changing the locks) was correctly held wrongful as a matter of law?</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Appeals conviction for wrongful self-help possession</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had abandoned prope</w:t>
      </w:r>
      <w:r>
        <w:rPr>
          <w:rFonts w:ascii="Times New Roman" w:eastAsia="Times New Roman" w:hAnsi="Times New Roman" w:cs="Times New Roman"/>
          <w:color w:val="FF0000"/>
          <w:sz w:val="20"/>
          <w:szCs w:val="20"/>
        </w:rPr>
        <w:t xml:space="preserve">rty and right to retake the premises because material violations of the lease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Minnesota self-help conditions: (1) The LL Is legally entitled to possession, such as where a tenant holds over after the lease term or where a tenant breaches a lease containing a re-entry clause and </w:t>
      </w:r>
      <w:r>
        <w:rPr>
          <w:rFonts w:ascii="Times New Roman" w:eastAsia="Times New Roman" w:hAnsi="Times New Roman" w:cs="Times New Roman"/>
          <w:color w:val="FF0000"/>
          <w:sz w:val="20"/>
          <w:szCs w:val="20"/>
          <w:u w:val="single"/>
        </w:rPr>
        <w:t>(2) the LL’s means of re-entry are peaceable</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(A</w:t>
      </w:r>
      <w:r>
        <w:rPr>
          <w:rFonts w:ascii="Times New Roman" w:eastAsia="Times New Roman" w:hAnsi="Times New Roman" w:cs="Times New Roman"/>
          <w:color w:val="FF0000"/>
          <w:sz w:val="20"/>
          <w:szCs w:val="20"/>
        </w:rPr>
        <w:t xml:space="preserve">PP): Cannot find Wiley’s means of re-entry peaceable under the common-law rule </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Long-standing policy to discourage LLs from taking the law into their own hands and decisions/statute have looked with disfavor upon any use of self-help to dispossess a ten</w:t>
      </w:r>
      <w:r>
        <w:rPr>
          <w:rFonts w:ascii="Times New Roman" w:eastAsia="Times New Roman" w:hAnsi="Times New Roman" w:cs="Times New Roman"/>
          <w:color w:val="FF0000"/>
          <w:sz w:val="20"/>
          <w:szCs w:val="20"/>
        </w:rPr>
        <w:t xml:space="preserve">ant in the circumstances </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ADOPTED RULE (to replace CL, legal process directive): To facilitate judicial process, the legislature has provided a summary procedure whereby a LL may recover possession of leased premises upon proper notice and showing in court</w:t>
      </w:r>
      <w:r>
        <w:rPr>
          <w:rFonts w:ascii="Times New Roman" w:eastAsia="Times New Roman" w:hAnsi="Times New Roman" w:cs="Times New Roman"/>
          <w:color w:val="FF0000"/>
          <w:sz w:val="20"/>
          <w:szCs w:val="20"/>
        </w:rPr>
        <w:t xml:space="preserve"> in a little as 3-10 days</w:t>
      </w:r>
    </w:p>
    <w:p w:rsidR="00E46D95" w:rsidRDefault="006F495B">
      <w:pPr>
        <w:numPr>
          <w:ilvl w:val="4"/>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Legal avenue available that is not changing the locks (or probably all other means of self-help)</w:t>
      </w:r>
    </w:p>
    <w:p w:rsidR="00E46D95" w:rsidRDefault="006F495B">
      <w:pPr>
        <w:numPr>
          <w:ilvl w:val="3"/>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Affirm</w:t>
      </w:r>
    </w:p>
    <w:p w:rsidR="00E46D95" w:rsidRDefault="006F495B">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Leaseholds Generally</w:t>
      </w:r>
    </w:p>
    <w:p w:rsidR="00E46D95" w:rsidRDefault="006F495B">
      <w:pPr>
        <w:numPr>
          <w:ilvl w:val="3"/>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Note </w:t>
      </w:r>
      <w:r>
        <w:rPr>
          <w:rFonts w:ascii="Times New Roman" w:eastAsia="Times New Roman" w:hAnsi="Times New Roman" w:cs="Times New Roman"/>
          <w:i/>
          <w:color w:val="FF00FF"/>
          <w:sz w:val="20"/>
          <w:szCs w:val="20"/>
        </w:rPr>
        <w:t>City of New York v. Utsey</w:t>
      </w:r>
      <w:r>
        <w:rPr>
          <w:rFonts w:ascii="Times New Roman" w:eastAsia="Times New Roman" w:hAnsi="Times New Roman" w:cs="Times New Roman"/>
          <w:color w:val="FF00FF"/>
          <w:sz w:val="20"/>
          <w:szCs w:val="20"/>
        </w:rPr>
        <w:t xml:space="preserve"> (pg. 466) – H: Tenancy at will, terminated immediately at Common Law (in NY, statute for 30-days at notice (so not technically at-will but statutory overlay); similar statutory overlay in OR)</w:t>
      </w:r>
    </w:p>
    <w:p w:rsidR="00E46D95" w:rsidRDefault="006F495B">
      <w:pPr>
        <w:numPr>
          <w:ilvl w:val="3"/>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Note dorm contracts (pg. 467)</w:t>
      </w:r>
    </w:p>
    <w:p w:rsidR="00E46D95" w:rsidRDefault="006F495B">
      <w:pPr>
        <w:numPr>
          <w:ilvl w:val="3"/>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Inapplicable when license (pg. 46</w:t>
      </w:r>
      <w:r>
        <w:rPr>
          <w:rFonts w:ascii="Times New Roman" w:eastAsia="Times New Roman" w:hAnsi="Times New Roman" w:cs="Times New Roman"/>
          <w:color w:val="FF00FF"/>
          <w:sz w:val="20"/>
          <w:szCs w:val="20"/>
        </w:rPr>
        <w:t>7) – def. of license is revocable (so discrimination/habitable stuff (upcoming) doesn’t apply)</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Condition of the Premises and Transfers </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Pg. 499 Hypos: (1) Not CE (not LL doing it, 3rd party), maybe IWH/problem for LL – more likely IWH than CE; (2) likely d</w:t>
      </w:r>
      <w:r>
        <w:rPr>
          <w:rFonts w:ascii="Times New Roman" w:eastAsia="Times New Roman" w:hAnsi="Times New Roman" w:cs="Times New Roman"/>
          <w:color w:val="FF00FF"/>
          <w:sz w:val="20"/>
          <w:szCs w:val="20"/>
        </w:rPr>
        <w:t>uty to secure the apt (deadbolts at least, maybe the bars), most telling that history of burglaries – puts LL on notice; (3) dependant on nature of promises in the housing code (unlikely to talk about cigarettes but may talk about health risks); (4) ?; (5)</w:t>
      </w:r>
      <w:r>
        <w:rPr>
          <w:rFonts w:ascii="Times New Roman" w:eastAsia="Times New Roman" w:hAnsi="Times New Roman" w:cs="Times New Roman"/>
          <w:color w:val="FF00FF"/>
          <w:sz w:val="20"/>
          <w:szCs w:val="20"/>
        </w:rPr>
        <w:t xml:space="preserve"> almost certainly in violation of health code</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Constitutional Right to Housing (pg. 500) </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Aftermath of </w:t>
      </w:r>
      <w:r>
        <w:rPr>
          <w:rFonts w:ascii="Times New Roman" w:eastAsia="Times New Roman" w:hAnsi="Times New Roman" w:cs="Times New Roman"/>
          <w:i/>
          <w:color w:val="FF00FF"/>
          <w:sz w:val="20"/>
          <w:szCs w:val="20"/>
        </w:rPr>
        <w:t>Wade</w:t>
      </w:r>
      <w:r>
        <w:rPr>
          <w:rFonts w:ascii="Times New Roman" w:eastAsia="Times New Roman" w:hAnsi="Times New Roman" w:cs="Times New Roman"/>
          <w:color w:val="FF00FF"/>
          <w:sz w:val="20"/>
          <w:szCs w:val="20"/>
        </w:rPr>
        <w:t xml:space="preserve"> – UT applied to commercial leases, distinctly minority view </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u w:val="single"/>
        </w:rPr>
        <w:t>Know difference between privity of K and privity of estate for exam (see problems (and c</w:t>
      </w:r>
      <w:r>
        <w:rPr>
          <w:rFonts w:ascii="Times New Roman" w:eastAsia="Times New Roman" w:hAnsi="Times New Roman" w:cs="Times New Roman"/>
          <w:color w:val="FF00FF"/>
          <w:sz w:val="20"/>
          <w:szCs w:val="20"/>
          <w:u w:val="single"/>
        </w:rPr>
        <w:t>lass answers in red) on 509-510)</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u w:val="single"/>
        </w:rPr>
        <w:t>Status obligations – have to do with assignments, liable even if no promise (root of assignments and subleases)</w:t>
      </w:r>
    </w:p>
    <w:p w:rsidR="00E46D95" w:rsidRDefault="006F495B">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Termination</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Note c: Should LL mitigation obligation also apply to commercial leases (here residential)? Conside</w:t>
      </w:r>
      <w:r>
        <w:rPr>
          <w:rFonts w:ascii="Times New Roman" w:eastAsia="Times New Roman" w:hAnsi="Times New Roman" w:cs="Times New Roman"/>
          <w:color w:val="FF00FF"/>
          <w:sz w:val="20"/>
          <w:szCs w:val="20"/>
        </w:rPr>
        <w:t>r legal resources of commercial tenants if fairness rationale (but if efficiency rationale, lends itself to the opposite, i.e. both commercial and residential) – must look to underlying intent</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Can a tenant </w:t>
      </w:r>
      <w:r>
        <w:rPr>
          <w:rFonts w:ascii="Times New Roman" w:eastAsia="Times New Roman" w:hAnsi="Times New Roman" w:cs="Times New Roman"/>
          <w:i/>
          <w:color w:val="FF00FF"/>
          <w:sz w:val="20"/>
          <w:szCs w:val="20"/>
        </w:rPr>
        <w:t xml:space="preserve">waive </w:t>
      </w:r>
      <w:r>
        <w:rPr>
          <w:rFonts w:ascii="Times New Roman" w:eastAsia="Times New Roman" w:hAnsi="Times New Roman" w:cs="Times New Roman"/>
          <w:color w:val="FF00FF"/>
          <w:sz w:val="20"/>
          <w:szCs w:val="20"/>
        </w:rPr>
        <w:t>this mitigation obligation? If fairness, sur</w:t>
      </w:r>
      <w:r>
        <w:rPr>
          <w:rFonts w:ascii="Times New Roman" w:eastAsia="Times New Roman" w:hAnsi="Times New Roman" w:cs="Times New Roman"/>
          <w:color w:val="FF00FF"/>
          <w:sz w:val="20"/>
          <w:szCs w:val="20"/>
        </w:rPr>
        <w:t>e (only affecting LL and tenant, if they want to do it who sure); if efficiency based doctrine, no, third parties, undermines economic concerns that we use land productively (who cares if they agree)</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Should a LL have more power to select than evict a tenan</w:t>
      </w:r>
      <w:r>
        <w:rPr>
          <w:rFonts w:ascii="Times New Roman" w:eastAsia="Times New Roman" w:hAnsi="Times New Roman" w:cs="Times New Roman"/>
          <w:color w:val="FF00FF"/>
          <w:sz w:val="20"/>
          <w:szCs w:val="20"/>
        </w:rPr>
        <w:t xml:space="preserve">t? (Note a, pg. 533) </w:t>
      </w:r>
    </w:p>
    <w:p w:rsidR="00E46D95" w:rsidRDefault="006F495B">
      <w:pPr>
        <w:numPr>
          <w:ilvl w:val="2"/>
          <w:numId w:val="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Able to waive self-help protection? Alike waiving habitability standards, public policy issue – spillover effects outside of two parties (policies affecting other people [often] non-waivable, i.e. with slumlord consider that third par</w:t>
      </w:r>
      <w:r>
        <w:rPr>
          <w:rFonts w:ascii="Times New Roman" w:eastAsia="Times New Roman" w:hAnsi="Times New Roman" w:cs="Times New Roman"/>
          <w:color w:val="FF00FF"/>
          <w:sz w:val="20"/>
          <w:szCs w:val="20"/>
        </w:rPr>
        <w:t>ty effects could be future tenants); [also consider Ks of adhesion/power and negotiating imbalance between parties]</w:t>
      </w:r>
    </w:p>
    <w:p w:rsidR="00E46D95" w:rsidRDefault="00E46D95">
      <w:pPr>
        <w:ind w:left="144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9: Private Land Use Planning </w:t>
      </w:r>
    </w:p>
    <w:p w:rsidR="00E46D95" w:rsidRDefault="006F495B">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Traditionally considered of private, not public, concern but under some circumstances an owner’s plan might conflict with encouraging the productive use of land; three common law areas to deal with these conflicts (the “building blocks of land use planning</w:t>
      </w:r>
      <w:r>
        <w:rPr>
          <w:rFonts w:ascii="Times New Roman" w:eastAsia="Times New Roman" w:hAnsi="Times New Roman" w:cs="Times New Roman"/>
          <w:sz w:val="20"/>
          <w:szCs w:val="20"/>
        </w:rPr>
        <w:t xml:space="preserve">”): </w:t>
      </w:r>
    </w:p>
    <w:p w:rsidR="00E46D95" w:rsidRDefault="006F495B">
      <w:pPr>
        <w:numPr>
          <w:ilvl w:val="1"/>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Easements</w:t>
      </w:r>
      <w:r>
        <w:rPr>
          <w:rFonts w:ascii="Times New Roman" w:eastAsia="Times New Roman" w:hAnsi="Times New Roman" w:cs="Times New Roman"/>
          <w:sz w:val="20"/>
          <w:szCs w:val="20"/>
        </w:rPr>
        <w:t xml:space="preserve"> – land cannot be used unless the owner has adequate access to it, which may require an easement across land owned by another. Most easements are the product of agreement, though courts will sometimes impose an easement without the consent of</w:t>
      </w:r>
      <w:r>
        <w:rPr>
          <w:rFonts w:ascii="Times New Roman" w:eastAsia="Times New Roman" w:hAnsi="Times New Roman" w:cs="Times New Roman"/>
          <w:sz w:val="20"/>
          <w:szCs w:val="20"/>
        </w:rPr>
        <w:t xml:space="preserve"> the burdened owner.</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Land Use Restrictions </w:t>
      </w:r>
      <w:r>
        <w:rPr>
          <w:rFonts w:ascii="Times New Roman" w:eastAsia="Times New Roman" w:hAnsi="Times New Roman" w:cs="Times New Roman"/>
          <w:sz w:val="20"/>
          <w:szCs w:val="20"/>
        </w:rPr>
        <w:t xml:space="preserve">(CC&amp;Rs) – an owner might agree to restrict the use of his land by creating a </w:t>
      </w:r>
      <w:r>
        <w:rPr>
          <w:rFonts w:ascii="Times New Roman" w:eastAsia="Times New Roman" w:hAnsi="Times New Roman" w:cs="Times New Roman"/>
          <w:i/>
          <w:sz w:val="20"/>
          <w:szCs w:val="20"/>
        </w:rPr>
        <w:t xml:space="preserve">real covenant </w:t>
      </w:r>
      <w:r>
        <w:rPr>
          <w:rFonts w:ascii="Times New Roman" w:eastAsia="Times New Roman" w:hAnsi="Times New Roman" w:cs="Times New Roman"/>
          <w:sz w:val="20"/>
          <w:szCs w:val="20"/>
        </w:rPr>
        <w:t xml:space="preserve">or an </w:t>
      </w:r>
      <w:r>
        <w:rPr>
          <w:rFonts w:ascii="Times New Roman" w:eastAsia="Times New Roman" w:hAnsi="Times New Roman" w:cs="Times New Roman"/>
          <w:i/>
          <w:sz w:val="20"/>
          <w:szCs w:val="20"/>
        </w:rPr>
        <w:t>equitable servitude</w:t>
      </w:r>
      <w:r>
        <w:rPr>
          <w:rFonts w:ascii="Times New Roman" w:eastAsia="Times New Roman" w:hAnsi="Times New Roman" w:cs="Times New Roman"/>
          <w:sz w:val="20"/>
          <w:szCs w:val="20"/>
        </w:rPr>
        <w:t>. Courts were traditionally hostile to these restrictions due to fear they would impair productiv</w:t>
      </w:r>
      <w:r>
        <w:rPr>
          <w:rFonts w:ascii="Times New Roman" w:eastAsia="Times New Roman" w:hAnsi="Times New Roman" w:cs="Times New Roman"/>
          <w:sz w:val="20"/>
          <w:szCs w:val="20"/>
        </w:rPr>
        <w:t>e use, but modern law recognizes their value in private land use planning, notably their use in enforcing CC&amp;Rs:</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Covenants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Conditions</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Restrictions</w:t>
      </w:r>
    </w:p>
    <w:p w:rsidR="00E46D95" w:rsidRDefault="006F495B">
      <w:pPr>
        <w:numPr>
          <w:ilvl w:val="1"/>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Nuisance Law</w:t>
      </w:r>
      <w:r>
        <w:rPr>
          <w:rFonts w:ascii="Times New Roman" w:eastAsia="Times New Roman" w:hAnsi="Times New Roman" w:cs="Times New Roman"/>
          <w:sz w:val="20"/>
          <w:szCs w:val="20"/>
        </w:rPr>
        <w:t xml:space="preserve"> – resolves the comparatively rare situation where one owner’s use seriously interferes with ano</w:t>
      </w:r>
      <w:r>
        <w:rPr>
          <w:rFonts w:ascii="Times New Roman" w:eastAsia="Times New Roman" w:hAnsi="Times New Roman" w:cs="Times New Roman"/>
          <w:sz w:val="20"/>
          <w:szCs w:val="20"/>
        </w:rPr>
        <w:t>ther owner’s use; less important than in the past, since the 1920s zoning laws and other land use regulations have largely taken over the traditional function of nuisance law</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law of easements, real covenants, and equitable servitudes is in transition w</w:t>
      </w:r>
      <w:r>
        <w:rPr>
          <w:rFonts w:ascii="Times New Roman" w:eastAsia="Times New Roman" w:hAnsi="Times New Roman" w:cs="Times New Roman"/>
          <w:sz w:val="20"/>
          <w:szCs w:val="20"/>
        </w:rPr>
        <w:t xml:space="preserve">ith the adopt of the </w:t>
      </w:r>
      <w:r>
        <w:rPr>
          <w:rFonts w:ascii="Times New Roman" w:eastAsia="Times New Roman" w:hAnsi="Times New Roman" w:cs="Times New Roman"/>
          <w:i/>
          <w:sz w:val="20"/>
          <w:szCs w:val="20"/>
        </w:rPr>
        <w:t>Restatement</w:t>
      </w:r>
      <w:r>
        <w:rPr>
          <w:rFonts w:ascii="Times New Roman" w:eastAsia="Times New Roman" w:hAnsi="Times New Roman" w:cs="Times New Roman"/>
          <w:sz w:val="20"/>
          <w:szCs w:val="20"/>
        </w:rPr>
        <w:t xml:space="preserve"> – merges the easement, real covenant, and equitable servitude into one doctrine (“</w:t>
      </w:r>
      <w:r>
        <w:rPr>
          <w:rFonts w:ascii="Times New Roman" w:eastAsia="Times New Roman" w:hAnsi="Times New Roman" w:cs="Times New Roman"/>
          <w:i/>
          <w:sz w:val="20"/>
          <w:szCs w:val="20"/>
        </w:rPr>
        <w:t>the servitude</w:t>
      </w:r>
      <w:r>
        <w:rPr>
          <w:rFonts w:ascii="Times New Roman" w:eastAsia="Times New Roman" w:hAnsi="Times New Roman" w:cs="Times New Roman"/>
          <w:sz w:val="20"/>
          <w:szCs w:val="20"/>
        </w:rPr>
        <w:t>”); reflects the view that servitudes are useful devices that people ought to be able to use without artificial constraints, rej</w:t>
      </w:r>
      <w:r>
        <w:rPr>
          <w:rFonts w:ascii="Times New Roman" w:eastAsia="Times New Roman" w:hAnsi="Times New Roman" w:cs="Times New Roman"/>
          <w:sz w:val="20"/>
          <w:szCs w:val="20"/>
        </w:rPr>
        <w:t>ecting the historic approach emphasizing the free use of land, sometimes at the expense of frustrating intent</w:t>
      </w:r>
    </w:p>
    <w:p w:rsidR="00E46D95" w:rsidRDefault="006F495B">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Easements – a non-possessory right to use the land of another person, a vital tool for productive land use</w:t>
      </w:r>
    </w:p>
    <w:p w:rsidR="00E46D95" w:rsidRDefault="006F495B">
      <w:pPr>
        <w:numPr>
          <w:ilvl w:val="1"/>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Express Easement</w:t>
      </w:r>
      <w:r>
        <w:rPr>
          <w:rFonts w:ascii="Times New Roman" w:eastAsia="Times New Roman" w:hAnsi="Times New Roman" w:cs="Times New Roman"/>
          <w:sz w:val="20"/>
          <w:szCs w:val="20"/>
        </w:rPr>
        <w:t xml:space="preserve"> – arises only with</w:t>
      </w:r>
      <w:r>
        <w:rPr>
          <w:rFonts w:ascii="Times New Roman" w:eastAsia="Times New Roman" w:hAnsi="Times New Roman" w:cs="Times New Roman"/>
          <w:sz w:val="20"/>
          <w:szCs w:val="20"/>
        </w:rPr>
        <w:t xml:space="preserve"> the agreement of the owner whose land is burden (the most common kind of easement) (remaining four types are imposed as a matter of law </w:t>
      </w:r>
      <w:r>
        <w:rPr>
          <w:rFonts w:ascii="Times New Roman" w:eastAsia="Times New Roman" w:hAnsi="Times New Roman" w:cs="Times New Roman"/>
          <w:i/>
          <w:sz w:val="20"/>
          <w:szCs w:val="20"/>
        </w:rPr>
        <w:t xml:space="preserve">without </w:t>
      </w:r>
      <w:r>
        <w:rPr>
          <w:rFonts w:ascii="Times New Roman" w:eastAsia="Times New Roman" w:hAnsi="Times New Roman" w:cs="Times New Roman"/>
          <w:sz w:val="20"/>
          <w:szCs w:val="20"/>
        </w:rPr>
        <w:t xml:space="preserve">the owner’s agreement) </w:t>
      </w:r>
    </w:p>
    <w:p w:rsidR="00E46D95" w:rsidRDefault="006F495B">
      <w:pPr>
        <w:numPr>
          <w:ilvl w:val="1"/>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Created without the owner’s agreement:</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Implied Easement by Prior Existing Use</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E</w:t>
      </w:r>
      <w:r>
        <w:rPr>
          <w:rFonts w:ascii="Times New Roman" w:eastAsia="Times New Roman" w:hAnsi="Times New Roman" w:cs="Times New Roman"/>
          <w:i/>
          <w:sz w:val="20"/>
          <w:szCs w:val="20"/>
        </w:rPr>
        <w:t>asement by Necessity</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Prescriptive Easement</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Easement by Estoppel</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Irrevocable License</w:t>
      </w:r>
      <w:r>
        <w:rPr>
          <w:rFonts w:ascii="Times New Roman" w:eastAsia="Times New Roman" w:hAnsi="Times New Roman" w:cs="Times New Roman"/>
          <w:sz w:val="20"/>
          <w:szCs w:val="20"/>
        </w:rPr>
        <w:t>”)</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Easement Terminology:</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Property</w:t>
      </w:r>
      <w:r>
        <w:rPr>
          <w:rFonts w:ascii="Times New Roman" w:eastAsia="Times New Roman" w:hAnsi="Times New Roman" w:cs="Times New Roman"/>
          <w:i/>
          <w:sz w:val="20"/>
          <w:szCs w:val="20"/>
        </w:rPr>
        <w:t xml:space="preserve"> </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Dominant tenement/dominant land</w:t>
      </w:r>
      <w:r>
        <w:rPr>
          <w:rFonts w:ascii="Times New Roman" w:eastAsia="Times New Roman" w:hAnsi="Times New Roman" w:cs="Times New Roman"/>
          <w:sz w:val="20"/>
          <w:szCs w:val="20"/>
        </w:rPr>
        <w:t xml:space="preserve"> – the land benefited y the easement </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Servient tenement/servient land</w:t>
      </w:r>
      <w:r>
        <w:rPr>
          <w:rFonts w:ascii="Times New Roman" w:eastAsia="Times New Roman" w:hAnsi="Times New Roman" w:cs="Times New Roman"/>
          <w:sz w:val="20"/>
          <w:szCs w:val="20"/>
        </w:rPr>
        <w:t xml:space="preserve"> – the land burdened by the </w:t>
      </w:r>
      <w:r>
        <w:rPr>
          <w:rFonts w:ascii="Times New Roman" w:eastAsia="Times New Roman" w:hAnsi="Times New Roman" w:cs="Times New Roman"/>
          <w:sz w:val="20"/>
          <w:szCs w:val="20"/>
        </w:rPr>
        <w:t>easement</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Parites</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Dominant owner</w:t>
      </w:r>
      <w:r>
        <w:rPr>
          <w:rFonts w:ascii="Times New Roman" w:eastAsia="Times New Roman" w:hAnsi="Times New Roman" w:cs="Times New Roman"/>
          <w:sz w:val="20"/>
          <w:szCs w:val="20"/>
        </w:rPr>
        <w:t xml:space="preserve"> – the easement holder</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Servient owner</w:t>
      </w:r>
      <w:r>
        <w:rPr>
          <w:rFonts w:ascii="Times New Roman" w:eastAsia="Times New Roman" w:hAnsi="Times New Roman" w:cs="Times New Roman"/>
          <w:sz w:val="20"/>
          <w:szCs w:val="20"/>
        </w:rPr>
        <w:t xml:space="preserve"> – the owner of the servient tenement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Appurtenant or In Gross</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Appurtenant easement – </w:t>
      </w:r>
      <w:r>
        <w:rPr>
          <w:rFonts w:ascii="Times New Roman" w:eastAsia="Times New Roman" w:hAnsi="Times New Roman" w:cs="Times New Roman"/>
          <w:sz w:val="20"/>
          <w:szCs w:val="20"/>
        </w:rPr>
        <w:t>benefits the holder in her use of a specific parcel of land, the dominant tenement (most easements)</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In gross easement – </w:t>
      </w:r>
      <w:r>
        <w:rPr>
          <w:rFonts w:ascii="Times New Roman" w:eastAsia="Times New Roman" w:hAnsi="Times New Roman" w:cs="Times New Roman"/>
          <w:sz w:val="20"/>
          <w:szCs w:val="20"/>
        </w:rPr>
        <w:t xml:space="preserve">not connected to the holder’s use of any particular land rather it is personal to the owner </w:t>
      </w:r>
      <w:r>
        <w:rPr>
          <w:rFonts w:ascii="Times New Roman" w:eastAsia="Times New Roman" w:hAnsi="Times New Roman" w:cs="Times New Roman"/>
          <w:i/>
          <w:sz w:val="20"/>
          <w:szCs w:val="20"/>
        </w:rPr>
        <w:t xml:space="preserve">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Affirmative or Negative</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Affirmative easement</w:t>
      </w:r>
      <w:r>
        <w:rPr>
          <w:rFonts w:ascii="Times New Roman" w:eastAsia="Times New Roman" w:hAnsi="Times New Roman" w:cs="Times New Roman"/>
          <w:sz w:val="20"/>
          <w:szCs w:val="20"/>
        </w:rPr>
        <w:t xml:space="preserve"> – allows the holder to perform an act on the servient land (most easements)</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Negative easement</w:t>
      </w:r>
      <w:r>
        <w:rPr>
          <w:rFonts w:ascii="Times New Roman" w:eastAsia="Times New Roman" w:hAnsi="Times New Roman" w:cs="Times New Roman"/>
          <w:sz w:val="20"/>
          <w:szCs w:val="20"/>
        </w:rPr>
        <w:t xml:space="preserve"> – allows the holder to prevent the servient owner from performing an act on the servient land</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Creating Easements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Express Easement</w:t>
      </w:r>
      <w:r>
        <w:rPr>
          <w:rFonts w:ascii="Times New Roman" w:eastAsia="Times New Roman" w:hAnsi="Times New Roman" w:cs="Times New Roman"/>
          <w:sz w:val="20"/>
          <w:szCs w:val="20"/>
        </w:rPr>
        <w:t xml:space="preserve"> – ^ an easement which is voluntarily created by the servient owner, usually in a deed; may arise by a (1) grant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(2) </w:t>
      </w:r>
      <w:r>
        <w:rPr>
          <w:rFonts w:ascii="Times New Roman" w:eastAsia="Times New Roman" w:hAnsi="Times New Roman" w:cs="Times New Roman"/>
          <w:i/>
          <w:sz w:val="20"/>
          <w:szCs w:val="20"/>
        </w:rPr>
        <w:t>re</w:t>
      </w:r>
      <w:r>
        <w:rPr>
          <w:rFonts w:ascii="Times New Roman" w:eastAsia="Times New Roman" w:hAnsi="Times New Roman" w:cs="Times New Roman"/>
          <w:i/>
          <w:sz w:val="20"/>
          <w:szCs w:val="20"/>
        </w:rPr>
        <w:t>servation</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Express easement by grant</w:t>
      </w:r>
      <w:r>
        <w:rPr>
          <w:rFonts w:ascii="Times New Roman" w:eastAsia="Times New Roman" w:hAnsi="Times New Roman" w:cs="Times New Roman"/>
          <w:sz w:val="20"/>
          <w:szCs w:val="20"/>
        </w:rPr>
        <w:t xml:space="preserve"> – arises when the servient owner grants an easement to the dominant owner</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Express easement by reservation</w:t>
      </w:r>
      <w:r>
        <w:rPr>
          <w:rFonts w:ascii="Times New Roman" w:eastAsia="Times New Roman" w:hAnsi="Times New Roman" w:cs="Times New Roman"/>
          <w:sz w:val="20"/>
          <w:szCs w:val="20"/>
        </w:rPr>
        <w:t xml:space="preserve"> – arises when the dominant owner grants the servient land to the servient owner but retains or </w:t>
      </w:r>
      <w:r>
        <w:rPr>
          <w:rFonts w:ascii="Times New Roman" w:eastAsia="Times New Roman" w:hAnsi="Times New Roman" w:cs="Times New Roman"/>
          <w:i/>
          <w:sz w:val="20"/>
          <w:szCs w:val="20"/>
        </w:rPr>
        <w:t>reserves</w:t>
      </w:r>
      <w:r>
        <w:rPr>
          <w:rFonts w:ascii="Times New Roman" w:eastAsia="Times New Roman" w:hAnsi="Times New Roman" w:cs="Times New Roman"/>
          <w:sz w:val="20"/>
          <w:szCs w:val="20"/>
        </w:rPr>
        <w:t xml:space="preserve"> an easemen</w:t>
      </w:r>
      <w:r>
        <w:rPr>
          <w:rFonts w:ascii="Times New Roman" w:eastAsia="Times New Roman" w:hAnsi="Times New Roman" w:cs="Times New Roman"/>
          <w:sz w:val="20"/>
          <w:szCs w:val="20"/>
        </w:rPr>
        <w:t xml:space="preserve">t over the property; traditionally only allowed to be reserved in favor of the dominant owner, most modern decisions allow this easement to be reserved in favor of a third party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Millbrook Hunt, Inc. v. Smith</w:t>
      </w:r>
      <w:r>
        <w:rPr>
          <w:rFonts w:ascii="Times New Roman" w:eastAsia="Times New Roman" w:hAnsi="Times New Roman" w:cs="Times New Roman"/>
          <w:color w:val="FF0000"/>
          <w:sz w:val="20"/>
          <w:szCs w:val="20"/>
          <w:shd w:val="clear" w:color="auto" w:fill="FFF2CC"/>
        </w:rPr>
        <w:t xml:space="preserve"> (Supreme Court of New York, Appellate Division,</w:t>
      </w:r>
      <w:r>
        <w:rPr>
          <w:rFonts w:ascii="Times New Roman" w:eastAsia="Times New Roman" w:hAnsi="Times New Roman" w:cs="Times New Roman"/>
          <w:color w:val="FF0000"/>
          <w:sz w:val="20"/>
          <w:szCs w:val="20"/>
          <w:shd w:val="clear" w:color="auto" w:fill="FFF2CC"/>
        </w:rPr>
        <w:t xml:space="preserve"> 1998)</w:t>
      </w:r>
      <w:r>
        <w:rPr>
          <w:rFonts w:ascii="Times New Roman" w:eastAsia="Times New Roman" w:hAnsi="Times New Roman" w:cs="Times New Roman"/>
          <w:color w:val="FF0000"/>
          <w:sz w:val="20"/>
          <w:szCs w:val="20"/>
        </w:rPr>
        <w:t xml:space="preserve"> –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license or lease?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Declaring that had an easement over Smith’s property and to permanently enjoin interference with its use of that easement (PH)</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 a lease (ambiguously stated in term)</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Moved for SJ dismissing the complaint on the ground that the Agreement conferred a revocable license to the Hunt which he had terminated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Cross-moved to dismiss the affirmative defenses and counterclaims contained in Smith’s answer</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Definitions/Rules</w:t>
      </w:r>
      <w:r>
        <w:rPr>
          <w:rFonts w:ascii="Times New Roman" w:eastAsia="Times New Roman" w:hAnsi="Times New Roman" w:cs="Times New Roman"/>
          <w:color w:val="FF0000"/>
          <w:sz w:val="20"/>
          <w:szCs w:val="20"/>
        </w:rPr>
        <w: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License – does not imply an interest in land, but is a mere personal privilege to commit some act or series of acts on the land of another without possessing any estate therein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Revocable, Δ claiming this and that had terminated said license with Hunt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Ea</w:t>
      </w:r>
      <w:r>
        <w:rPr>
          <w:rFonts w:ascii="Times New Roman" w:eastAsia="Times New Roman" w:hAnsi="Times New Roman" w:cs="Times New Roman"/>
          <w:color w:val="FF0000"/>
          <w:sz w:val="20"/>
          <w:szCs w:val="20"/>
        </w:rPr>
        <w:t xml:space="preserve">sement – implies an interest in land ordinarily create by a grant and is </w:t>
      </w:r>
      <w:r>
        <w:rPr>
          <w:rFonts w:ascii="Times New Roman" w:eastAsia="Times New Roman" w:hAnsi="Times New Roman" w:cs="Times New Roman"/>
          <w:color w:val="FF0000"/>
          <w:sz w:val="20"/>
          <w:szCs w:val="20"/>
          <w:u w:val="single"/>
        </w:rPr>
        <w:t>permanent in nature</w:t>
      </w:r>
      <w:r>
        <w:rPr>
          <w:rFonts w:ascii="Times New Roman" w:eastAsia="Times New Roman" w:hAnsi="Times New Roman" w:cs="Times New Roman"/>
          <w:color w:val="FF0000"/>
          <w:sz w:val="20"/>
          <w:szCs w:val="20"/>
        </w:rPr>
        <w:t xml:space="preserve"> (term of years, irrevocable until end of those years(?))</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v. Lease – broader (no particular purpose) possessory right (easement = more narrowly focused)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Hunt has</w:t>
      </w:r>
      <w:r>
        <w:rPr>
          <w:rFonts w:ascii="Times New Roman" w:eastAsia="Times New Roman" w:hAnsi="Times New Roman" w:cs="Times New Roman"/>
          <w:color w:val="FF0000"/>
          <w:sz w:val="20"/>
          <w:szCs w:val="20"/>
        </w:rPr>
        <w:t xml:space="preserve"> an </w:t>
      </w:r>
      <w:r>
        <w:rPr>
          <w:rFonts w:ascii="Times New Roman" w:eastAsia="Times New Roman" w:hAnsi="Times New Roman" w:cs="Times New Roman"/>
          <w:color w:val="FF0000"/>
          <w:sz w:val="20"/>
          <w:szCs w:val="20"/>
          <w:u w:val="single"/>
        </w:rPr>
        <w:t xml:space="preserve">easement </w:t>
      </w:r>
      <w:r>
        <w:rPr>
          <w:rFonts w:ascii="Times New Roman" w:eastAsia="Times New Roman" w:hAnsi="Times New Roman" w:cs="Times New Roman"/>
          <w:color w:val="FF0000"/>
          <w:sz w:val="20"/>
          <w:szCs w:val="20"/>
        </w:rPr>
        <w:t xml:space="preserve">in the disputed area rather than a revocable license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In-gross easement (not connected to the holder’s use of any particular land, rather, it is personal to the holder)</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Parties sufficiently expressed their intent to reserve to the Hunt a pe</w:t>
      </w:r>
      <w:r>
        <w:rPr>
          <w:rFonts w:ascii="Times New Roman" w:eastAsia="Times New Roman" w:hAnsi="Times New Roman" w:cs="Times New Roman"/>
          <w:color w:val="FF0000"/>
          <w:sz w:val="20"/>
          <w:szCs w:val="20"/>
        </w:rPr>
        <w:t>rmanent right to fox-hunt on the parcel; Smith had both actual and constructive notice of teis easement prior to the date that he bought the land and is estopped from deny its existences (remedy/consequence)</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Creating requires a writing satisfying the Statu</w:t>
      </w:r>
      <w:r>
        <w:rPr>
          <w:rFonts w:ascii="Times New Roman" w:eastAsia="Times New Roman" w:hAnsi="Times New Roman" w:cs="Times New Roman"/>
          <w:sz w:val="20"/>
          <w:szCs w:val="20"/>
        </w:rPr>
        <w:t xml:space="preserve">te of Frauds, a well-drafted easement will (1) identify the parties, (2) describe the servient land and the dominant land (if any), (3) describe the exact location of the easement on the servient land, and (4) state the purposes for which the easement may </w:t>
      </w:r>
      <w:r>
        <w:rPr>
          <w:rFonts w:ascii="Times New Roman" w:eastAsia="Times New Roman" w:hAnsi="Times New Roman" w:cs="Times New Roman"/>
          <w:sz w:val="20"/>
          <w:szCs w:val="20"/>
        </w:rPr>
        <w:t>be used</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Implied Easement by Prior Existing Use</w:t>
      </w:r>
      <w:r>
        <w:rPr>
          <w:rFonts w:ascii="Times New Roman" w:eastAsia="Times New Roman" w:hAnsi="Times New Roman" w:cs="Times New Roman"/>
          <w:sz w:val="20"/>
          <w:szCs w:val="20"/>
        </w:rPr>
        <w:t>, three required elements: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Severance of title to land held in common ownership</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existing, apparent, and continuous use of one parcel for the benefit of another at the time of severance</w:t>
      </w:r>
      <w:r>
        <w:rPr>
          <w:rFonts w:ascii="Times New Roman" w:eastAsia="Times New Roman" w:hAnsi="Times New Roman" w:cs="Times New Roman"/>
          <w:i/>
          <w:sz w:val="20"/>
          <w:szCs w:val="20"/>
        </w:rPr>
        <w:t xml:space="preserve"> and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 nece</w:t>
      </w:r>
      <w:r>
        <w:rPr>
          <w:rFonts w:ascii="Times New Roman" w:eastAsia="Times New Roman" w:hAnsi="Times New Roman" w:cs="Times New Roman"/>
          <w:sz w:val="20"/>
          <w:szCs w:val="20"/>
        </w:rPr>
        <w:t xml:space="preserve">ssity for that use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Van Sandt v. Royster</w:t>
      </w:r>
      <w:r>
        <w:rPr>
          <w:rFonts w:ascii="Times New Roman" w:eastAsia="Times New Roman" w:hAnsi="Times New Roman" w:cs="Times New Roman"/>
          <w:color w:val="FF0000"/>
          <w:sz w:val="20"/>
          <w:szCs w:val="20"/>
          <w:shd w:val="clear" w:color="auto" w:fill="FFF2CC"/>
        </w:rPr>
        <w:t xml:space="preserve"> (Supreme Court of Kansas, 1938)</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An appurtenant easement existed in the said lateral sewer as to all three of the properties involved in the controversy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H/J: Affirmed, implied easement by “prior existing use”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(APP): Existing, apparent, and continuous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Existing/continuous – </w:t>
      </w:r>
      <w:r>
        <w:rPr>
          <w:rFonts w:ascii="Times New Roman" w:eastAsia="Times New Roman" w:hAnsi="Times New Roman" w:cs="Times New Roman"/>
          <w:i/>
          <w:color w:val="FF0000"/>
          <w:sz w:val="20"/>
          <w:szCs w:val="20"/>
        </w:rPr>
        <w:t>quasi-easement</w:t>
      </w:r>
      <w:r>
        <w:rPr>
          <w:rFonts w:ascii="Times New Roman" w:eastAsia="Times New Roman" w:hAnsi="Times New Roman" w:cs="Times New Roman"/>
          <w:color w:val="FF0000"/>
          <w:sz w:val="20"/>
          <w:szCs w:val="20"/>
        </w:rPr>
        <w:t xml:space="preserve"> (pg. 674) – can’t have easement in own land, but easement that could arise when conveyed away</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Apparent – cannot be cl</w:t>
      </w:r>
      <w:r>
        <w:rPr>
          <w:rFonts w:ascii="Times New Roman" w:eastAsia="Times New Roman" w:hAnsi="Times New Roman" w:cs="Times New Roman"/>
          <w:color w:val="FF0000"/>
          <w:sz w:val="20"/>
          <w:szCs w:val="20"/>
        </w:rPr>
        <w:t xml:space="preserve">aimed that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purchased without notice, careful and thorough inspection of the property made; (pg. 676) apparent – appearance and visibility are not synonymous and that the fact that the pipe, sewer, or drain may be hidden underground does not negative its</w:t>
      </w:r>
      <w:r>
        <w:rPr>
          <w:rFonts w:ascii="Times New Roman" w:eastAsia="Times New Roman" w:hAnsi="Times New Roman" w:cs="Times New Roman"/>
          <w:color w:val="FF0000"/>
          <w:sz w:val="20"/>
          <w:szCs w:val="20"/>
        </w:rPr>
        <w:t xml:space="preserve"> character as an apparent condition, at least where the appliances connected with wand leading to it are obvious</w:t>
      </w:r>
    </w:p>
    <w:p w:rsidR="00E46D95" w:rsidRDefault="006F495B">
      <w:pPr>
        <w:numPr>
          <w:ilvl w:val="6"/>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possibility apparent by inquiry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(APP): “Reasonable necessity” uncomfortable/burden for neighbor</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(pg. 677), Three Elements: (1) Seve</w:t>
      </w:r>
      <w:r>
        <w:rPr>
          <w:rFonts w:ascii="Times New Roman" w:eastAsia="Times New Roman" w:hAnsi="Times New Roman" w:cs="Times New Roman"/>
          <w:color w:val="FF0000"/>
          <w:sz w:val="20"/>
          <w:szCs w:val="20"/>
        </w:rPr>
        <w:t xml:space="preserve">rance of title to land held in common ownership, (2) an existing, apparent, and continuous use of one parcel for the benefit of another at the time of severance, and (3) reasonable necessity for that use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Alternatives for suit here: Trespass, nuisance; p</w:t>
      </w:r>
      <w:r>
        <w:rPr>
          <w:rFonts w:ascii="Times New Roman" w:eastAsia="Times New Roman" w:hAnsi="Times New Roman" w:cs="Times New Roman"/>
          <w:color w:val="FF0000"/>
          <w:sz w:val="20"/>
          <w:szCs w:val="20"/>
        </w:rPr>
        <w:t>roblem here, asking for injunction of sewer line which would have been really expensive (apparent/reasonable necessary enough, etc.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Could not have discovered easement in land title (unwritten, no record notice) – means may need to inquire about, r</w:t>
      </w:r>
      <w:r>
        <w:rPr>
          <w:rFonts w:ascii="Times New Roman" w:eastAsia="Times New Roman" w:hAnsi="Times New Roman" w:cs="Times New Roman"/>
          <w:color w:val="FF0000"/>
          <w:sz w:val="20"/>
          <w:szCs w:val="20"/>
        </w:rPr>
        <w:t xml:space="preserve">ecords may not protect from prior use/adverse possession/etc. </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Easement by Necessity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landlocked</w:t>
      </w:r>
      <w:r>
        <w:rPr>
          <w:rFonts w:ascii="Times New Roman" w:eastAsia="Times New Roman" w:hAnsi="Times New Roman" w:cs="Times New Roman"/>
          <w:sz w:val="20"/>
          <w:szCs w:val="20"/>
        </w:rPr>
        <w:t xml:space="preserve"> – no legal right to access one’s property from a public road); two elements: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Severance of title to land held in common ownership </w:t>
      </w:r>
      <w:r>
        <w:rPr>
          <w:rFonts w:ascii="Times New Roman" w:eastAsia="Times New Roman" w:hAnsi="Times New Roman" w:cs="Times New Roman"/>
          <w:i/>
          <w:sz w:val="20"/>
          <w:szCs w:val="20"/>
        </w:rPr>
        <w:t>and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Necessity for the ease</w:t>
      </w:r>
      <w:r>
        <w:rPr>
          <w:rFonts w:ascii="Times New Roman" w:eastAsia="Times New Roman" w:hAnsi="Times New Roman" w:cs="Times New Roman"/>
          <w:sz w:val="20"/>
          <w:szCs w:val="20"/>
        </w:rPr>
        <w:t>ment at the time of severance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Berge v. State of Vermont </w:t>
      </w:r>
      <w:r>
        <w:rPr>
          <w:rFonts w:ascii="Times New Roman" w:eastAsia="Times New Roman" w:hAnsi="Times New Roman" w:cs="Times New Roman"/>
          <w:color w:val="FF0000"/>
          <w:sz w:val="20"/>
          <w:szCs w:val="20"/>
          <w:shd w:val="clear" w:color="auto" w:fill="FFF2CC"/>
        </w:rPr>
        <w:t>(Supreme Court of Vermont, 2006)</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Plot (upon being subdivided) no longer accessible by gravel road (gated off by the state), accessible by water and owns boat but does not use the boat to access the property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Easement by necessity (different from easement by prior use), created by or</w:t>
      </w:r>
      <w:r>
        <w:rPr>
          <w:rFonts w:ascii="Times New Roman" w:eastAsia="Times New Roman" w:hAnsi="Times New Roman" w:cs="Times New Roman"/>
          <w:color w:val="FF0000"/>
          <w:sz w:val="20"/>
          <w:szCs w:val="20"/>
        </w:rPr>
        <w:t xml:space="preserve">iginal parceling out (conveyance) of property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Prior owner should have created an easement but presumably forgot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(pg. 683), Two elements: (1) Severance of title to land held in common ownership, (2) necessity for the easement at the time of severance </w:t>
      </w:r>
      <w:r>
        <w:rPr>
          <w:rFonts w:ascii="Times New Roman" w:eastAsia="Times New Roman" w:hAnsi="Times New Roman" w:cs="Times New Roman"/>
          <w:color w:val="FF0000"/>
          <w:sz w:val="20"/>
          <w:szCs w:val="20"/>
        </w:rPr>
        <w:t>(</w:t>
      </w:r>
      <w:r>
        <w:rPr>
          <w:rFonts w:ascii="Times New Roman" w:eastAsia="Times New Roman" w:hAnsi="Times New Roman" w:cs="Times New Roman"/>
          <w:i/>
          <w:color w:val="FF0000"/>
          <w:sz w:val="20"/>
          <w:szCs w:val="20"/>
        </w:rPr>
        <w:t>strict necessity</w:t>
      </w:r>
      <w:r>
        <w:rPr>
          <w:rFonts w:ascii="Times New Roman" w:eastAsia="Times New Roman" w:hAnsi="Times New Roman" w:cs="Times New Roman"/>
          <w:color w:val="FF0000"/>
          <w:sz w:val="20"/>
          <w:szCs w:val="20"/>
        </w:rPr>
        <w:t xml:space="preserve"> – often meaning landlocked)</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Standard created: “reasonable, practical access(?)”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Is the access that the owner had before </w:t>
      </w:r>
      <w:r>
        <w:rPr>
          <w:rFonts w:ascii="Times New Roman" w:eastAsia="Times New Roman" w:hAnsi="Times New Roman" w:cs="Times New Roman"/>
          <w:i/>
          <w:color w:val="FF0000"/>
          <w:sz w:val="20"/>
          <w:szCs w:val="20"/>
        </w:rPr>
        <w:t>strictly necessary</w:t>
      </w:r>
      <w:r>
        <w:rPr>
          <w:rFonts w:ascii="Times New Roman" w:eastAsia="Times New Roman" w:hAnsi="Times New Roman" w:cs="Times New Roman"/>
          <w:color w:val="FF0000"/>
          <w:sz w:val="20"/>
          <w:szCs w:val="20"/>
        </w:rPr>
        <w: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’s claim defeated solely by virtue of the fact that he could reach the property by water </w:t>
      </w:r>
      <w:r>
        <w:rPr>
          <w:rFonts w:ascii="Times New Roman" w:eastAsia="Times New Roman" w:hAnsi="Times New Roman" w:cs="Times New Roman"/>
          <w:color w:val="FF0000"/>
          <w:sz w:val="20"/>
          <w:szCs w:val="20"/>
        </w:rPr>
        <w:t>(i.e. rule that if have water access don’t have strict necessity)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Lower court erred, necessity broader than </w:t>
      </w:r>
      <w:r>
        <w:rPr>
          <w:rFonts w:ascii="Times New Roman" w:eastAsia="Times New Roman" w:hAnsi="Times New Roman" w:cs="Times New Roman"/>
          <w:i/>
          <w:color w:val="FF0000"/>
          <w:sz w:val="20"/>
          <w:szCs w:val="20"/>
        </w:rPr>
        <w:t>strict necessity</w:t>
      </w:r>
      <w:r>
        <w:rPr>
          <w:rFonts w:ascii="Times New Roman" w:eastAsia="Times New Roman" w:hAnsi="Times New Roman" w:cs="Times New Roman"/>
          <w:color w:val="FF0000"/>
          <w:sz w:val="20"/>
          <w:szCs w:val="20"/>
        </w:rPr>
        <w:t xml:space="preserve"> standard utilized by that lower court (obtained appurtenant, implied easement by necessity)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R1: Case law has long made practica</w:t>
      </w:r>
      <w:r>
        <w:rPr>
          <w:rFonts w:ascii="Times New Roman" w:eastAsia="Times New Roman" w:hAnsi="Times New Roman" w:cs="Times New Roman"/>
          <w:color w:val="FF0000"/>
          <w:sz w:val="20"/>
          <w:szCs w:val="20"/>
        </w:rPr>
        <w:t>l access to a public road the linchpin of the easement-by-necessity doctrine</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R2: (Counter to argue that rule at time of conveyance) we should not freeze the common law in time, holding that for some landowners water access is sufficient and for others it i</w:t>
      </w:r>
      <w:r>
        <w:rPr>
          <w:rFonts w:ascii="Times New Roman" w:eastAsia="Times New Roman" w:hAnsi="Times New Roman" w:cs="Times New Roman"/>
          <w:color w:val="FF0000"/>
          <w:sz w:val="20"/>
          <w:szCs w:val="20"/>
        </w:rPr>
        <w:t>s not, or that some landowners can have electricity and others cannot (pg. 682)</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(Reiber) Countervailing policy interests have historically animated our reluctance to so easily grant easements by necessity, does not like bright-line rule by majority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Notable fact(s): Allegedly principal residence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Maintenance on the part of the easeme</w:t>
      </w:r>
      <w:r>
        <w:rPr>
          <w:rFonts w:ascii="Times New Roman" w:eastAsia="Times New Roman" w:hAnsi="Times New Roman" w:cs="Times New Roman"/>
          <w:color w:val="FF0000"/>
          <w:sz w:val="20"/>
          <w:szCs w:val="20"/>
        </w:rPr>
        <w:t xml:space="preserve">nt holder (so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not Vermont (though VT may want to make sure that wildlife friendly))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Use of easement up to subservient landlord so long as doesn’t interfere with easement owner’s use (note g, pg. 685)</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Easement by necessity is </w:t>
      </w:r>
      <w:r>
        <w:rPr>
          <w:rFonts w:ascii="Times New Roman" w:eastAsia="Times New Roman" w:hAnsi="Times New Roman" w:cs="Times New Roman"/>
          <w:i/>
          <w:color w:val="FF0000"/>
          <w:sz w:val="20"/>
          <w:szCs w:val="20"/>
        </w:rPr>
        <w:t>determinable</w:t>
      </w:r>
      <w:r>
        <w:rPr>
          <w:rFonts w:ascii="Times New Roman" w:eastAsia="Times New Roman" w:hAnsi="Times New Roman" w:cs="Times New Roman"/>
          <w:color w:val="FF0000"/>
          <w:sz w:val="20"/>
          <w:szCs w:val="20"/>
        </w:rPr>
        <w:t xml:space="preserve"> because only l</w:t>
      </w:r>
      <w:r>
        <w:rPr>
          <w:rFonts w:ascii="Times New Roman" w:eastAsia="Times New Roman" w:hAnsi="Times New Roman" w:cs="Times New Roman"/>
          <w:color w:val="FF0000"/>
          <w:sz w:val="20"/>
          <w:szCs w:val="20"/>
        </w:rPr>
        <w:t xml:space="preserve">asts as long as the necessity is continuous (note g, pg. 685)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Different from prior use easements – higher standard of necessity…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Easement by Necessities still require strict necessity (must be landlocked otherwise); also public purpose/policy idea that p</w:t>
      </w:r>
      <w:r>
        <w:rPr>
          <w:rFonts w:ascii="Times New Roman" w:eastAsia="Times New Roman" w:hAnsi="Times New Roman" w:cs="Times New Roman"/>
          <w:color w:val="FF0000"/>
          <w:sz w:val="20"/>
          <w:szCs w:val="20"/>
        </w:rPr>
        <w:t>ublic benefits by having fewer landlocked parcels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Prescriptive Easement</w:t>
      </w:r>
      <w:r>
        <w:rPr>
          <w:rFonts w:ascii="Times New Roman" w:eastAsia="Times New Roman" w:hAnsi="Times New Roman" w:cs="Times New Roman"/>
          <w:sz w:val="20"/>
          <w:szCs w:val="20"/>
        </w:rPr>
        <w:t xml:space="preserve"> (an easement acquired by similar conduct to AP); four required elements (varies, common approach):</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Open and notorious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Adverse and hostile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Continuous</w:t>
      </w:r>
      <w:r>
        <w:rPr>
          <w:rFonts w:ascii="Times New Roman" w:eastAsia="Times New Roman" w:hAnsi="Times New Roman" w:cs="Times New Roman"/>
          <w:i/>
          <w:sz w:val="20"/>
          <w:szCs w:val="20"/>
        </w:rPr>
        <w:t xml:space="preserve"> and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the statutory period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O’</w:t>
      </w:r>
      <w:r>
        <w:rPr>
          <w:rFonts w:ascii="Times New Roman" w:eastAsia="Times New Roman" w:hAnsi="Times New Roman" w:cs="Times New Roman"/>
          <w:i/>
          <w:color w:val="FF0000"/>
          <w:sz w:val="20"/>
          <w:szCs w:val="20"/>
          <w:shd w:val="clear" w:color="auto" w:fill="FFF2CC"/>
        </w:rPr>
        <w:t xml:space="preserve">Dell v. Stegall </w:t>
      </w:r>
      <w:r>
        <w:rPr>
          <w:rFonts w:ascii="Times New Roman" w:eastAsia="Times New Roman" w:hAnsi="Times New Roman" w:cs="Times New Roman"/>
          <w:color w:val="FF0000"/>
          <w:sz w:val="20"/>
          <w:szCs w:val="20"/>
          <w:shd w:val="clear" w:color="auto" w:fill="FFF2CC"/>
        </w:rPr>
        <w:t>(Supreme Court of Appeals of West Virginia, 2010)</w:t>
      </w:r>
      <w:r>
        <w:rPr>
          <w:rFonts w:ascii="Times New Roman" w:eastAsia="Times New Roman" w:hAnsi="Times New Roman" w:cs="Times New Roman"/>
          <w:color w:val="FF0000"/>
          <w:sz w:val="20"/>
          <w:szCs w:val="20"/>
        </w:rPr>
        <w:t xml:space="preserv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had acquired a prescriptive easement to use a gravel land</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ab/>
        <w:t>→ Can’t be easement by necessity because has other means of access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Does not know who owns the land beneath the gravel land but insists that he has a prescriptive easement to use the lane as an additional access to his property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does not have a prescriptive easement and assert that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use will cause wear and tea</w:t>
      </w:r>
      <w:r>
        <w:rPr>
          <w:rFonts w:ascii="Times New Roman" w:eastAsia="Times New Roman" w:hAnsi="Times New Roman" w:cs="Times New Roman"/>
          <w:color w:val="FF0000"/>
          <w:sz w:val="20"/>
          <w:szCs w:val="20"/>
        </w:rPr>
        <w:t>r to the gravel land which the defendants are contractually obligated to repair</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A person claiming a prescriptive easement must prove each of the following elements: (1) Adverse use of another’s land, (2) that the adverse use was continuous and uninte</w:t>
      </w:r>
      <w:r>
        <w:rPr>
          <w:rFonts w:ascii="Times New Roman" w:eastAsia="Times New Roman" w:hAnsi="Times New Roman" w:cs="Times New Roman"/>
          <w:color w:val="FF0000"/>
          <w:sz w:val="20"/>
          <w:szCs w:val="20"/>
        </w:rPr>
        <w:t>rrupted for at least 10 years, (3) that the adverse use was actually known to the owner of the land or so open, notorious, and visible that a reasonable owner of the land would have noticed the use and (4) the reasonably identified starting point, ending p</w:t>
      </w:r>
      <w:r>
        <w:rPr>
          <w:rFonts w:ascii="Times New Roman" w:eastAsia="Times New Roman" w:hAnsi="Times New Roman" w:cs="Times New Roman"/>
          <w:color w:val="FF0000"/>
          <w:sz w:val="20"/>
          <w:szCs w:val="20"/>
        </w:rPr>
        <w:t>oint, line, and width of the land that was adversely used and the manner or purpose for which the land was adversely used</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Was the use adverse? (Per tacking,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establishes statutory continuity)</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Wasn’t adverse because used with permission (defeats adv</w:t>
      </w:r>
      <w:r>
        <w:rPr>
          <w:rFonts w:ascii="Times New Roman" w:eastAsia="Times New Roman" w:hAnsi="Times New Roman" w:cs="Times New Roman"/>
          <w:color w:val="FF0000"/>
          <w:sz w:val="20"/>
          <w:szCs w:val="20"/>
        </w:rPr>
        <w:t>ersity)</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Asks for presumption of adversity if other elements met</w:t>
      </w:r>
    </w:p>
    <w:p w:rsidR="00E46D95" w:rsidRDefault="006F495B">
      <w:pPr>
        <w:numPr>
          <w:ilvl w:val="6"/>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State (H): Presumed permission</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wholly failed to establish that he had a prescriptive easement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Public policy to promote neighborliness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Common approach (note b, pg. 691), elements: (1) Open and notorious, (2) adverse and hostile, (3) continuous, (4) for the statutory period </w:t>
      </w:r>
    </w:p>
    <w:p w:rsidR="00E46D95" w:rsidRDefault="006F495B">
      <w:pPr>
        <w:ind w:left="2880"/>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 States split between presumption with other elements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argument, defeated) v. presumption of permission per pu</w:t>
      </w:r>
      <w:r>
        <w:rPr>
          <w:rFonts w:ascii="Times New Roman" w:eastAsia="Times New Roman" w:hAnsi="Times New Roman" w:cs="Times New Roman"/>
          <w:color w:val="FF0000"/>
          <w:sz w:val="20"/>
          <w:szCs w:val="20"/>
        </w:rPr>
        <w:t>blic policy of neighborliness (court’s H here)</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Easement by Estoppel</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irrevocable license</w:t>
      </w:r>
      <w:r>
        <w:rPr>
          <w:rFonts w:ascii="Times New Roman" w:eastAsia="Times New Roman" w:hAnsi="Times New Roman" w:cs="Times New Roman"/>
          <w:sz w:val="20"/>
          <w:szCs w:val="20"/>
        </w:rPr>
        <w:t>”), three required elements: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landowner allows another to use his land thus creating a license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licensee relies in good faith on the license, usually by making physical improvements or by incurring significant costs </w:t>
      </w:r>
      <w:r>
        <w:rPr>
          <w:rFonts w:ascii="Times New Roman" w:eastAsia="Times New Roman" w:hAnsi="Times New Roman" w:cs="Times New Roman"/>
          <w:i/>
          <w:sz w:val="20"/>
          <w:szCs w:val="20"/>
        </w:rPr>
        <w:t>and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licensor knows or reasonably should expect such reliance will occur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Kienzle v. Myers</w:t>
      </w:r>
      <w:r>
        <w:rPr>
          <w:rFonts w:ascii="Times New Roman" w:eastAsia="Times New Roman" w:hAnsi="Times New Roman" w:cs="Times New Roman"/>
          <w:color w:val="FF0000"/>
          <w:sz w:val="20"/>
          <w:szCs w:val="20"/>
          <w:shd w:val="clear" w:color="auto" w:fill="FFF2CC"/>
        </w:rPr>
        <w:t xml:space="preserve"> (Court of Appeals of Ohio, 2006)</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w:t>
      </w:r>
      <w:r>
        <w:rPr>
          <w:rFonts w:ascii="Times New Roman" w:eastAsia="Times New Roman" w:hAnsi="Times New Roman" w:cs="Times New Roman"/>
          <w:color w:val="FF0000"/>
          <w:sz w:val="20"/>
          <w:szCs w:val="20"/>
        </w:rPr>
        <w:t xml:space="preserve"> Oral agreement between initial parties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SOF requirement) – not a typical kind of easement because not in writing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Prescriptive easement? No, not adverse and hostile (friendly, neighborliness)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 Seeking quiet title and damages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Counterclaim: Easement</w:t>
      </w:r>
      <w:r>
        <w:rPr>
          <w:rFonts w:ascii="Times New Roman" w:eastAsia="Times New Roman" w:hAnsi="Times New Roman" w:cs="Times New Roman"/>
          <w:color w:val="FF0000"/>
          <w:sz w:val="20"/>
          <w:szCs w:val="20"/>
        </w:rPr>
        <w:t xml:space="preserv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Easement by estoppel – where an owner misleads or causes another in any way to change his or her position to that party’s prejudice, the owner is estopped from denying the existence of an easement (pg. 696)</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License – revocable, gives someone permissio</w:t>
      </w:r>
      <w:r>
        <w:rPr>
          <w:rFonts w:ascii="Times New Roman" w:eastAsia="Times New Roman" w:hAnsi="Times New Roman" w:cs="Times New Roman"/>
          <w:color w:val="FF0000"/>
          <w:sz w:val="20"/>
          <w:szCs w:val="20"/>
        </w:rPr>
        <w:t>n to use property (not here, if revocable then would not be in court)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Easement by estoppel – the irrevocable license(?)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t>
      </w:r>
      <w:r>
        <w:rPr>
          <w:rFonts w:ascii="Times New Roman" w:eastAsia="Times New Roman" w:hAnsi="Times New Roman" w:cs="Times New Roman"/>
          <w:i/>
          <w:color w:val="FF0000"/>
          <w:sz w:val="20"/>
          <w:szCs w:val="20"/>
        </w:rPr>
        <w:t>Schmiehausen</w:t>
      </w:r>
      <w:r>
        <w:rPr>
          <w:rFonts w:ascii="Times New Roman" w:eastAsia="Times New Roman" w:hAnsi="Times New Roman" w:cs="Times New Roman"/>
          <w:color w:val="FF0000"/>
          <w:sz w:val="20"/>
          <w:szCs w:val="20"/>
        </w:rPr>
        <w:t xml:space="preserve"> (pg. 695); relevant factors – spent money, lead to believe granting permission and permission not going to be revoked in</w:t>
      </w:r>
      <w:r>
        <w:rPr>
          <w:rFonts w:ascii="Times New Roman" w:eastAsia="Times New Roman" w:hAnsi="Times New Roman" w:cs="Times New Roman"/>
          <w:color w:val="FF0000"/>
          <w:sz w:val="20"/>
          <w:szCs w:val="20"/>
        </w:rPr>
        <w:t xml:space="preserve"> the future (</w:t>
      </w:r>
      <w:r>
        <w:rPr>
          <w:rFonts w:ascii="Times New Roman" w:eastAsia="Times New Roman" w:hAnsi="Times New Roman" w:cs="Times New Roman"/>
          <w:color w:val="FF0000"/>
          <w:sz w:val="20"/>
          <w:szCs w:val="20"/>
          <w:u w:val="single"/>
        </w:rPr>
        <w:t>(1) reasonable reliance and (2) expenditure of money</w:t>
      </w:r>
      <w:r>
        <w:rPr>
          <w:rFonts w:ascii="Times New Roman" w:eastAsia="Times New Roman" w:hAnsi="Times New Roman" w:cs="Times New Roman"/>
          <w:color w:val="FF0000"/>
          <w:sz w:val="20"/>
          <w:szCs w:val="20"/>
        </w:rPr>
        <w: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Costs to successor of original grantor: Costs seemingly intangible if buried deep beneath the ground (“psychic costs”) absent more information regarding costs/effects</w:t>
      </w:r>
    </w:p>
    <w:p w:rsidR="00E46D95" w:rsidRDefault="006F495B">
      <w:pPr>
        <w:numPr>
          <w:ilvl w:val="6"/>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Consider equities – substantial costs to reroute sewers and no current costs to current arrangement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Estoppel = an equitable doctrine, costs not worth…</w:t>
      </w:r>
    </w:p>
    <w:p w:rsidR="00E46D95" w:rsidRDefault="006F495B">
      <w:pPr>
        <w:numPr>
          <w:ilvl w:val="3"/>
          <w:numId w:val="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 xml:space="preserve">Holbrook v. Taylor </w:t>
      </w:r>
      <w:r>
        <w:rPr>
          <w:rFonts w:ascii="Times New Roman" w:eastAsia="Times New Roman" w:hAnsi="Times New Roman" w:cs="Times New Roman"/>
          <w:color w:val="FF0000"/>
          <w:sz w:val="20"/>
          <w:szCs w:val="20"/>
        </w:rPr>
        <w:t>(note c, pg. 698) – revocable license ripened into irrevocable</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Interpreting Easem</w:t>
      </w:r>
      <w:r>
        <w:rPr>
          <w:rFonts w:ascii="Times New Roman" w:eastAsia="Times New Roman" w:hAnsi="Times New Roman" w:cs="Times New Roman"/>
          <w:sz w:val="20"/>
          <w:szCs w:val="20"/>
        </w:rPr>
        <w:t>ents – conflicts may arise between the easement holder and the owner of the servient land about the</w:t>
      </w:r>
      <w:r>
        <w:rPr>
          <w:rFonts w:ascii="Times New Roman" w:eastAsia="Times New Roman" w:hAnsi="Times New Roman" w:cs="Times New Roman"/>
          <w:i/>
          <w:sz w:val="20"/>
          <w:szCs w:val="20"/>
        </w:rPr>
        <w:t xml:space="preserve"> manner, frequency, </w:t>
      </w:r>
      <w:r>
        <w:rPr>
          <w:rFonts w:ascii="Times New Roman" w:eastAsia="Times New Roman" w:hAnsi="Times New Roman" w:cs="Times New Roman"/>
          <w:sz w:val="20"/>
          <w:szCs w:val="20"/>
        </w:rPr>
        <w:t>and</w:t>
      </w:r>
      <w:r>
        <w:rPr>
          <w:rFonts w:ascii="Times New Roman" w:eastAsia="Times New Roman" w:hAnsi="Times New Roman" w:cs="Times New Roman"/>
          <w:i/>
          <w:sz w:val="20"/>
          <w:szCs w:val="20"/>
        </w:rPr>
        <w:t xml:space="preserve"> use</w:t>
      </w:r>
      <w:r>
        <w:rPr>
          <w:rFonts w:ascii="Times New Roman" w:eastAsia="Times New Roman" w:hAnsi="Times New Roman" w:cs="Times New Roman"/>
          <w:sz w:val="20"/>
          <w:szCs w:val="20"/>
        </w:rPr>
        <w:t xml:space="preserve"> – these may change over time as technology evolves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Marcus Cable Associates, L.P. v. Krohn</w:t>
      </w:r>
      <w:r>
        <w:rPr>
          <w:rFonts w:ascii="Times New Roman" w:eastAsia="Times New Roman" w:hAnsi="Times New Roman" w:cs="Times New Roman"/>
          <w:color w:val="FF0000"/>
          <w:sz w:val="20"/>
          <w:szCs w:val="20"/>
          <w:shd w:val="clear" w:color="auto" w:fill="FFF2CC"/>
        </w:rPr>
        <w:t xml:space="preserve"> (Supreme Court of Texas, 2002)</w:t>
      </w:r>
      <w:r>
        <w:rPr>
          <w:rFonts w:ascii="Times New Roman" w:eastAsia="Times New Roman" w:hAnsi="Times New Roman" w:cs="Times New Roman"/>
          <w:color w:val="FF0000"/>
          <w:sz w:val="20"/>
          <w:szCs w:val="20"/>
        </w:rPr>
        <w:t xml:space="preserve"> –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Inter</w:t>
      </w:r>
      <w:r>
        <w:rPr>
          <w:rFonts w:ascii="Times New Roman" w:eastAsia="Times New Roman" w:hAnsi="Times New Roman" w:cs="Times New Roman"/>
          <w:color w:val="FF0000"/>
          <w:sz w:val="20"/>
          <w:szCs w:val="20"/>
        </w:rPr>
        <w:t>preting easements (last section creating easements)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Looking to install a cable line by use of “electric transmission” easement (easement created in 1929, prior to broad/modern perceptions of tv) – minimal burden perhaps besides stringing</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Easement only for “electric transmission,” want narrow interpretation</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Wants broad interpretation</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(Pg. 701) Common law flexibility in determining an easement holder’s rights in the manner, frequency, and intensity of an easement’s use may chang</w:t>
      </w:r>
      <w:r>
        <w:rPr>
          <w:rFonts w:ascii="Times New Roman" w:eastAsia="Times New Roman" w:hAnsi="Times New Roman" w:cs="Times New Roman"/>
          <w:color w:val="FF0000"/>
          <w:sz w:val="20"/>
          <w:szCs w:val="20"/>
        </w:rPr>
        <w:t>e over time to accommodate technological development (Restatement – public policy idea not to freeze easements in time, i.e. inability to foresee development of cable tv)</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An express easement encompasses only those technological developments that further the particular purpose for which the easement was granted (can’t string tv cables, favors property rights), interprets easement narrowly (using contract construction/inte</w:t>
      </w:r>
      <w:r>
        <w:rPr>
          <w:rFonts w:ascii="Times New Roman" w:eastAsia="Times New Roman" w:hAnsi="Times New Roman" w:cs="Times New Roman"/>
          <w:color w:val="FF0000"/>
          <w:sz w:val="20"/>
          <w:szCs w:val="20"/>
        </w:rPr>
        <w:t>rpretation (pg. 701, 702))</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Balancing technological change with property rights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Implications: No condemnation rights (unlike utilities probably have) so will need to either create a new agreement with the Δ Krohns or more likely go around them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 xml:space="preserve">Henley </w:t>
      </w:r>
      <w:r>
        <w:rPr>
          <w:rFonts w:ascii="Times New Roman" w:eastAsia="Times New Roman" w:hAnsi="Times New Roman" w:cs="Times New Roman"/>
          <w:i/>
          <w:color w:val="FF0000"/>
          <w:sz w:val="20"/>
          <w:szCs w:val="20"/>
        </w:rPr>
        <w:t xml:space="preserve">v. Continental Cablevision of St. Louis County, Inc. </w:t>
      </w:r>
      <w:r>
        <w:rPr>
          <w:rFonts w:ascii="Times New Roman" w:eastAsia="Times New Roman" w:hAnsi="Times New Roman" w:cs="Times New Roman"/>
          <w:color w:val="FF0000"/>
          <w:sz w:val="20"/>
          <w:szCs w:val="20"/>
        </w:rPr>
        <w:t xml:space="preserve">– similar and holds in favor of cable company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not inconsistent because “</w:t>
      </w:r>
      <w:r>
        <w:rPr>
          <w:rFonts w:ascii="Times New Roman" w:eastAsia="Times New Roman" w:hAnsi="Times New Roman" w:cs="Times New Roman"/>
          <w:i/>
          <w:color w:val="FF0000"/>
          <w:sz w:val="20"/>
          <w:szCs w:val="20"/>
        </w:rPr>
        <w:t>for telephone and</w:t>
      </w:r>
      <w:r>
        <w:rPr>
          <w:rFonts w:ascii="Times New Roman" w:eastAsia="Times New Roman" w:hAnsi="Times New Roman" w:cs="Times New Roman"/>
          <w:color w:val="FF0000"/>
          <w:sz w:val="20"/>
          <w:szCs w:val="20"/>
        </w:rPr>
        <w:t xml:space="preserve"> electric light purposes”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Notes, pg. 706-707 (see)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d: Intensifying a Permitted Use, probably yes (“to ac</w:t>
      </w:r>
      <w:r>
        <w:rPr>
          <w:rFonts w:ascii="Times New Roman" w:eastAsia="Times New Roman" w:hAnsi="Times New Roman" w:cs="Times New Roman"/>
          <w:color w:val="FF0000"/>
          <w:sz w:val="20"/>
          <w:szCs w:val="20"/>
        </w:rPr>
        <w:t>commodate the normal development of the dominant estate,” but unlike what is “normal development” and what is “overburdening servient estate”)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e: Relocating an Easement, traditionally not without permission of the dominant estate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Restatement says </w:t>
      </w:r>
      <w:r>
        <w:rPr>
          <w:rFonts w:ascii="Times New Roman" w:eastAsia="Times New Roman" w:hAnsi="Times New Roman" w:cs="Times New Roman"/>
          <w:color w:val="FF0000"/>
          <w:sz w:val="20"/>
          <w:szCs w:val="20"/>
        </w:rPr>
        <w:t>should be able to move as long as functionally no cost to the dominant estate (because would essentially give dominant estate holder power to hold up development on servient estate so as long as can move without frustrating, should be able to); varies by j</w:t>
      </w:r>
      <w:r>
        <w:rPr>
          <w:rFonts w:ascii="Times New Roman" w:eastAsia="Times New Roman" w:hAnsi="Times New Roman" w:cs="Times New Roman"/>
          <w:color w:val="FF0000"/>
          <w:sz w:val="20"/>
          <w:szCs w:val="20"/>
        </w:rPr>
        <w:t>urisdiction, many have not addressed so Restatement could be persuasive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f: Using an Easement to Benefit Other Land, traditionally only to benefit the dominant land so can’t use to benefit later purchased land </w:t>
      </w:r>
      <w:r>
        <w:rPr>
          <w:rFonts w:ascii="Times New Roman" w:eastAsia="Times New Roman" w:hAnsi="Times New Roman" w:cs="Times New Roman"/>
          <w:i/>
          <w:color w:val="FF0000"/>
          <w:sz w:val="20"/>
          <w:szCs w:val="20"/>
        </w:rPr>
        <w:t xml:space="preserve">but – </w:t>
      </w:r>
    </w:p>
    <w:p w:rsidR="00E46D95" w:rsidRDefault="006F495B">
      <w:pPr>
        <w:numPr>
          <w:ilvl w:val="4"/>
          <w:numId w:val="2"/>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Brown v. Voss</w:t>
      </w:r>
      <w:r>
        <w:rPr>
          <w:rFonts w:ascii="Times New Roman" w:eastAsia="Times New Roman" w:hAnsi="Times New Roman" w:cs="Times New Roman"/>
          <w:color w:val="FF0000"/>
          <w:sz w:val="20"/>
          <w:szCs w:val="20"/>
        </w:rPr>
        <w:t xml:space="preserve">, effectively no </w:t>
      </w:r>
      <w:r>
        <w:rPr>
          <w:rFonts w:ascii="Times New Roman" w:eastAsia="Times New Roman" w:hAnsi="Times New Roman" w:cs="Times New Roman"/>
          <w:color w:val="FF0000"/>
          <w:sz w:val="20"/>
          <w:szCs w:val="20"/>
        </w:rPr>
        <w:t>changes to nature of use so awarded $1 in nominal damages (because really no damages, how to get around traditional common law)</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Terminating Easements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Abandonment</w:t>
      </w:r>
      <w:r>
        <w:rPr>
          <w:rFonts w:ascii="Times New Roman" w:eastAsia="Times New Roman" w:hAnsi="Times New Roman" w:cs="Times New Roman"/>
          <w:sz w:val="20"/>
          <w:szCs w:val="20"/>
        </w:rPr>
        <w:t xml:space="preserve"> – requires non-use of the easement and words or conduct manifesting an intention to relinquis</w:t>
      </w:r>
      <w:r>
        <w:rPr>
          <w:rFonts w:ascii="Times New Roman" w:eastAsia="Times New Roman" w:hAnsi="Times New Roman" w:cs="Times New Roman"/>
          <w:sz w:val="20"/>
          <w:szCs w:val="20"/>
        </w:rPr>
        <w:t>h it</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Prescription</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Condemnation</w:t>
      </w:r>
      <w:r>
        <w:rPr>
          <w:rFonts w:ascii="Times New Roman" w:eastAsia="Times New Roman" w:hAnsi="Times New Roman" w:cs="Times New Roman"/>
          <w:sz w:val="20"/>
          <w:szCs w:val="20"/>
        </w:rPr>
        <w:t xml:space="preserve"> – condemnation of the servient land terminates the easement, in this even the easement holder is entitled to just compensation</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Estoppel</w:t>
      </w:r>
      <w:r>
        <w:rPr>
          <w:rFonts w:ascii="Times New Roman" w:eastAsia="Times New Roman" w:hAnsi="Times New Roman" w:cs="Times New Roman"/>
          <w:sz w:val="20"/>
          <w:szCs w:val="20"/>
        </w:rPr>
        <w:t xml:space="preserve"> – the easement ends if the servient owner substantially changes his position in reasonabl</w:t>
      </w:r>
      <w:r>
        <w:rPr>
          <w:rFonts w:ascii="Times New Roman" w:eastAsia="Times New Roman" w:hAnsi="Times New Roman" w:cs="Times New Roman"/>
          <w:sz w:val="20"/>
          <w:szCs w:val="20"/>
        </w:rPr>
        <w:t>e reliance on the holder’s statement that the easement will not be used in the future</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Merger</w:t>
      </w:r>
      <w:r>
        <w:rPr>
          <w:rFonts w:ascii="Times New Roman" w:eastAsia="Times New Roman" w:hAnsi="Times New Roman" w:cs="Times New Roman"/>
          <w:sz w:val="20"/>
          <w:szCs w:val="20"/>
        </w:rPr>
        <w:t xml:space="preserve"> – if one person obtains title to both the easement and the servient land, then the easement terminates under the doctrine of merger</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Misuse</w:t>
      </w:r>
      <w:r>
        <w:rPr>
          <w:rFonts w:ascii="Times New Roman" w:eastAsia="Times New Roman" w:hAnsi="Times New Roman" w:cs="Times New Roman"/>
          <w:sz w:val="20"/>
          <w:szCs w:val="20"/>
        </w:rPr>
        <w:t xml:space="preserve"> – in some jurisdictions, if the holder misuses the easement, it may be ended through forfeiture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Release</w:t>
      </w:r>
      <w:r>
        <w:rPr>
          <w:rFonts w:ascii="Times New Roman" w:eastAsia="Times New Roman" w:hAnsi="Times New Roman" w:cs="Times New Roman"/>
          <w:sz w:val="20"/>
          <w:szCs w:val="20"/>
        </w:rPr>
        <w:t xml:space="preserve"> - the easement holder may release the easement to the servient owner by executing and delivering a writing that complies with the statute of frauds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Pr</w:t>
      </w:r>
      <w:r>
        <w:rPr>
          <w:rFonts w:ascii="Times New Roman" w:eastAsia="Times New Roman" w:hAnsi="Times New Roman" w:cs="Times New Roman"/>
          <w:i/>
          <w:color w:val="FF0000"/>
          <w:sz w:val="20"/>
          <w:szCs w:val="20"/>
          <w:shd w:val="clear" w:color="auto" w:fill="FFF2CC"/>
        </w:rPr>
        <w:t xml:space="preserve">eseault v. United States </w:t>
      </w:r>
      <w:r>
        <w:rPr>
          <w:rFonts w:ascii="Times New Roman" w:eastAsia="Times New Roman" w:hAnsi="Times New Roman" w:cs="Times New Roman"/>
          <w:color w:val="FF0000"/>
          <w:sz w:val="20"/>
          <w:szCs w:val="20"/>
          <w:shd w:val="clear" w:color="auto" w:fill="FFF2CC"/>
        </w:rPr>
        <w:t>(United States Court of Appeals, Federal Circuit, 1996)</w:t>
      </w:r>
      <w:r>
        <w:rPr>
          <w:rFonts w:ascii="Times New Roman" w:eastAsia="Times New Roman" w:hAnsi="Times New Roman" w:cs="Times New Roman"/>
          <w:color w:val="FF0000"/>
          <w:sz w:val="20"/>
          <w:szCs w:val="20"/>
        </w:rPr>
        <w:t xml:space="preserve"> –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In Federal Circuit but uses VT law because in VT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Old railroad easement through property (likely created through condemnation)</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I1: Fee simple or easement?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H1: Inte</w:t>
      </w:r>
      <w:r>
        <w:rPr>
          <w:rFonts w:ascii="Times New Roman" w:eastAsia="Times New Roman" w:hAnsi="Times New Roman" w:cs="Times New Roman"/>
          <w:color w:val="FF0000"/>
          <w:sz w:val="20"/>
          <w:szCs w:val="20"/>
        </w:rPr>
        <w:t xml:space="preserve">rpreting VT case law, an easement (though other courts may hold fee simple)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Railroads under VT case law only got what they needed to run rails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I2: If easements, were the terms of the easements limited to use for railroad purposes or did they include future use as public recreational trails?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H2: Was subject, are sufficiently broad in their scope so that the use of the easements for a public recrea</w:t>
      </w:r>
      <w:r>
        <w:rPr>
          <w:rFonts w:ascii="Times New Roman" w:eastAsia="Times New Roman" w:hAnsi="Times New Roman" w:cs="Times New Roman"/>
          <w:color w:val="FF0000"/>
          <w:sz w:val="20"/>
          <w:szCs w:val="20"/>
        </w:rPr>
        <w:t xml:space="preserve">tional trail is not a violation of the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rights as owners of the underlying fee estate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Pg. 710 – commercial enterprise using the easement in its business (commercial v. public) – narrow interpretation alike </w:t>
      </w:r>
      <w:r>
        <w:rPr>
          <w:rFonts w:ascii="Times New Roman" w:eastAsia="Times New Roman" w:hAnsi="Times New Roman" w:cs="Times New Roman"/>
          <w:i/>
          <w:color w:val="FF0000"/>
          <w:sz w:val="20"/>
          <w:szCs w:val="20"/>
        </w:rPr>
        <w:t>Marcus Cable</w:t>
      </w:r>
      <w:r>
        <w:rPr>
          <w:rFonts w:ascii="Times New Roman" w:eastAsia="Times New Roman" w:hAnsi="Times New Roman" w:cs="Times New Roman"/>
          <w:color w:val="FF0000"/>
          <w:sz w:val="20"/>
          <w:szCs w:val="20"/>
        </w:rPr>
        <w:t xml:space="preserve"> (unlike </w:t>
      </w:r>
      <w:r>
        <w:rPr>
          <w:rFonts w:ascii="Times New Roman" w:eastAsia="Times New Roman" w:hAnsi="Times New Roman" w:cs="Times New Roman"/>
          <w:i/>
          <w:color w:val="FF0000"/>
          <w:sz w:val="20"/>
          <w:szCs w:val="20"/>
        </w:rPr>
        <w:t>Chevy Chase Land Co.</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FF0000"/>
          <w:sz w:val="20"/>
          <w:szCs w:val="20"/>
        </w:rPr>
        <w:t>note c, pg. 713)</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I3: Even if broad enough to encompass recreational trails, had those easements terminated prior to the alleged taking so that the property owners at that time held fee simples unencumbered by the easements?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Non-use not enough to show</w:t>
      </w:r>
      <w:r>
        <w:rPr>
          <w:rFonts w:ascii="Times New Roman" w:eastAsia="Times New Roman" w:hAnsi="Times New Roman" w:cs="Times New Roman"/>
          <w:color w:val="FF0000"/>
          <w:sz w:val="20"/>
          <w:szCs w:val="20"/>
        </w:rPr>
        <w:t xml:space="preserve"> abandoned, need also intent manifested by declaration or doing something inconsistent with the purposes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H3: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(R) removing the rails enough abandonment (Y, abandoned)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Gov’t taking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Aftermath: Compensated $1.4M – don’t get right to stop Rails to Trails but make harder with “takings”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Negative Easements – allows the dominant owner to prevent the servient owner from performing an act on the servient land; traditionally disfavored for fea</w:t>
      </w:r>
      <w:r>
        <w:rPr>
          <w:rFonts w:ascii="Times New Roman" w:eastAsia="Times New Roman" w:hAnsi="Times New Roman" w:cs="Times New Roman"/>
          <w:sz w:val="20"/>
          <w:szCs w:val="20"/>
        </w:rPr>
        <w:t xml:space="preserve">r would interfere with productive land use; modern restrictions usually take the form of </w:t>
      </w:r>
      <w:r>
        <w:rPr>
          <w:rFonts w:ascii="Times New Roman" w:eastAsia="Times New Roman" w:hAnsi="Times New Roman" w:cs="Times New Roman"/>
          <w:i/>
          <w:sz w:val="20"/>
          <w:szCs w:val="20"/>
        </w:rPr>
        <w:t>real covenants</w:t>
      </w:r>
      <w:r>
        <w:rPr>
          <w:rFonts w:ascii="Times New Roman" w:eastAsia="Times New Roman" w:hAnsi="Times New Roman" w:cs="Times New Roman"/>
          <w:sz w:val="20"/>
          <w:szCs w:val="20"/>
        </w:rPr>
        <w:t xml:space="preserve"> or</w:t>
      </w:r>
      <w:r>
        <w:rPr>
          <w:rFonts w:ascii="Times New Roman" w:eastAsia="Times New Roman" w:hAnsi="Times New Roman" w:cs="Times New Roman"/>
          <w:i/>
          <w:sz w:val="20"/>
          <w:szCs w:val="20"/>
        </w:rPr>
        <w:t xml:space="preserve"> equitable servitudes</w:t>
      </w:r>
      <w:r>
        <w:rPr>
          <w:rFonts w:ascii="Times New Roman" w:eastAsia="Times New Roman" w:hAnsi="Times New Roman" w:cs="Times New Roman"/>
          <w:sz w:val="20"/>
          <w:szCs w:val="20"/>
        </w:rPr>
        <w:t xml:space="preserve"> and may encourage land use</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Conservation easement</w:t>
      </w:r>
      <w:r>
        <w:rPr>
          <w:rFonts w:ascii="Times New Roman" w:eastAsia="Times New Roman" w:hAnsi="Times New Roman" w:cs="Times New Roman"/>
          <w:sz w:val="20"/>
          <w:szCs w:val="20"/>
        </w:rPr>
        <w:t xml:space="preserve"> – the most common negative easement, restricts development and use of the servi</w:t>
      </w:r>
      <w:r>
        <w:rPr>
          <w:rFonts w:ascii="Times New Roman" w:eastAsia="Times New Roman" w:hAnsi="Times New Roman" w:cs="Times New Roman"/>
          <w:sz w:val="20"/>
          <w:szCs w:val="20"/>
        </w:rPr>
        <w:t>ent land in order to preserve open space, farmland, historic sites, or wild and undeveloped land; the servient landowner usually conveys the easement to a land trust or other conservation group and may continue to use the land as permitted by the easement,</w:t>
      </w:r>
      <w:r>
        <w:rPr>
          <w:rFonts w:ascii="Times New Roman" w:eastAsia="Times New Roman" w:hAnsi="Times New Roman" w:cs="Times New Roman"/>
          <w:sz w:val="20"/>
          <w:szCs w:val="20"/>
        </w:rPr>
        <w:t xml:space="preserve"> after the conveyance, the land may be used for non-developmental purposes; amendments/termination of such an easement often not permitted (re </w:t>
      </w:r>
      <w:r>
        <w:rPr>
          <w:rFonts w:ascii="Times New Roman" w:eastAsia="Times New Roman" w:hAnsi="Times New Roman" w:cs="Times New Roman"/>
          <w:i/>
          <w:sz w:val="20"/>
          <w:szCs w:val="20"/>
        </w:rPr>
        <w:t>Bjork v. Draper</w:t>
      </w:r>
      <w:r>
        <w:rPr>
          <w:rFonts w:ascii="Times New Roman" w:eastAsia="Times New Roman" w:hAnsi="Times New Roman" w:cs="Times New Roman"/>
          <w:sz w:val="20"/>
          <w:szCs w:val="20"/>
        </w:rPr>
        <w:t>)</w:t>
      </w:r>
    </w:p>
    <w:p w:rsidR="00E46D95" w:rsidRDefault="006F495B">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Use Restrictions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Approach</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Real Covenants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covenant running at law</w:t>
      </w:r>
      <w:r>
        <w:rPr>
          <w:rFonts w:ascii="Times New Roman" w:eastAsia="Times New Roman" w:hAnsi="Times New Roman" w:cs="Times New Roman"/>
          <w:sz w:val="20"/>
          <w:szCs w:val="20"/>
        </w:rPr>
        <w:t>”)</w:t>
      </w:r>
      <w:r>
        <w:rPr>
          <w:rFonts w:ascii="Times New Roman" w:eastAsia="Times New Roman" w:hAnsi="Times New Roman" w:cs="Times New Roman"/>
          <w:i/>
          <w:color w:val="FF00FF"/>
          <w:sz w:val="20"/>
          <w:szCs w:val="20"/>
        </w:rPr>
        <w:t xml:space="preserve"> </w:t>
      </w:r>
      <w:r>
        <w:rPr>
          <w:rFonts w:ascii="Times New Roman" w:eastAsia="Times New Roman" w:hAnsi="Times New Roman" w:cs="Times New Roman"/>
          <w:color w:val="FF00FF"/>
          <w:sz w:val="20"/>
          <w:szCs w:val="20"/>
        </w:rPr>
        <w:t>– nonposse</w:t>
      </w:r>
      <w:r>
        <w:rPr>
          <w:rFonts w:ascii="Times New Roman" w:eastAsia="Times New Roman" w:hAnsi="Times New Roman" w:cs="Times New Roman"/>
          <w:color w:val="FF00FF"/>
          <w:sz w:val="20"/>
          <w:szCs w:val="20"/>
        </w:rPr>
        <w:t>ssory property right (not subject to RAP)</w:t>
      </w:r>
      <w:r>
        <w:rPr>
          <w:rFonts w:ascii="Times New Roman" w:eastAsia="Times New Roman" w:hAnsi="Times New Roman" w:cs="Times New Roman"/>
          <w:sz w:val="20"/>
          <w:szCs w:val="20"/>
        </w:rPr>
        <w:t>; allowed the benefit and burdens of a restriction to “run with the land” to successive owners, but involved a complex set of requirements that curtailed its use; a promise concerning the use of the land that benefi</w:t>
      </w:r>
      <w:r>
        <w:rPr>
          <w:rFonts w:ascii="Times New Roman" w:eastAsia="Times New Roman" w:hAnsi="Times New Roman" w:cs="Times New Roman"/>
          <w:sz w:val="20"/>
          <w:szCs w:val="20"/>
        </w:rPr>
        <w:t xml:space="preserve">ts and burdens both the </w:t>
      </w:r>
      <w:r>
        <w:rPr>
          <w:rFonts w:ascii="Times New Roman" w:eastAsia="Times New Roman" w:hAnsi="Times New Roman" w:cs="Times New Roman"/>
          <w:i/>
          <w:sz w:val="20"/>
          <w:szCs w:val="20"/>
        </w:rPr>
        <w:t>original parties</w:t>
      </w:r>
      <w:r>
        <w:rPr>
          <w:rFonts w:ascii="Times New Roman" w:eastAsia="Times New Roman" w:hAnsi="Times New Roman" w:cs="Times New Roman"/>
          <w:sz w:val="20"/>
          <w:szCs w:val="20"/>
        </w:rPr>
        <w:t xml:space="preserve"> to the promise and their </w:t>
      </w:r>
      <w:r>
        <w:rPr>
          <w:rFonts w:ascii="Times New Roman" w:eastAsia="Times New Roman" w:hAnsi="Times New Roman" w:cs="Times New Roman"/>
          <w:i/>
          <w:sz w:val="20"/>
          <w:szCs w:val="20"/>
        </w:rPr>
        <w:t>successors</w:t>
      </w:r>
      <w:r>
        <w:rPr>
          <w:rFonts w:ascii="Times New Roman" w:eastAsia="Times New Roman" w:hAnsi="Times New Roman" w:cs="Times New Roman"/>
          <w:sz w:val="20"/>
          <w:szCs w:val="20"/>
        </w:rPr>
        <w:t>; two sides:</w:t>
      </w:r>
      <w:r>
        <w:rPr>
          <w:rFonts w:ascii="Times New Roman" w:eastAsia="Times New Roman" w:hAnsi="Times New Roman" w:cs="Times New Roman"/>
          <w:sz w:val="20"/>
          <w:szCs w:val="20"/>
        </w:rPr>
        <w:tab/>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Burden</w:t>
      </w:r>
      <w:r>
        <w:rPr>
          <w:rFonts w:ascii="Times New Roman" w:eastAsia="Times New Roman" w:hAnsi="Times New Roman" w:cs="Times New Roman"/>
          <w:sz w:val="20"/>
          <w:szCs w:val="20"/>
        </w:rPr>
        <w:t xml:space="preserve"> – the duty to perform the promise; six elements must be proven for the burden of the promise to bind the promisor’s successors </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Compliance with the Statute of Frauds</w:t>
      </w:r>
      <w:r>
        <w:rPr>
          <w:rFonts w:ascii="Times New Roman" w:eastAsia="Times New Roman" w:hAnsi="Times New Roman" w:cs="Times New Roman"/>
          <w:sz w:val="20"/>
          <w:szCs w:val="20"/>
        </w:rPr>
        <w:t xml:space="preserve"> – the covenant must be contained in a document that satisfies the SOF</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Intent to Bind Successors</w:t>
      </w:r>
      <w:r>
        <w:rPr>
          <w:rFonts w:ascii="Times New Roman" w:eastAsia="Times New Roman" w:hAnsi="Times New Roman" w:cs="Times New Roman"/>
          <w:sz w:val="20"/>
          <w:szCs w:val="20"/>
        </w:rPr>
        <w:t xml:space="preserve"> – the original parties must intend to bind their successors. The needed intent is usually found in the express language of</w:t>
      </w:r>
      <w:r>
        <w:rPr>
          <w:rFonts w:ascii="Times New Roman" w:eastAsia="Times New Roman" w:hAnsi="Times New Roman" w:cs="Times New Roman"/>
          <w:sz w:val="20"/>
          <w:szCs w:val="20"/>
        </w:rPr>
        <w:t xml:space="preserve"> the document, but it may also be inferred from circumstances</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“Touch and Concern”</w:t>
      </w:r>
      <w:r>
        <w:rPr>
          <w:rFonts w:ascii="Times New Roman" w:eastAsia="Times New Roman" w:hAnsi="Times New Roman" w:cs="Times New Roman"/>
          <w:sz w:val="20"/>
          <w:szCs w:val="20"/>
        </w:rPr>
        <w:t xml:space="preserve"> – the covenant must “touch and concern” the land, it must relate to the enjoyment, occupation, or use of the property; generally, a covenant that restricts the use of the lan</w:t>
      </w:r>
      <w:r>
        <w:rPr>
          <w:rFonts w:ascii="Times New Roman" w:eastAsia="Times New Roman" w:hAnsi="Times New Roman" w:cs="Times New Roman"/>
          <w:sz w:val="20"/>
          <w:szCs w:val="20"/>
        </w:rPr>
        <w:t>d will satisfy this requirement; more difficult when a monetary obligation – modern courts agree that monetary covenants which are closely tied to the occupancy of the land (e.g. a tenant’s obligation to pay rent or an owner’s obligation to pay dues to a h</w:t>
      </w:r>
      <w:r>
        <w:rPr>
          <w:rFonts w:ascii="Times New Roman" w:eastAsia="Times New Roman" w:hAnsi="Times New Roman" w:cs="Times New Roman"/>
          <w:sz w:val="20"/>
          <w:szCs w:val="20"/>
        </w:rPr>
        <w:t>omeowners association)</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Notice</w:t>
      </w:r>
      <w:r>
        <w:rPr>
          <w:rFonts w:ascii="Times New Roman" w:eastAsia="Times New Roman" w:hAnsi="Times New Roman" w:cs="Times New Roman"/>
          <w:sz w:val="20"/>
          <w:szCs w:val="20"/>
        </w:rPr>
        <w:t xml:space="preserve"> – the successor must have notice of the covenant, satisfied by (1) actual notice, (2) record notice,  </w:t>
      </w:r>
      <w:r>
        <w:rPr>
          <w:rFonts w:ascii="Times New Roman" w:eastAsia="Times New Roman" w:hAnsi="Times New Roman" w:cs="Times New Roman"/>
          <w:i/>
          <w:sz w:val="20"/>
          <w:szCs w:val="20"/>
        </w:rPr>
        <w:t xml:space="preserve">or </w:t>
      </w:r>
      <w:r>
        <w:rPr>
          <w:rFonts w:ascii="Times New Roman" w:eastAsia="Times New Roman" w:hAnsi="Times New Roman" w:cs="Times New Roman"/>
          <w:sz w:val="20"/>
          <w:szCs w:val="20"/>
        </w:rPr>
        <w:t>(3) inquiry notice</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Horizontal Privity </w:t>
      </w:r>
      <w:r>
        <w:rPr>
          <w:rFonts w:ascii="Times New Roman" w:eastAsia="Times New Roman" w:hAnsi="Times New Roman" w:cs="Times New Roman"/>
          <w:sz w:val="20"/>
          <w:szCs w:val="20"/>
        </w:rPr>
        <w:t xml:space="preserve">– concerns the relationship between the </w:t>
      </w:r>
      <w:r>
        <w:rPr>
          <w:rFonts w:ascii="Times New Roman" w:eastAsia="Times New Roman" w:hAnsi="Times New Roman" w:cs="Times New Roman"/>
          <w:i/>
          <w:sz w:val="20"/>
          <w:szCs w:val="20"/>
        </w:rPr>
        <w:t>original parties</w:t>
      </w:r>
      <w:r>
        <w:rPr>
          <w:rFonts w:ascii="Times New Roman" w:eastAsia="Times New Roman" w:hAnsi="Times New Roman" w:cs="Times New Roman"/>
          <w:sz w:val="20"/>
          <w:szCs w:val="20"/>
        </w:rPr>
        <w:t xml:space="preserve"> to the promise; split of a</w:t>
      </w:r>
      <w:r>
        <w:rPr>
          <w:rFonts w:ascii="Times New Roman" w:eastAsia="Times New Roman" w:hAnsi="Times New Roman" w:cs="Times New Roman"/>
          <w:sz w:val="20"/>
          <w:szCs w:val="20"/>
        </w:rPr>
        <w:t>uthority in the US on which relationships satisfy this requirement:</w:t>
      </w:r>
    </w:p>
    <w:p w:rsidR="00E46D95" w:rsidRDefault="006F495B">
      <w:pPr>
        <w:numPr>
          <w:ilvl w:val="5"/>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Mutual Interests</w:t>
      </w:r>
      <w:r>
        <w:rPr>
          <w:rFonts w:ascii="Times New Roman" w:eastAsia="Times New Roman" w:hAnsi="Times New Roman" w:cs="Times New Roman"/>
          <w:sz w:val="20"/>
          <w:szCs w:val="20"/>
        </w:rPr>
        <w:t xml:space="preserve"> – in most states met where the original parties have mutual simultaneous interests in the affected land (e.g. landlord and tenant, cotenants, or owners of the dominant and</w:t>
      </w:r>
      <w:r>
        <w:rPr>
          <w:rFonts w:ascii="Times New Roman" w:eastAsia="Times New Roman" w:hAnsi="Times New Roman" w:cs="Times New Roman"/>
          <w:sz w:val="20"/>
          <w:szCs w:val="20"/>
        </w:rPr>
        <w:t xml:space="preserve"> servient lands for an easement)</w:t>
      </w:r>
    </w:p>
    <w:p w:rsidR="00E46D95" w:rsidRDefault="006F495B">
      <w:pPr>
        <w:numPr>
          <w:ilvl w:val="5"/>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Successive Interests</w:t>
      </w:r>
      <w:r>
        <w:rPr>
          <w:rFonts w:ascii="Times New Roman" w:eastAsia="Times New Roman" w:hAnsi="Times New Roman" w:cs="Times New Roman"/>
          <w:sz w:val="20"/>
          <w:szCs w:val="20"/>
        </w:rPr>
        <w:t xml:space="preserve"> – almost all states this is satisfied by a grantor-grantee relationship between the original parties so that they have successive interests in the affected land</w:t>
      </w:r>
    </w:p>
    <w:p w:rsidR="00E46D95" w:rsidRDefault="006F495B">
      <w:pPr>
        <w:numPr>
          <w:ilvl w:val="5"/>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 Requirement</w:t>
      </w:r>
      <w:r>
        <w:rPr>
          <w:rFonts w:ascii="Times New Roman" w:eastAsia="Times New Roman" w:hAnsi="Times New Roman" w:cs="Times New Roman"/>
          <w:sz w:val="20"/>
          <w:szCs w:val="20"/>
        </w:rPr>
        <w:t xml:space="preserve"> – an increasing number of </w:t>
      </w:r>
      <w:r>
        <w:rPr>
          <w:rFonts w:ascii="Times New Roman" w:eastAsia="Times New Roman" w:hAnsi="Times New Roman" w:cs="Times New Roman"/>
          <w:sz w:val="20"/>
          <w:szCs w:val="20"/>
        </w:rPr>
        <w:t>states have abandoned the requirement (the modern trend)</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Vertical Privity </w:t>
      </w:r>
      <w:r>
        <w:rPr>
          <w:rFonts w:ascii="Times New Roman" w:eastAsia="Times New Roman" w:hAnsi="Times New Roman" w:cs="Times New Roman"/>
          <w:sz w:val="20"/>
          <w:szCs w:val="20"/>
        </w:rPr>
        <w:t xml:space="preserve">– concerns the relationship between the </w:t>
      </w:r>
      <w:r>
        <w:rPr>
          <w:rFonts w:ascii="Times New Roman" w:eastAsia="Times New Roman" w:hAnsi="Times New Roman" w:cs="Times New Roman"/>
          <w:i/>
          <w:sz w:val="20"/>
          <w:szCs w:val="20"/>
        </w:rPr>
        <w:t>original party</w:t>
      </w:r>
      <w:r>
        <w:rPr>
          <w:rFonts w:ascii="Times New Roman" w:eastAsia="Times New Roman" w:hAnsi="Times New Roman" w:cs="Times New Roman"/>
          <w:sz w:val="20"/>
          <w:szCs w:val="20"/>
        </w:rPr>
        <w:t xml:space="preserve"> to the promise and his </w:t>
      </w:r>
      <w:r>
        <w:rPr>
          <w:rFonts w:ascii="Times New Roman" w:eastAsia="Times New Roman" w:hAnsi="Times New Roman" w:cs="Times New Roman"/>
          <w:i/>
          <w:sz w:val="20"/>
          <w:szCs w:val="20"/>
        </w:rPr>
        <w:t xml:space="preserve">successor, </w:t>
      </w:r>
      <w:r>
        <w:rPr>
          <w:rFonts w:ascii="Times New Roman" w:eastAsia="Times New Roman" w:hAnsi="Times New Roman" w:cs="Times New Roman"/>
          <w:sz w:val="20"/>
          <w:szCs w:val="20"/>
        </w:rPr>
        <w:t>test: Vertical privity exists only if the successor receives the entire estate that the origi</w:t>
      </w:r>
      <w:r>
        <w:rPr>
          <w:rFonts w:ascii="Times New Roman" w:eastAsia="Times New Roman" w:hAnsi="Times New Roman" w:cs="Times New Roman"/>
          <w:sz w:val="20"/>
          <w:szCs w:val="20"/>
        </w:rPr>
        <w:t xml:space="preserve">nal party had </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Benefit</w:t>
      </w:r>
      <w:r>
        <w:rPr>
          <w:rFonts w:ascii="Times New Roman" w:eastAsia="Times New Roman" w:hAnsi="Times New Roman" w:cs="Times New Roman"/>
          <w:sz w:val="20"/>
          <w:szCs w:val="20"/>
        </w:rPr>
        <w:t xml:space="preserve"> – the right to enforce the promise; only four of those elements required for the benefit to run to the promisee’s successors (no notice or horizontal privity required)</w:t>
      </w:r>
      <w:r>
        <w:rPr>
          <w:noProof/>
        </w:rPr>
        <mc:AlternateContent>
          <mc:Choice Requires="wpg">
            <w:drawing>
              <wp:anchor distT="114300" distB="114300" distL="114300" distR="114300" simplePos="0" relativeHeight="251660288" behindDoc="1" locked="0" layoutInCell="1" hidden="0" allowOverlap="1">
                <wp:simplePos x="0" y="0"/>
                <wp:positionH relativeFrom="margin">
                  <wp:posOffset>1317625</wp:posOffset>
                </wp:positionH>
                <wp:positionV relativeFrom="paragraph">
                  <wp:posOffset>66675</wp:posOffset>
                </wp:positionV>
                <wp:extent cx="3512608" cy="2151955"/>
                <wp:effectExtent l="0" t="0" r="0" b="0"/>
                <wp:wrapTopAndBottom distT="114300" distB="114300"/>
                <wp:docPr id="85" name="Group 85"/>
                <wp:cNvGraphicFramePr/>
                <a:graphic xmlns:a="http://schemas.openxmlformats.org/drawingml/2006/main">
                  <a:graphicData uri="http://schemas.microsoft.com/office/word/2010/wordprocessingGroup">
                    <wpg:wgp>
                      <wpg:cNvGrpSpPr/>
                      <wpg:grpSpPr>
                        <a:xfrm>
                          <a:off x="0" y="0"/>
                          <a:ext cx="3512608" cy="2151955"/>
                          <a:chOff x="1447800" y="1047750"/>
                          <a:chExt cx="3624300" cy="2205075"/>
                        </a:xfrm>
                      </wpg:grpSpPr>
                      <wps:wsp>
                        <wps:cNvPr id="86" name="Rectangle 86"/>
                        <wps:cNvSpPr/>
                        <wps:spPr>
                          <a:xfrm>
                            <a:off x="1447800" y="1076325"/>
                            <a:ext cx="3624300" cy="2176500"/>
                          </a:xfrm>
                          <a:prstGeom prst="rect">
                            <a:avLst/>
                          </a:prstGeom>
                          <a:solidFill>
                            <a:srgbClr val="CFE2F3"/>
                          </a:solidFill>
                          <a:ln>
                            <a:noFill/>
                          </a:ln>
                        </wps:spPr>
                        <wps:txbx>
                          <w:txbxContent>
                            <w:p w:rsidR="00E46D95" w:rsidRDefault="00E46D95">
                              <w:pPr>
                                <w:spacing w:line="240" w:lineRule="auto"/>
                                <w:textDirection w:val="btLr"/>
                              </w:pPr>
                            </w:p>
                          </w:txbxContent>
                        </wps:txbx>
                        <wps:bodyPr spcFirstLastPara="1" wrap="square" lIns="91425" tIns="91425" rIns="91425" bIns="91425" anchor="ctr" anchorCtr="0"/>
                      </wps:wsp>
                      <wps:wsp>
                        <wps:cNvPr id="87" name="Text Box 87"/>
                        <wps:cNvSpPr txBox="1"/>
                        <wps:spPr>
                          <a:xfrm>
                            <a:off x="2414550" y="1047750"/>
                            <a:ext cx="1757400" cy="971400"/>
                          </a:xfrm>
                          <a:prstGeom prst="rect">
                            <a:avLst/>
                          </a:prstGeom>
                          <a:noFill/>
                          <a:ln>
                            <a:noFill/>
                          </a:ln>
                        </wps:spPr>
                        <wps:txbx>
                          <w:txbxContent>
                            <w:p w:rsidR="00E46D95" w:rsidRDefault="006F495B">
                              <w:pPr>
                                <w:spacing w:line="240" w:lineRule="auto"/>
                                <w:textDirection w:val="btLr"/>
                              </w:pPr>
                              <w:r>
                                <w:rPr>
                                  <w:rFonts w:ascii="Times New Roman" w:eastAsia="Times New Roman" w:hAnsi="Times New Roman" w:cs="Times New Roman"/>
                                  <w:sz w:val="20"/>
                                </w:rPr>
                                <w:t>Horizontal and Vertical Privity</w:t>
                              </w:r>
                            </w:p>
                          </w:txbxContent>
                        </wps:txbx>
                        <wps:bodyPr spcFirstLastPara="1" wrap="square" lIns="91425" tIns="91425" rIns="91425" bIns="91425" anchor="t" anchorCtr="0"/>
                      </wps:wsp>
                      <wps:wsp>
                        <wps:cNvPr id="88" name="Text Box 88"/>
                        <wps:cNvSpPr txBox="1"/>
                        <wps:spPr>
                          <a:xfrm>
                            <a:off x="1704975" y="1304925"/>
                            <a:ext cx="681000" cy="3522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16"/>
                                </w:rPr>
                                <w:t>Burden Side</w:t>
                              </w:r>
                            </w:p>
                          </w:txbxContent>
                        </wps:txbx>
                        <wps:bodyPr spcFirstLastPara="1" wrap="square" lIns="91425" tIns="91425" rIns="91425" bIns="91425" anchor="t" anchorCtr="0"/>
                      </wps:wsp>
                      <wps:wsp>
                        <wps:cNvPr id="89" name="Text Box 89"/>
                        <wps:cNvSpPr txBox="1"/>
                        <wps:spPr>
                          <a:xfrm>
                            <a:off x="1566825" y="1590675"/>
                            <a:ext cx="957300" cy="3045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Original Promisor</w:t>
                              </w:r>
                            </w:p>
                          </w:txbxContent>
                        </wps:txbx>
                        <wps:bodyPr spcFirstLastPara="1" wrap="square" lIns="91425" tIns="91425" rIns="91425" bIns="91425" anchor="t" anchorCtr="0"/>
                      </wps:wsp>
                      <wps:wsp>
                        <wps:cNvPr id="90" name="Text Box 90"/>
                        <wps:cNvSpPr txBox="1"/>
                        <wps:spPr>
                          <a:xfrm>
                            <a:off x="1471575" y="2109113"/>
                            <a:ext cx="1147800" cy="6729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b/>
                                  <w:sz w:val="16"/>
                                </w:rPr>
                                <w:t xml:space="preserve">Vertical Privity </w:t>
                              </w:r>
                            </w:p>
                            <w:p w:rsidR="00E46D95" w:rsidRDefault="006F495B">
                              <w:pPr>
                                <w:spacing w:line="240" w:lineRule="auto"/>
                                <w:jc w:val="center"/>
                                <w:textDirection w:val="btLr"/>
                              </w:pPr>
                              <w:r>
                                <w:rPr>
                                  <w:rFonts w:ascii="Times New Roman" w:eastAsia="Times New Roman" w:hAnsi="Times New Roman" w:cs="Times New Roman"/>
                                  <w:i/>
                                  <w:sz w:val="16"/>
                                </w:rPr>
                                <w:t>relationship between original promisor and successor</w:t>
                              </w:r>
                            </w:p>
                          </w:txbxContent>
                        </wps:txbx>
                        <wps:bodyPr spcFirstLastPara="1" wrap="square" lIns="91425" tIns="91425" rIns="91425" bIns="91425" anchor="t" anchorCtr="0"/>
                      </wps:wsp>
                      <wps:wsp>
                        <wps:cNvPr id="91" name="Text Box 91"/>
                        <wps:cNvSpPr txBox="1"/>
                        <wps:spPr>
                          <a:xfrm>
                            <a:off x="1704975" y="2948175"/>
                            <a:ext cx="681000" cy="3045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Successor</w:t>
                              </w:r>
                            </w:p>
                          </w:txbxContent>
                        </wps:txbx>
                        <wps:bodyPr spcFirstLastPara="1" wrap="square" lIns="91425" tIns="91425" rIns="91425" bIns="91425" anchor="t" anchorCtr="0"/>
                      </wps:wsp>
                      <wps:wsp>
                        <wps:cNvPr id="92" name="Text Box 92"/>
                        <wps:cNvSpPr txBox="1"/>
                        <wps:spPr>
                          <a:xfrm>
                            <a:off x="4157700" y="1304925"/>
                            <a:ext cx="681000" cy="3522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i/>
                                  <w:sz w:val="16"/>
                                </w:rPr>
                                <w:t>Benefit Side</w:t>
                              </w:r>
                            </w:p>
                          </w:txbxContent>
                        </wps:txbx>
                        <wps:bodyPr spcFirstLastPara="1" wrap="square" lIns="91425" tIns="91425" rIns="91425" bIns="91425" anchor="t" anchorCtr="0"/>
                      </wps:wsp>
                      <wps:wsp>
                        <wps:cNvPr id="93" name="Text Box 93"/>
                        <wps:cNvSpPr txBox="1"/>
                        <wps:spPr>
                          <a:xfrm>
                            <a:off x="4019550" y="1590675"/>
                            <a:ext cx="957300" cy="3045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Original Promisee</w:t>
                              </w:r>
                            </w:p>
                          </w:txbxContent>
                        </wps:txbx>
                        <wps:bodyPr spcFirstLastPara="1" wrap="square" lIns="91425" tIns="91425" rIns="91425" bIns="91425" anchor="t" anchorCtr="0"/>
                      </wps:wsp>
                      <wps:wsp>
                        <wps:cNvPr id="94" name="Text Box 94"/>
                        <wps:cNvSpPr txBox="1"/>
                        <wps:spPr>
                          <a:xfrm>
                            <a:off x="3924300" y="2075175"/>
                            <a:ext cx="1147800" cy="6168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b/>
                                  <w:sz w:val="16"/>
                                </w:rPr>
                                <w:t xml:space="preserve">Vertical Privity </w:t>
                              </w:r>
                            </w:p>
                            <w:p w:rsidR="00E46D95" w:rsidRDefault="006F495B">
                              <w:pPr>
                                <w:spacing w:line="240" w:lineRule="auto"/>
                                <w:jc w:val="center"/>
                                <w:textDirection w:val="btLr"/>
                              </w:pPr>
                              <w:r>
                                <w:rPr>
                                  <w:rFonts w:ascii="Times New Roman" w:eastAsia="Times New Roman" w:hAnsi="Times New Roman" w:cs="Times New Roman"/>
                                  <w:i/>
                                  <w:sz w:val="16"/>
                                </w:rPr>
                                <w:t>relationship between original promisor and successor</w:t>
                              </w:r>
                            </w:p>
                          </w:txbxContent>
                        </wps:txbx>
                        <wps:bodyPr spcFirstLastPara="1" wrap="square" lIns="91425" tIns="91425" rIns="91425" bIns="91425" anchor="t" anchorCtr="0"/>
                      </wps:wsp>
                      <wps:wsp>
                        <wps:cNvPr id="95" name="Text Box 95"/>
                        <wps:cNvSpPr txBox="1"/>
                        <wps:spPr>
                          <a:xfrm>
                            <a:off x="4157700" y="2948175"/>
                            <a:ext cx="681000" cy="3045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sz w:val="16"/>
                                </w:rPr>
                                <w:t>Successor</w:t>
                              </w:r>
                            </w:p>
                          </w:txbxContent>
                        </wps:txbx>
                        <wps:bodyPr spcFirstLastPara="1" wrap="square" lIns="91425" tIns="91425" rIns="91425" bIns="91425" anchor="t" anchorCtr="0"/>
                      </wps:wsp>
                      <wps:wsp>
                        <wps:cNvPr id="96" name="Text Box 96"/>
                        <wps:cNvSpPr txBox="1"/>
                        <wps:spPr>
                          <a:xfrm>
                            <a:off x="2690800" y="1482663"/>
                            <a:ext cx="1147800" cy="672900"/>
                          </a:xfrm>
                          <a:prstGeom prst="rect">
                            <a:avLst/>
                          </a:prstGeom>
                          <a:noFill/>
                          <a:ln>
                            <a:noFill/>
                          </a:ln>
                        </wps:spPr>
                        <wps:txbx>
                          <w:txbxContent>
                            <w:p w:rsidR="00E46D95" w:rsidRDefault="006F495B">
                              <w:pPr>
                                <w:spacing w:line="240" w:lineRule="auto"/>
                                <w:jc w:val="center"/>
                                <w:textDirection w:val="btLr"/>
                              </w:pPr>
                              <w:r>
                                <w:rPr>
                                  <w:rFonts w:ascii="Times New Roman" w:eastAsia="Times New Roman" w:hAnsi="Times New Roman" w:cs="Times New Roman"/>
                                  <w:b/>
                                  <w:sz w:val="16"/>
                                </w:rPr>
                                <w:t xml:space="preserve">Horizontal Privity </w:t>
                              </w:r>
                            </w:p>
                            <w:p w:rsidR="00E46D95" w:rsidRDefault="006F495B">
                              <w:pPr>
                                <w:spacing w:line="240" w:lineRule="auto"/>
                                <w:jc w:val="center"/>
                                <w:textDirection w:val="btLr"/>
                              </w:pPr>
                              <w:r>
                                <w:rPr>
                                  <w:rFonts w:ascii="Times New Roman" w:eastAsia="Times New Roman" w:hAnsi="Times New Roman" w:cs="Times New Roman"/>
                                  <w:i/>
                                  <w:sz w:val="16"/>
                                </w:rPr>
                                <w:t>relationship between original parties</w:t>
                              </w:r>
                            </w:p>
                          </w:txbxContent>
                        </wps:txbx>
                        <wps:bodyPr spcFirstLastPara="1" wrap="square" lIns="91425" tIns="91425" rIns="91425" bIns="91425" anchor="t" anchorCtr="0"/>
                      </wps:wsp>
                      <wps:wsp>
                        <wps:cNvPr id="97" name="Straight Arrow Connector 97"/>
                        <wps:cNvCnPr/>
                        <wps:spPr>
                          <a:xfrm rot="10800000">
                            <a:off x="2045475" y="1895213"/>
                            <a:ext cx="0" cy="213900"/>
                          </a:xfrm>
                          <a:prstGeom prst="straightConnector1">
                            <a:avLst/>
                          </a:prstGeom>
                          <a:noFill/>
                          <a:ln w="9525" cap="flat" cmpd="sng">
                            <a:solidFill>
                              <a:srgbClr val="000000"/>
                            </a:solidFill>
                            <a:prstDash val="solid"/>
                            <a:round/>
                            <a:headEnd type="none" w="lg" len="lg"/>
                            <a:tailEnd type="triangle" w="lg" len="lg"/>
                          </a:ln>
                        </wps:spPr>
                        <wps:bodyPr/>
                      </wps:wsp>
                      <wps:wsp>
                        <wps:cNvPr id="98" name="Straight Arrow Connector 98"/>
                        <wps:cNvCnPr/>
                        <wps:spPr>
                          <a:xfrm>
                            <a:off x="2045475" y="2782013"/>
                            <a:ext cx="0" cy="166200"/>
                          </a:xfrm>
                          <a:prstGeom prst="straightConnector1">
                            <a:avLst/>
                          </a:prstGeom>
                          <a:noFill/>
                          <a:ln w="9525" cap="flat" cmpd="sng">
                            <a:solidFill>
                              <a:srgbClr val="000000"/>
                            </a:solidFill>
                            <a:prstDash val="solid"/>
                            <a:round/>
                            <a:headEnd type="none" w="lg" len="lg"/>
                            <a:tailEnd type="triangle" w="lg" len="lg"/>
                          </a:ln>
                        </wps:spPr>
                        <wps:bodyPr/>
                      </wps:wsp>
                      <wps:wsp>
                        <wps:cNvPr id="99" name="Straight Arrow Connector 99"/>
                        <wps:cNvCnPr/>
                        <wps:spPr>
                          <a:xfrm>
                            <a:off x="4541025" y="2782013"/>
                            <a:ext cx="0" cy="166200"/>
                          </a:xfrm>
                          <a:prstGeom prst="straightConnector1">
                            <a:avLst/>
                          </a:prstGeom>
                          <a:noFill/>
                          <a:ln w="9525" cap="flat" cmpd="sng">
                            <a:solidFill>
                              <a:srgbClr val="000000"/>
                            </a:solidFill>
                            <a:prstDash val="solid"/>
                            <a:round/>
                            <a:headEnd type="none" w="lg" len="lg"/>
                            <a:tailEnd type="triangle" w="lg" len="lg"/>
                          </a:ln>
                        </wps:spPr>
                        <wps:bodyPr/>
                      </wps:wsp>
                      <wps:wsp>
                        <wps:cNvPr id="100" name="Straight Arrow Connector 100"/>
                        <wps:cNvCnPr/>
                        <wps:spPr>
                          <a:xfrm rot="10800000">
                            <a:off x="4498200" y="1895213"/>
                            <a:ext cx="0" cy="213900"/>
                          </a:xfrm>
                          <a:prstGeom prst="straightConnector1">
                            <a:avLst/>
                          </a:prstGeom>
                          <a:noFill/>
                          <a:ln w="9525" cap="flat" cmpd="sng">
                            <a:solidFill>
                              <a:srgbClr val="000000"/>
                            </a:solidFill>
                            <a:prstDash val="solid"/>
                            <a:round/>
                            <a:headEnd type="none" w="lg" len="lg"/>
                            <a:tailEnd type="triangle" w="lg" len="lg"/>
                          </a:ln>
                        </wps:spPr>
                        <wps:bodyPr/>
                      </wps:wsp>
                      <wps:wsp>
                        <wps:cNvPr id="101" name="Straight Arrow Connector 101"/>
                        <wps:cNvCnPr/>
                        <wps:spPr>
                          <a:xfrm rot="10800000" flipH="1">
                            <a:off x="3733650" y="1737975"/>
                            <a:ext cx="362100" cy="9900"/>
                          </a:xfrm>
                          <a:prstGeom prst="straightConnector1">
                            <a:avLst/>
                          </a:prstGeom>
                          <a:noFill/>
                          <a:ln w="9525" cap="flat" cmpd="sng">
                            <a:solidFill>
                              <a:srgbClr val="000000"/>
                            </a:solidFill>
                            <a:prstDash val="solid"/>
                            <a:round/>
                            <a:headEnd type="none" w="lg" len="lg"/>
                            <a:tailEnd type="triangle" w="lg" len="lg"/>
                          </a:ln>
                        </wps:spPr>
                        <wps:bodyPr/>
                      </wps:wsp>
                      <wps:wsp>
                        <wps:cNvPr id="102" name="Straight Arrow Connector 102"/>
                        <wps:cNvCnPr/>
                        <wps:spPr>
                          <a:xfrm flipH="1">
                            <a:off x="2414550" y="1745175"/>
                            <a:ext cx="390600" cy="300"/>
                          </a:xfrm>
                          <a:prstGeom prst="straightConnector1">
                            <a:avLst/>
                          </a:prstGeom>
                          <a:noFill/>
                          <a:ln w="9525" cap="flat" cmpd="sng">
                            <a:solidFill>
                              <a:srgbClr val="000000"/>
                            </a:solidFill>
                            <a:prstDash val="solid"/>
                            <a:round/>
                            <a:headEnd type="none" w="lg" len="lg"/>
                            <a:tailEnd type="triangle" w="lg" len="lg"/>
                          </a:ln>
                        </wps:spPr>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1317625</wp:posOffset>
                </wp:positionH>
                <wp:positionV relativeFrom="paragraph">
                  <wp:posOffset>66675</wp:posOffset>
                </wp:positionV>
                <wp:extent cx="3512608" cy="2151955"/>
                <wp:effectExtent b="0" l="0" r="0" t="0"/>
                <wp:wrapTopAndBottom distB="114300" distT="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512608" cy="2151955"/>
                        </a:xfrm>
                        <a:prstGeom prst="rect"/>
                        <a:ln/>
                      </pic:spPr>
                    </pic:pic>
                  </a:graphicData>
                </a:graphic>
              </wp:anchor>
            </w:drawing>
          </mc:Fallback>
        </mc:AlternateConten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Compliance with the Statute of Frauds</w:t>
      </w:r>
      <w:r>
        <w:rPr>
          <w:rFonts w:ascii="Times New Roman" w:eastAsia="Times New Roman" w:hAnsi="Times New Roman" w:cs="Times New Roman"/>
          <w:sz w:val="20"/>
          <w:szCs w:val="20"/>
        </w:rPr>
        <w:t xml:space="preserve"> ^</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Intent to Bind Successors </w:t>
      </w:r>
      <w:r>
        <w:rPr>
          <w:rFonts w:ascii="Times New Roman" w:eastAsia="Times New Roman" w:hAnsi="Times New Roman" w:cs="Times New Roman"/>
          <w:sz w:val="20"/>
          <w:szCs w:val="20"/>
        </w:rPr>
        <w:t>^</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“Touch and Concern” </w:t>
      </w:r>
      <w:r>
        <w:rPr>
          <w:rFonts w:ascii="Times New Roman" w:eastAsia="Times New Roman" w:hAnsi="Times New Roman" w:cs="Times New Roman"/>
          <w:sz w:val="20"/>
          <w:szCs w:val="20"/>
        </w:rPr>
        <w:t>^</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Vertical Privity</w:t>
      </w:r>
      <w:r>
        <w:rPr>
          <w:rFonts w:ascii="Times New Roman" w:eastAsia="Times New Roman" w:hAnsi="Times New Roman" w:cs="Times New Roman"/>
          <w:sz w:val="20"/>
          <w:szCs w:val="20"/>
        </w:rPr>
        <w:t xml:space="preserve"> ^</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Money damages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Deep Water Brewing, LLC v. Fairway Resources, Ltd.</w:t>
      </w:r>
      <w:r>
        <w:rPr>
          <w:rFonts w:ascii="Times New Roman" w:eastAsia="Times New Roman" w:hAnsi="Times New Roman" w:cs="Times New Roman"/>
          <w:color w:val="FF0000"/>
          <w:sz w:val="20"/>
          <w:szCs w:val="20"/>
          <w:shd w:val="clear" w:color="auto" w:fill="FFF2CC"/>
        </w:rPr>
        <w:t xml:space="preserve"> (Court of Appeals of Washington, 2009)</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Development Co. amendment raising height restriction by 10 feet(?)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successors to those owners can enforce the restriction as a real covenant, i.e. did the benefit of the covenant run to the succe</w:t>
      </w:r>
      <w:r>
        <w:rPr>
          <w:rFonts w:ascii="Times New Roman" w:eastAsia="Times New Roman" w:hAnsi="Times New Roman" w:cs="Times New Roman"/>
          <w:color w:val="FF0000"/>
          <w:sz w:val="20"/>
          <w:szCs w:val="20"/>
        </w:rPr>
        <w:t>ssors of the original promises?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Awarded restaurant owner damages in amount of $245K and attorney fees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No running covenant, original agreement not binding/enforceable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Running covenant (want enforced, original agreement binding because intent), se</w:t>
      </w:r>
      <w:r>
        <w:rPr>
          <w:rFonts w:ascii="Times New Roman" w:eastAsia="Times New Roman" w:hAnsi="Times New Roman" w:cs="Times New Roman"/>
          <w:color w:val="FF0000"/>
          <w:sz w:val="20"/>
          <w:szCs w:val="20"/>
        </w:rPr>
        <w:t>eking injunction (easier to prove, don’t have to prove privity) and money damages</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“Running” – binding to remote successors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Restaurant owner was entitled to enforce the height restriction covenant as one that runs with the land (J: Affirmed) – is a runn</w:t>
      </w:r>
      <w:r>
        <w:rPr>
          <w:rFonts w:ascii="Times New Roman" w:eastAsia="Times New Roman" w:hAnsi="Times New Roman" w:cs="Times New Roman"/>
          <w:color w:val="FF0000"/>
          <w:sz w:val="20"/>
          <w:szCs w:val="20"/>
        </w:rPr>
        <w:t>ing covenant, is intent to bind successors, enforceable/binding</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Touch and concern implicates intent to bind successors (if can’t show intent but can show others, can imply/presume intent) (pg. 723)</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Couldn’t record (legal descriptions messed up)</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Both intent and notice blurry/unclear</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Vertical and Horizontal Privity (H4/H5) – no horizontal privity between neighboring landowners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right of way (easement) in addition to negative right/covenant to favor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(court unclear about)</w:t>
      </w:r>
    </w:p>
    <w:p w:rsidR="00E46D95" w:rsidRDefault="006F495B">
      <w:pPr>
        <w:numPr>
          <w:ilvl w:val="6"/>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Neighboring lot owne</w:t>
      </w:r>
      <w:r>
        <w:rPr>
          <w:rFonts w:ascii="Times New Roman" w:eastAsia="Times New Roman" w:hAnsi="Times New Roman" w:cs="Times New Roman"/>
          <w:color w:val="FF0000"/>
          <w:sz w:val="20"/>
          <w:szCs w:val="20"/>
        </w:rPr>
        <w:t>rs have difficulty enforcing these agreements (no horizontal privity) unless other property interests (as here)</w:t>
      </w:r>
    </w:p>
    <w:p w:rsidR="00E46D95" w:rsidRDefault="006F495B">
      <w:pPr>
        <w:ind w:left="3600"/>
        <w:rPr>
          <w:rFonts w:ascii="Times New Roman" w:eastAsia="Times New Roman" w:hAnsi="Times New Roman" w:cs="Times New Roman"/>
          <w:sz w:val="20"/>
          <w:szCs w:val="20"/>
        </w:rPr>
      </w:pPr>
      <w:r>
        <w:rPr>
          <w:rFonts w:ascii="Cardo" w:eastAsia="Cardo" w:hAnsi="Cardo" w:cs="Cardo"/>
          <w:color w:val="FF0000"/>
          <w:sz w:val="20"/>
          <w:szCs w:val="20"/>
        </w:rPr>
        <w:t xml:space="preserve">→ </w:t>
      </w:r>
      <w:r>
        <w:rPr>
          <w:rFonts w:ascii="Times New Roman" w:eastAsia="Times New Roman" w:hAnsi="Times New Roman" w:cs="Times New Roman"/>
          <w:color w:val="FF0000"/>
          <w:sz w:val="20"/>
          <w:szCs w:val="20"/>
          <w:u w:val="single"/>
        </w:rPr>
        <w:t>Horizontal privity could have been a problem but wasn’t because right of way (other property interest) (focus on for this case (Blumm))</w:t>
      </w:r>
      <w:r>
        <w:rPr>
          <w:rFonts w:ascii="Times New Roman" w:eastAsia="Times New Roman" w:hAnsi="Times New Roman" w:cs="Times New Roman"/>
          <w:color w:val="FF0000"/>
          <w:sz w:val="20"/>
          <w:szCs w:val="20"/>
        </w:rPr>
        <w:t>; Verti</w:t>
      </w:r>
      <w:r>
        <w:rPr>
          <w:rFonts w:ascii="Times New Roman" w:eastAsia="Times New Roman" w:hAnsi="Times New Roman" w:cs="Times New Roman"/>
          <w:color w:val="FF0000"/>
          <w:sz w:val="20"/>
          <w:szCs w:val="20"/>
        </w:rPr>
        <w:t>cal could have been a problem but court assumes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Equitable Servitudes</w:t>
      </w:r>
      <w:r>
        <w:rPr>
          <w:rFonts w:ascii="Times New Roman" w:eastAsia="Times New Roman" w:hAnsi="Times New Roman" w:cs="Times New Roman"/>
          <w:sz w:val="20"/>
          <w:szCs w:val="20"/>
        </w:rPr>
        <w:t xml:space="preserve"> – a similar device evolved in equity courts with less stringent requirements (than real covenants); also a promise concerning the use of land that benefits and burdens the original parties to the promise and their successors; required elements: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Burden (no</w:t>
      </w:r>
      <w:r>
        <w:rPr>
          <w:rFonts w:ascii="Times New Roman" w:eastAsia="Times New Roman" w:hAnsi="Times New Roman" w:cs="Times New Roman"/>
          <w:sz w:val="20"/>
          <w:szCs w:val="20"/>
        </w:rPr>
        <w:t xml:space="preserve"> horizontal or vertical privity required)</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Compliance with the Statute of Frauds (or a common plan)</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Intent to Bind Successors</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“Touch and Concern”</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Notice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Benefit (no notice, horizontal, or vertical privity required)</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Compliance with the Statute of Frauds (or </w:t>
      </w:r>
      <w:r>
        <w:rPr>
          <w:rFonts w:ascii="Times New Roman" w:eastAsia="Times New Roman" w:hAnsi="Times New Roman" w:cs="Times New Roman"/>
          <w:i/>
          <w:sz w:val="20"/>
          <w:szCs w:val="20"/>
        </w:rPr>
        <w:t>a common plan)</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Intent to Bind Successors</w:t>
      </w:r>
    </w:p>
    <w:p w:rsidR="00E46D95" w:rsidRDefault="006F495B">
      <w:pPr>
        <w:numPr>
          <w:ilvl w:val="4"/>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“Touch and Concern”</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Tulk v. Moxhay</w:t>
      </w:r>
      <w:r>
        <w:rPr>
          <w:rFonts w:ascii="Times New Roman" w:eastAsia="Times New Roman" w:hAnsi="Times New Roman" w:cs="Times New Roman"/>
          <w:color w:val="FF0000"/>
          <w:sz w:val="20"/>
          <w:szCs w:val="20"/>
          <w:shd w:val="clear" w:color="auto" w:fill="FFF2CC"/>
        </w:rPr>
        <w:t xml:space="preserve"> (Court of Chancery, 1848)</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Anecdote for injunctive relief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Case aimed at simplifying the law and did to a certain extent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Leicester Square conveyed to Elms then to Δ Moxhay – (</w:t>
      </w:r>
      <w:r>
        <w:rPr>
          <w:rFonts w:ascii="Times New Roman" w:eastAsia="Times New Roman" w:hAnsi="Times New Roman" w:cs="Times New Roman"/>
          <w:color w:val="FF0000"/>
          <w:sz w:val="20"/>
          <w:szCs w:val="20"/>
        </w:rPr>
        <w:t>agreement language, pg. 726) must keep and maintain ground/square garden, make repairs (affirmative rights), can’t build (negative), distribute keys to access the square (looks like an easement)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 recorded but Δ concedes that was aware/had notice of, man</w:t>
      </w:r>
      <w:r>
        <w:rPr>
          <w:rFonts w:ascii="Times New Roman" w:eastAsia="Times New Roman" w:hAnsi="Times New Roman" w:cs="Times New Roman"/>
          <w:color w:val="FF0000"/>
          <w:sz w:val="20"/>
          <w:szCs w:val="20"/>
        </w:rPr>
        <w:t>ifested intent to build anyway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still in town so knows of Δ;s intent to build)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Economically conferred benefit on all neighboring lots(?)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sues Δ, says runs (affirmative, negative, and easement) (seeking enforcement/injunction not money damages – </w:t>
      </w:r>
      <w:r>
        <w:rPr>
          <w:rFonts w:ascii="Times New Roman" w:eastAsia="Times New Roman" w:hAnsi="Times New Roman" w:cs="Times New Roman"/>
          <w:color w:val="FF0000"/>
          <w:sz w:val="20"/>
          <w:szCs w:val="20"/>
        </w:rPr>
        <w:t xml:space="preserve">why equitable servitude), lower court granted injunction for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because (R)...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Chancery Courts grant equitable relief (in America have mostly combined law/equity courts but not entirely)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Going to allow enforcement of “equitable servitude” to not requi</w:t>
      </w:r>
      <w:r>
        <w:rPr>
          <w:rFonts w:ascii="Times New Roman" w:eastAsia="Times New Roman" w:hAnsi="Times New Roman" w:cs="Times New Roman"/>
          <w:color w:val="FF0000"/>
          <w:sz w:val="20"/>
          <w:szCs w:val="20"/>
        </w:rPr>
        <w:t>re privity as long as only suing for injunctive relief (if for damages, covenants and must show privity)</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Don’t need to show privity because unfair therefore enforceable – creating(?) “equitable servitude”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Heavily discounted price (was not giving development rights); Not fair to allow them to pay less, ignore the negative rights, and make a profit off of; Notice not concerning; would clearly touch and concern – increase value to Δ and other surrounding pr</w:t>
      </w:r>
      <w:r>
        <w:rPr>
          <w:rFonts w:ascii="Times New Roman" w:eastAsia="Times New Roman" w:hAnsi="Times New Roman" w:cs="Times New Roman"/>
          <w:color w:val="FF0000"/>
          <w:sz w:val="20"/>
          <w:szCs w:val="20"/>
        </w:rPr>
        <w:t xml:space="preserve">operties </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Real Covenant v. Equitable Servitude – the difference lies in the available remedy, the remedy for breach of a real covenant is </w:t>
      </w:r>
      <w:r>
        <w:rPr>
          <w:rFonts w:ascii="Times New Roman" w:eastAsia="Times New Roman" w:hAnsi="Times New Roman" w:cs="Times New Roman"/>
          <w:i/>
          <w:sz w:val="20"/>
          <w:szCs w:val="20"/>
        </w:rPr>
        <w:t>money damages</w:t>
      </w:r>
      <w:r>
        <w:rPr>
          <w:rFonts w:ascii="Times New Roman" w:eastAsia="Times New Roman" w:hAnsi="Times New Roman" w:cs="Times New Roman"/>
          <w:sz w:val="20"/>
          <w:szCs w:val="20"/>
        </w:rPr>
        <w:t xml:space="preserve">, while the remedy for breach of an equitable servitude is enforced by an </w:t>
      </w:r>
      <w:r>
        <w:rPr>
          <w:rFonts w:ascii="Times New Roman" w:eastAsia="Times New Roman" w:hAnsi="Times New Roman" w:cs="Times New Roman"/>
          <w:i/>
          <w:sz w:val="20"/>
          <w:szCs w:val="20"/>
        </w:rPr>
        <w:t>injunction</w:t>
      </w:r>
      <w:r>
        <w:rPr>
          <w:rFonts w:ascii="Times New Roman" w:eastAsia="Times New Roman" w:hAnsi="Times New Roman" w:cs="Times New Roman"/>
          <w:sz w:val="20"/>
          <w:szCs w:val="20"/>
        </w:rPr>
        <w:t>; also standard equit</w:t>
      </w:r>
      <w:r>
        <w:rPr>
          <w:rFonts w:ascii="Times New Roman" w:eastAsia="Times New Roman" w:hAnsi="Times New Roman" w:cs="Times New Roman"/>
          <w:sz w:val="20"/>
          <w:szCs w:val="20"/>
        </w:rPr>
        <w:t>able defenses are available against an equitable servitude claim (and not a real covenant claim)</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Most important question </w:t>
      </w:r>
      <w:r>
        <w:rPr>
          <w:rFonts w:ascii="Times New Roman" w:eastAsia="Times New Roman" w:hAnsi="Times New Roman" w:cs="Times New Roman"/>
          <w:i/>
          <w:sz w:val="20"/>
          <w:szCs w:val="20"/>
        </w:rPr>
        <w:t>enforcement</w:t>
      </w:r>
      <w:r>
        <w:rPr>
          <w:rFonts w:ascii="Times New Roman" w:eastAsia="Times New Roman" w:hAnsi="Times New Roman" w:cs="Times New Roman"/>
          <w:sz w:val="20"/>
          <w:szCs w:val="20"/>
        </w:rPr>
        <w:t xml:space="preserve"> not </w:t>
      </w:r>
      <w:r>
        <w:rPr>
          <w:rFonts w:ascii="Times New Roman" w:eastAsia="Times New Roman" w:hAnsi="Times New Roman" w:cs="Times New Roman"/>
          <w:i/>
          <w:sz w:val="20"/>
          <w:szCs w:val="20"/>
        </w:rPr>
        <w:t>creation</w:t>
      </w:r>
      <w:r>
        <w:rPr>
          <w:rFonts w:ascii="Times New Roman" w:eastAsia="Times New Roman" w:hAnsi="Times New Roman" w:cs="Times New Roman"/>
          <w:sz w:val="20"/>
          <w:szCs w:val="20"/>
        </w:rPr>
        <w:t xml:space="preserve"> of each</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Restatement Approach – combines the real covenant and equitable servitude into one doctrine: </w:t>
      </w:r>
      <w:r>
        <w:rPr>
          <w:rFonts w:ascii="Times New Roman" w:eastAsia="Times New Roman" w:hAnsi="Times New Roman" w:cs="Times New Roman"/>
          <w:i/>
          <w:sz w:val="20"/>
          <w:szCs w:val="20"/>
        </w:rPr>
        <w:t xml:space="preserve">Covenant </w:t>
      </w:r>
      <w:r>
        <w:rPr>
          <w:rFonts w:ascii="Times New Roman" w:eastAsia="Times New Roman" w:hAnsi="Times New Roman" w:cs="Times New Roman"/>
          <w:i/>
          <w:sz w:val="20"/>
          <w:szCs w:val="20"/>
        </w:rPr>
        <w:t>that runs at law</w:t>
      </w:r>
      <w:r>
        <w:rPr>
          <w:rFonts w:ascii="Times New Roman" w:eastAsia="Times New Roman" w:hAnsi="Times New Roman" w:cs="Times New Roman"/>
          <w:sz w:val="20"/>
          <w:szCs w:val="20"/>
        </w:rPr>
        <w:t xml:space="preserve">; under this approach a covenant that runs at law is a type of </w:t>
      </w:r>
      <w:r>
        <w:rPr>
          <w:rFonts w:ascii="Times New Roman" w:eastAsia="Times New Roman" w:hAnsi="Times New Roman" w:cs="Times New Roman"/>
          <w:i/>
          <w:sz w:val="20"/>
          <w:szCs w:val="20"/>
        </w:rPr>
        <w:t>servitude</w:t>
      </w:r>
      <w:r>
        <w:rPr>
          <w:rFonts w:ascii="Times New Roman" w:eastAsia="Times New Roman" w:hAnsi="Times New Roman" w:cs="Times New Roman"/>
          <w:sz w:val="20"/>
          <w:szCs w:val="20"/>
        </w:rPr>
        <w:t>, arises when:</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The owner of the property to be burdened intends to create a servitude</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He enters into a contract or conveyance to this effect that satisfies the </w:t>
      </w:r>
      <w:r>
        <w:rPr>
          <w:rFonts w:ascii="Times New Roman" w:eastAsia="Times New Roman" w:hAnsi="Times New Roman" w:cs="Times New Roman"/>
          <w:sz w:val="20"/>
          <w:szCs w:val="20"/>
        </w:rPr>
        <w:t xml:space="preserve">SOF </w:t>
      </w:r>
      <w:r>
        <w:rPr>
          <w:rFonts w:ascii="Times New Roman" w:eastAsia="Times New Roman" w:hAnsi="Times New Roman" w:cs="Times New Roman"/>
          <w:i/>
          <w:sz w:val="20"/>
          <w:szCs w:val="20"/>
        </w:rPr>
        <w:t>and</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The servitude is not arbitrary, unconstitutional, unconscionable, nor violative of certain public policies (e.g. it cannot unreasonably restrain alienation)</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Abandons the requirements of touch and concern and horizontal privity; provides that ve</w:t>
      </w:r>
      <w:r>
        <w:rPr>
          <w:rFonts w:ascii="Times New Roman" w:eastAsia="Times New Roman" w:hAnsi="Times New Roman" w:cs="Times New Roman"/>
          <w:sz w:val="20"/>
          <w:szCs w:val="20"/>
        </w:rPr>
        <w:t xml:space="preserve">rtical privity is never required for a negative covenant and </w:t>
      </w:r>
      <w:r>
        <w:rPr>
          <w:rFonts w:ascii="Times New Roman" w:eastAsia="Times New Roman" w:hAnsi="Times New Roman" w:cs="Times New Roman"/>
          <w:i/>
          <w:sz w:val="20"/>
          <w:szCs w:val="20"/>
        </w:rPr>
        <w:t>is</w:t>
      </w:r>
      <w:r>
        <w:rPr>
          <w:rFonts w:ascii="Times New Roman" w:eastAsia="Times New Roman" w:hAnsi="Times New Roman" w:cs="Times New Roman"/>
          <w:sz w:val="20"/>
          <w:szCs w:val="20"/>
        </w:rPr>
        <w:t xml:space="preserve"> required for an affirmative covenant only in certain situations; notice to successors is not required to create a valid sercite but lack of notice is a defense to enforcement </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Common Interest </w:t>
      </w:r>
      <w:r>
        <w:rPr>
          <w:rFonts w:ascii="Times New Roman" w:eastAsia="Times New Roman" w:hAnsi="Times New Roman" w:cs="Times New Roman"/>
          <w:sz w:val="20"/>
          <w:szCs w:val="20"/>
        </w:rPr>
        <w:t>Communities – a planned residential development (1) where all properties are subject to comprehensive private land use restrictions (</w:t>
      </w:r>
      <w:r>
        <w:rPr>
          <w:rFonts w:ascii="Times New Roman" w:eastAsia="Times New Roman" w:hAnsi="Times New Roman" w:cs="Times New Roman"/>
          <w:i/>
          <w:sz w:val="20"/>
          <w:szCs w:val="20"/>
        </w:rPr>
        <w:t>CC&amp;Rs</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and </w:t>
      </w:r>
      <w:r>
        <w:rPr>
          <w:rFonts w:ascii="Times New Roman" w:eastAsia="Times New Roman" w:hAnsi="Times New Roman" w:cs="Times New Roman"/>
          <w:sz w:val="20"/>
          <w:szCs w:val="20"/>
        </w:rPr>
        <w:t xml:space="preserve">(2) which is regulated by a homeowners association; typically created by a written instrument called a </w:t>
      </w:r>
      <w:r>
        <w:rPr>
          <w:rFonts w:ascii="Times New Roman" w:eastAsia="Times New Roman" w:hAnsi="Times New Roman" w:cs="Times New Roman"/>
          <w:i/>
          <w:sz w:val="20"/>
          <w:szCs w:val="20"/>
        </w:rPr>
        <w:t>declarati</w:t>
      </w:r>
      <w:r>
        <w:rPr>
          <w:rFonts w:ascii="Times New Roman" w:eastAsia="Times New Roman" w:hAnsi="Times New Roman" w:cs="Times New Roman"/>
          <w:i/>
          <w:sz w:val="20"/>
          <w:szCs w:val="20"/>
        </w:rPr>
        <w:t>on</w:t>
      </w:r>
      <w:r>
        <w:rPr>
          <w:rFonts w:ascii="Times New Roman" w:eastAsia="Times New Roman" w:hAnsi="Times New Roman" w:cs="Times New Roman"/>
          <w:sz w:val="20"/>
          <w:szCs w:val="20"/>
        </w:rPr>
        <w:t>, usually having four basic parts:</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Homeowners Association</w:t>
      </w:r>
      <w:r>
        <w:rPr>
          <w:rFonts w:ascii="Times New Roman" w:eastAsia="Times New Roman" w:hAnsi="Times New Roman" w:cs="Times New Roman"/>
          <w:sz w:val="20"/>
          <w:szCs w:val="20"/>
        </w:rPr>
        <w:t xml:space="preserve"> – establishes the association that will administer the CIC, specifies the association’s powers, and provides for an elected board of directors or similar group</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CC&amp;Rs</w:t>
      </w:r>
      <w:r>
        <w:rPr>
          <w:rFonts w:ascii="Times New Roman" w:eastAsia="Times New Roman" w:hAnsi="Times New Roman" w:cs="Times New Roman"/>
          <w:sz w:val="20"/>
          <w:szCs w:val="20"/>
        </w:rPr>
        <w:t xml:space="preserve"> – imposes CC&amp;Rs or similar res</w:t>
      </w:r>
      <w:r>
        <w:rPr>
          <w:rFonts w:ascii="Times New Roman" w:eastAsia="Times New Roman" w:hAnsi="Times New Roman" w:cs="Times New Roman"/>
          <w:sz w:val="20"/>
          <w:szCs w:val="20"/>
        </w:rPr>
        <w:t xml:space="preserve">trictions on all land within the CIC. These restrictions may be enforced as real covenants or equitable servitudes </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Assessments</w:t>
      </w:r>
      <w:r>
        <w:rPr>
          <w:rFonts w:ascii="Times New Roman" w:eastAsia="Times New Roman" w:hAnsi="Times New Roman" w:cs="Times New Roman"/>
          <w:sz w:val="20"/>
          <w:szCs w:val="20"/>
        </w:rPr>
        <w:t xml:space="preserve"> – requires all unit owners to pay monetary assessments which finance the operation of the association</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Ownership Rights</w:t>
      </w:r>
      <w:r>
        <w:rPr>
          <w:rFonts w:ascii="Times New Roman" w:eastAsia="Times New Roman" w:hAnsi="Times New Roman" w:cs="Times New Roman"/>
          <w:sz w:val="20"/>
          <w:szCs w:val="20"/>
        </w:rPr>
        <w:t xml:space="preserve"> – general</w:t>
      </w:r>
      <w:r>
        <w:rPr>
          <w:rFonts w:ascii="Times New Roman" w:eastAsia="Times New Roman" w:hAnsi="Times New Roman" w:cs="Times New Roman"/>
          <w:sz w:val="20"/>
          <w:szCs w:val="20"/>
        </w:rPr>
        <w:t xml:space="preserve">ly provides that each unit owner holds fee simple absolute in his particular unit, an undivided interest in </w:t>
      </w:r>
      <w:r>
        <w:rPr>
          <w:rFonts w:ascii="Times New Roman" w:eastAsia="Times New Roman" w:hAnsi="Times New Roman" w:cs="Times New Roman"/>
          <w:i/>
          <w:sz w:val="20"/>
          <w:szCs w:val="20"/>
        </w:rPr>
        <w:t>common area</w:t>
      </w:r>
      <w:r>
        <w:rPr>
          <w:rFonts w:ascii="Times New Roman" w:eastAsia="Times New Roman" w:hAnsi="Times New Roman" w:cs="Times New Roman"/>
          <w:sz w:val="20"/>
          <w:szCs w:val="20"/>
        </w:rPr>
        <w:t xml:space="preserve"> of the CIC (e.g. a swimming pool, tennis courts, and meeting rooms), and a membership interest in the association; alternatively, title </w:t>
      </w:r>
      <w:r>
        <w:rPr>
          <w:rFonts w:ascii="Times New Roman" w:eastAsia="Times New Roman" w:hAnsi="Times New Roman" w:cs="Times New Roman"/>
          <w:sz w:val="20"/>
          <w:szCs w:val="20"/>
        </w:rPr>
        <w:t>to the common area may be held by the association on behalf of the unit owners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Enforcing Restrictions – may be enforced as real covenants or equitable servitudes; three defenses to enforcement: (1) unreasonableness, (2) abandonment, (3) changed conditions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Like an easement, a restriction may also be terminated by (1) condemnation, (2) estoppel, (3) merger, (4) prescription, or (5) release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Where equitable relief sought, defenses of </w:t>
      </w:r>
      <w:r>
        <w:rPr>
          <w:rFonts w:ascii="Times New Roman" w:eastAsia="Times New Roman" w:hAnsi="Times New Roman" w:cs="Times New Roman"/>
          <w:i/>
          <w:sz w:val="20"/>
          <w:szCs w:val="20"/>
        </w:rPr>
        <w:t>laches</w:t>
      </w:r>
      <w:r>
        <w:rPr>
          <w:rFonts w:ascii="Times New Roman" w:eastAsia="Times New Roman" w:hAnsi="Times New Roman" w:cs="Times New Roman"/>
          <w:sz w:val="20"/>
          <w:szCs w:val="20"/>
        </w:rPr>
        <w:t xml:space="preserve"> and </w:t>
      </w:r>
      <w:r>
        <w:rPr>
          <w:rFonts w:ascii="Times New Roman" w:eastAsia="Times New Roman" w:hAnsi="Times New Roman" w:cs="Times New Roman"/>
          <w:i/>
          <w:sz w:val="20"/>
          <w:szCs w:val="20"/>
        </w:rPr>
        <w:t>unclean hands</w:t>
      </w:r>
      <w:r>
        <w:rPr>
          <w:rFonts w:ascii="Times New Roman" w:eastAsia="Times New Roman" w:hAnsi="Times New Roman" w:cs="Times New Roman"/>
          <w:sz w:val="20"/>
          <w:szCs w:val="20"/>
        </w:rPr>
        <w:t xml:space="preserve"> are available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Nahrstedt v. Lakeside Village Condominium Association, Inc. </w:t>
      </w:r>
      <w:r>
        <w:rPr>
          <w:rFonts w:ascii="Times New Roman" w:eastAsia="Times New Roman" w:hAnsi="Times New Roman" w:cs="Times New Roman"/>
          <w:color w:val="FF0000"/>
          <w:sz w:val="20"/>
          <w:szCs w:val="20"/>
          <w:shd w:val="clear" w:color="auto" w:fill="FFF2CC"/>
        </w:rPr>
        <w:t>(Supreme Court of California, 1994)</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Says didn’t know of, notice? Provision contained within the CC&amp;R so constructive notice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Often tension between individual rights and the community in these c</w:t>
      </w:r>
      <w:r>
        <w:rPr>
          <w:rFonts w:ascii="Times New Roman" w:eastAsia="Times New Roman" w:hAnsi="Times New Roman" w:cs="Times New Roman"/>
          <w:color w:val="FF0000"/>
          <w:sz w:val="20"/>
          <w:szCs w:val="20"/>
        </w:rPr>
        <w:t xml:space="preserve">ases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Violation of right of privacy, damages for IIED, </w:t>
      </w:r>
      <w:r>
        <w:rPr>
          <w:rFonts w:ascii="Times New Roman" w:eastAsia="Times New Roman" w:hAnsi="Times New Roman" w:cs="Times New Roman"/>
          <w:color w:val="FF0000"/>
          <w:sz w:val="20"/>
          <w:szCs w:val="20"/>
          <w:u w:val="single"/>
        </w:rPr>
        <w:t>declaration of unreasonable restriction as to her cats</w:t>
      </w:r>
      <w:r>
        <w:rPr>
          <w:rFonts w:ascii="Times New Roman" w:eastAsia="Times New Roman" w:hAnsi="Times New Roman" w:cs="Times New Roman"/>
          <w:color w:val="FF0000"/>
          <w:sz w:val="20"/>
          <w:szCs w:val="20"/>
        </w:rPr>
        <w:t xml:space="preserve"> (part of CA Civil Code, scope of review – restrictions enforceable unless unreasonable)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Really a Q of what is unreasonable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Not an unre</w:t>
      </w:r>
      <w:r>
        <w:rPr>
          <w:rFonts w:ascii="Times New Roman" w:eastAsia="Times New Roman" w:hAnsi="Times New Roman" w:cs="Times New Roman"/>
          <w:color w:val="FF0000"/>
          <w:sz w:val="20"/>
          <w:szCs w:val="20"/>
        </w:rPr>
        <w:t>asonable restriction</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Two categories of use restrictions: (1) use restrictions set forth in the declaration of master deed of the condominium project itself and (2) rules promulgated by the governing board of the condominium owners association or the </w:t>
      </w:r>
      <w:r>
        <w:rPr>
          <w:rFonts w:ascii="Times New Roman" w:eastAsia="Times New Roman" w:hAnsi="Times New Roman" w:cs="Times New Roman"/>
          <w:color w:val="FF0000"/>
          <w:sz w:val="20"/>
          <w:szCs w:val="20"/>
        </w:rPr>
        <w:t>board’s interpretation of a rule</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Category #1 should not be evaluated under a “reasonableness” standard</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Category #2 should be subject to a “reasonableness” test so as to “somewhat fetter the discretion of the board of directors”</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Then, is there any rational basis for a no cats restriction (objective, not subjective/circumstantial – imagine flood of litigation if circumstantial to her cats)</w:t>
      </w:r>
    </w:p>
    <w:p w:rsidR="00E46D95" w:rsidRDefault="006F495B">
      <w:pPr>
        <w:ind w:left="288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 Also presumption in favor of CC&amp;R/HOA;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/complainant </w:t>
      </w:r>
      <w:r>
        <w:rPr>
          <w:rFonts w:ascii="Times New Roman" w:eastAsia="Times New Roman" w:hAnsi="Times New Roman" w:cs="Times New Roman"/>
          <w:color w:val="FF0000"/>
          <w:sz w:val="20"/>
          <w:szCs w:val="20"/>
          <w:u w:val="single"/>
        </w:rPr>
        <w:t>must show that the harm caused by the</w:t>
      </w:r>
      <w:r>
        <w:rPr>
          <w:rFonts w:ascii="Times New Roman" w:eastAsia="Times New Roman" w:hAnsi="Times New Roman" w:cs="Times New Roman"/>
          <w:color w:val="FF0000"/>
          <w:sz w:val="20"/>
          <w:szCs w:val="20"/>
          <w:u w:val="single"/>
        </w:rPr>
        <w:t xml:space="preserve"> restriction is so disproportionate to the benefit product by its enforcement that the restriction ought not be enforced (</w:t>
      </w:r>
      <w:r>
        <w:rPr>
          <w:rFonts w:ascii="Times New Roman" w:eastAsia="Times New Roman" w:hAnsi="Times New Roman" w:cs="Times New Roman"/>
          <w:i/>
          <w:color w:val="FF0000"/>
          <w:sz w:val="20"/>
          <w:szCs w:val="20"/>
          <w:u w:val="single"/>
        </w:rPr>
        <w:t xml:space="preserve">Nahrstedt </w:t>
      </w:r>
      <w:r>
        <w:rPr>
          <w:rFonts w:ascii="Times New Roman" w:eastAsia="Times New Roman" w:hAnsi="Times New Roman" w:cs="Times New Roman"/>
          <w:color w:val="FF0000"/>
          <w:sz w:val="20"/>
          <w:szCs w:val="20"/>
          <w:u w:val="single"/>
        </w:rPr>
        <w:t>test)</w:t>
      </w:r>
      <w:r>
        <w:rPr>
          <w:rFonts w:ascii="Times New Roman" w:eastAsia="Times New Roman" w:hAnsi="Times New Roman" w:cs="Times New Roman"/>
          <w:color w:val="FF0000"/>
          <w:sz w:val="20"/>
          <w:szCs w:val="20"/>
        </w:rPr>
        <w:t xml:space="preserve">; when a use restriction bears no relationship to the land it burdens, or violates a fundamental policy inuring to the </w:t>
      </w:r>
      <w:r>
        <w:rPr>
          <w:rFonts w:ascii="Times New Roman" w:eastAsia="Times New Roman" w:hAnsi="Times New Roman" w:cs="Times New Roman"/>
          <w:color w:val="FF0000"/>
          <w:sz w:val="20"/>
          <w:szCs w:val="20"/>
        </w:rPr>
        <w:t>public at large the resulting harm will always be disproportionate to any benefit (R.2d test) (pg. 735)</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(As matter of public policy) Reliance on CC&amp;Rs protected (homeowners supposedly know of) and HOA fees would go up if a lot of litigation</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 appellate court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(not noted in case but based on upcoming cases) non-enforcement could be interpreted as abandonment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(Arabian) Believes every person deserves right to refuge in their pets; using M’s analysis, very difficult to imagine any</w:t>
      </w:r>
      <w:r>
        <w:rPr>
          <w:rFonts w:ascii="Times New Roman" w:eastAsia="Times New Roman" w:hAnsi="Times New Roman" w:cs="Times New Roman"/>
          <w:color w:val="FF0000"/>
          <w:sz w:val="20"/>
          <w:szCs w:val="20"/>
        </w:rPr>
        <w:t xml:space="preserve"> restriction that would not be upheld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Aftermath: California legislature partially overturned the decision, enacting a statute providing that each owner of a unit in a common interest (CIC) may keep at least one pet regardless of any contrary CC&amp;R provision</w:t>
      </w:r>
      <w:r>
        <w:rPr>
          <w:rFonts w:ascii="Times New Roman" w:eastAsia="Times New Roman" w:hAnsi="Times New Roman" w:cs="Times New Roman"/>
          <w:color w:val="FF0000"/>
          <w:sz w:val="20"/>
          <w:szCs w:val="20"/>
        </w:rPr>
        <w:t xml:space="preserve"> &amp; defined pet (pg. 741)</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Fink v. Miller </w:t>
      </w:r>
      <w:r>
        <w:rPr>
          <w:rFonts w:ascii="Times New Roman" w:eastAsia="Times New Roman" w:hAnsi="Times New Roman" w:cs="Times New Roman"/>
          <w:color w:val="FF0000"/>
          <w:sz w:val="20"/>
          <w:szCs w:val="20"/>
          <w:shd w:val="clear" w:color="auto" w:fill="FFF2CC"/>
        </w:rPr>
        <w:t>(Court of Appeals of Utah, 1995)</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Another means of non-enforcement of servitudes: Abandonment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23 houses (of 29?), a substantial number of the total houses in the subdivision, not conforming with the restrictive </w:t>
      </w:r>
      <w:r>
        <w:rPr>
          <w:rFonts w:ascii="Times New Roman" w:eastAsia="Times New Roman" w:hAnsi="Times New Roman" w:cs="Times New Roman"/>
          <w:color w:val="FF0000"/>
          <w:sz w:val="20"/>
          <w:szCs w:val="20"/>
        </w:rPr>
        <w:t>covenant for wood shingles</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Property owners may lose [right to enforce restrictions through equitable relief] if the specific covenant they seek to enforced has been abandoned thereby rendering the covenant unenforceable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Test to determine abandonment</w:t>
      </w:r>
      <w:r>
        <w:rPr>
          <w:rFonts w:ascii="Times New Roman" w:eastAsia="Times New Roman" w:hAnsi="Times New Roman" w:cs="Times New Roman"/>
          <w:color w:val="FF0000"/>
          <w:sz w:val="20"/>
          <w:szCs w:val="20"/>
        </w:rPr>
        <w:t>: Requires party opposing enforcement to prove that existing “violations are so great as to lead the mind of the average [person] to reasonably conclude that the restriction in question has been abandoned.” Test is met when the average person, upon inspect</w:t>
      </w:r>
      <w:r>
        <w:rPr>
          <w:rFonts w:ascii="Times New Roman" w:eastAsia="Times New Roman" w:hAnsi="Times New Roman" w:cs="Times New Roman"/>
          <w:color w:val="FF0000"/>
          <w:sz w:val="20"/>
          <w:szCs w:val="20"/>
        </w:rPr>
        <w:t xml:space="preserve">ion of a subdivision and knowing of a certain restriction, will readily observe sufficient violations so that he or she will logically infer that the property owners neither adhere to nor enforce the restriction </w:t>
      </w:r>
    </w:p>
    <w:p w:rsidR="00E46D95" w:rsidRDefault="006F495B">
      <w:pPr>
        <w:numPr>
          <w:ilvl w:val="6"/>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Factors considered by court, First: Number,</w:t>
      </w:r>
      <w:r>
        <w:rPr>
          <w:rFonts w:ascii="Times New Roman" w:eastAsia="Times New Roman" w:hAnsi="Times New Roman" w:cs="Times New Roman"/>
          <w:color w:val="FF0000"/>
          <w:sz w:val="20"/>
          <w:szCs w:val="20"/>
        </w:rPr>
        <w:t xml:space="preserve"> nature, and severity of the then existing violations; then: Any prior acts of enforcement of the restriction and whether it is still possible to realize to a substantial degree the benefits intended through the covenant </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(not in case): Under </w:t>
      </w:r>
      <w:r>
        <w:rPr>
          <w:rFonts w:ascii="Times New Roman" w:eastAsia="Times New Roman" w:hAnsi="Times New Roman" w:cs="Times New Roman"/>
          <w:i/>
          <w:color w:val="FF0000"/>
          <w:sz w:val="20"/>
          <w:szCs w:val="20"/>
        </w:rPr>
        <w:t>Nahrsted</w:t>
      </w:r>
      <w:r>
        <w:rPr>
          <w:rFonts w:ascii="Times New Roman" w:eastAsia="Times New Roman" w:hAnsi="Times New Roman" w:cs="Times New Roman"/>
          <w:i/>
          <w:color w:val="FF0000"/>
          <w:sz w:val="20"/>
          <w:szCs w:val="20"/>
        </w:rPr>
        <w:t>t</w:t>
      </w:r>
      <w:r>
        <w:rPr>
          <w:rFonts w:ascii="Times New Roman" w:eastAsia="Times New Roman" w:hAnsi="Times New Roman" w:cs="Times New Roman"/>
          <w:color w:val="FF0000"/>
          <w:sz w:val="20"/>
          <w:szCs w:val="20"/>
        </w:rPr>
        <w:t xml:space="preserve"> probably enforceable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Rationale for Abandonment: Intent and non-use, lead people to believe that not taken seriously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Restriction has been abandoned and is unenforceable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Violations (23 houses) of restrictive covenant are sufficient widespread to be c</w:t>
      </w:r>
      <w:r>
        <w:rPr>
          <w:rFonts w:ascii="Times New Roman" w:eastAsia="Times New Roman" w:hAnsi="Times New Roman" w:cs="Times New Roman"/>
          <w:color w:val="FF0000"/>
          <w:sz w:val="20"/>
          <w:szCs w:val="20"/>
        </w:rPr>
        <w:t>onsidered abandoned</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whole purpose aesthetic, not being achieved</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(noted by editors) a safety issue</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Shelley v. Kraemer </w:t>
      </w:r>
      <w:r>
        <w:rPr>
          <w:rFonts w:ascii="Times New Roman" w:eastAsia="Times New Roman" w:hAnsi="Times New Roman" w:cs="Times New Roman"/>
          <w:color w:val="FF0000"/>
          <w:sz w:val="20"/>
          <w:szCs w:val="20"/>
          <w:shd w:val="clear" w:color="auto" w:fill="FFF2CC"/>
        </w:rPr>
        <w:t>(1948)</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Consolidated two cases (Missouri and Michigan cases), race restriction on the property – saying “people of the Negro</w:t>
      </w:r>
      <w:r>
        <w:rPr>
          <w:rFonts w:ascii="Times New Roman" w:eastAsia="Times New Roman" w:hAnsi="Times New Roman" w:cs="Times New Roman"/>
          <w:color w:val="FF0000"/>
          <w:sz w:val="20"/>
          <w:szCs w:val="20"/>
        </w:rPr>
        <w:t xml:space="preserve"> or Mongolian Race” cannot reside (v. own) there, presumably about occupancy not ownership (could have AA LL but not tenant)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Racial covenant imposed by neighbors; Shelleys buy property but have yet to move in (which would be in violation of the covenant)</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w:t>
      </w:r>
      <w:r>
        <w:rPr>
          <w:rFonts w:ascii="Times New Roman" w:eastAsia="Times New Roman" w:hAnsi="Times New Roman" w:cs="Times New Roman"/>
          <w:color w:val="FF0000"/>
          <w:sz w:val="20"/>
          <w:szCs w:val="20"/>
        </w:rPr>
        <w:t xml:space="preserve">upposed Purpose: To prevent a decrease in property value (though statistical evidence against this contention)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 Equal Protection Clause of the Constitution per 14A, applies to state action meaning applies to gov’t (does not apply to private parties; o</w:t>
      </w:r>
      <w:r>
        <w:rPr>
          <w:rFonts w:ascii="Times New Roman" w:eastAsia="Times New Roman" w:hAnsi="Times New Roman" w:cs="Times New Roman"/>
          <w:color w:val="FF0000"/>
          <w:sz w:val="20"/>
          <w:szCs w:val="20"/>
        </w:rPr>
        <w:t>nly provision applied to private individuals is the ban against slavery (15A))</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Consideration under 14A of whether “agreements secured only by judicial enforcement by state courts of the restrictive terms of the agreements” constitution “state action” sufficient to implicate the 14A?</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But restrictive agreements standing alone cannot be regarded as a violation of EPC/14A (requires state action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Y, state action/actor for purposes of the Constitution</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Vernon Township Volunteer Fire Department, Inc. v. Connor</w:t>
      </w:r>
      <w:r>
        <w:rPr>
          <w:rFonts w:ascii="Times New Roman" w:eastAsia="Times New Roman" w:hAnsi="Times New Roman" w:cs="Times New Roman"/>
          <w:color w:val="FF0000"/>
          <w:sz w:val="20"/>
          <w:szCs w:val="20"/>
          <w:shd w:val="clear" w:color="auto" w:fill="FFF2CC"/>
        </w:rPr>
        <w:t xml:space="preserve"> (Supreme Co</w:t>
      </w:r>
      <w:r>
        <w:rPr>
          <w:rFonts w:ascii="Times New Roman" w:eastAsia="Times New Roman" w:hAnsi="Times New Roman" w:cs="Times New Roman"/>
          <w:color w:val="FF0000"/>
          <w:sz w:val="20"/>
          <w:szCs w:val="20"/>
          <w:shd w:val="clear" w:color="auto" w:fill="FFF2CC"/>
        </w:rPr>
        <w:t>urt of Pennsylvania, 2004)</w:t>
      </w:r>
      <w:r>
        <w:rPr>
          <w:rFonts w:ascii="Times New Roman" w:eastAsia="Times New Roman" w:hAnsi="Times New Roman" w:cs="Times New Roman"/>
          <w:color w:val="FF0000"/>
          <w:sz w:val="20"/>
          <w:szCs w:val="20"/>
        </w:rPr>
        <w:t xml:space="preserve"> – (see book for notes, called on)</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Restriction on the sale of alcohol, firehouse to build a “truck room” and “social hall”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El Di, Inc.</w:t>
      </w:r>
      <w:r>
        <w:rPr>
          <w:rFonts w:ascii="Times New Roman" w:eastAsia="Times New Roman" w:hAnsi="Times New Roman" w:cs="Times New Roman"/>
          <w:color w:val="FF0000"/>
          <w:sz w:val="20"/>
          <w:szCs w:val="20"/>
        </w:rPr>
        <w:t xml:space="preserve"> (note a), Restatement consideration of bargaining as a factor (note d; argu</w:t>
      </w:r>
      <w:r>
        <w:rPr>
          <w:rFonts w:ascii="Times New Roman" w:eastAsia="Times New Roman" w:hAnsi="Times New Roman" w:cs="Times New Roman"/>
          <w:color w:val="FF0000"/>
          <w:sz w:val="20"/>
          <w:szCs w:val="20"/>
        </w:rPr>
        <w:t>es in favor of the D), note e offers an alternative remedy (suggesting something alike a private condemnation)</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Governing the Development – the powers of a homeowners association are exercised by an elected board of directors; most courts use a standard of </w:t>
      </w:r>
      <w:r>
        <w:rPr>
          <w:rFonts w:ascii="Times New Roman" w:eastAsia="Times New Roman" w:hAnsi="Times New Roman" w:cs="Times New Roman"/>
          <w:sz w:val="20"/>
          <w:szCs w:val="20"/>
        </w:rPr>
        <w:t>reasonableness in review board decisions; some courts apply the more deferential business judgment rule; the typical CIC declaration provides that the association will (exercised by a board of directors elected by the owners):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Maintain the common area of t</w:t>
      </w:r>
      <w:r>
        <w:rPr>
          <w:rFonts w:ascii="Times New Roman" w:eastAsia="Times New Roman" w:hAnsi="Times New Roman" w:cs="Times New Roman"/>
          <w:sz w:val="20"/>
          <w:szCs w:val="20"/>
        </w:rPr>
        <w:t>he CIC</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Enforce the CC&amp;Rs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Adopt and enforce rules to supplement the CC&amp;Rs</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Collect assessments from the unit owners </w:t>
      </w:r>
      <w:r>
        <w:rPr>
          <w:rFonts w:ascii="Times New Roman" w:eastAsia="Times New Roman" w:hAnsi="Times New Roman" w:cs="Times New Roman"/>
          <w:i/>
          <w:sz w:val="20"/>
          <w:szCs w:val="20"/>
        </w:rPr>
        <w:t>and</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Take such other actions as are necessary to administer the CIC</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Business Judgment Rule – </w:t>
      </w:r>
      <w:r>
        <w:rPr>
          <w:rFonts w:ascii="Times New Roman" w:eastAsia="Times New Roman" w:hAnsi="Times New Roman" w:cs="Times New Roman"/>
          <w:sz w:val="20"/>
          <w:szCs w:val="20"/>
        </w:rPr>
        <w:t>where courts reason a homeowners association is akin to a corporation; the association is not liable if the board made the decision in good faith and rationally believed that it was appropriate</w:t>
      </w:r>
    </w:p>
    <w:p w:rsidR="00E46D95" w:rsidRDefault="006F495B">
      <w:pPr>
        <w:numPr>
          <w:ilvl w:val="3"/>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Reasonableness Standard </w:t>
      </w:r>
      <w:r>
        <w:rPr>
          <w:rFonts w:ascii="Times New Roman" w:eastAsia="Times New Roman" w:hAnsi="Times New Roman" w:cs="Times New Roman"/>
          <w:sz w:val="20"/>
          <w:szCs w:val="20"/>
        </w:rPr>
        <w:t>(Restatement) – requires an associatio</w:t>
      </w:r>
      <w:r>
        <w:rPr>
          <w:rFonts w:ascii="Times New Roman" w:eastAsia="Times New Roman" w:hAnsi="Times New Roman" w:cs="Times New Roman"/>
          <w:sz w:val="20"/>
          <w:szCs w:val="20"/>
        </w:rPr>
        <w:t xml:space="preserve">n to “act reasonably in the exercise of its discretionary powers” (most courts) </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Schaefer v. Eastman Community Association </w:t>
      </w:r>
      <w:r>
        <w:rPr>
          <w:rFonts w:ascii="Times New Roman" w:eastAsia="Times New Roman" w:hAnsi="Times New Roman" w:cs="Times New Roman"/>
          <w:color w:val="FF0000"/>
          <w:sz w:val="20"/>
          <w:szCs w:val="20"/>
          <w:shd w:val="clear" w:color="auto" w:fill="FFF2CC"/>
        </w:rPr>
        <w:t>(Supreme Court of New Hampshire, 2003)</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Community decides to shut down community’s downhill ski slope because few were using; ce</w:t>
      </w:r>
      <w:r>
        <w:rPr>
          <w:rFonts w:ascii="Times New Roman" w:eastAsia="Times New Roman" w:hAnsi="Times New Roman" w:cs="Times New Roman"/>
          <w:color w:val="FF0000"/>
          <w:sz w:val="20"/>
          <w:szCs w:val="20"/>
        </w:rPr>
        <w:t>rtain owners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offended and bring suit challenging ECA’s (the relevant HOA) authority to do so</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Advertises downhill skiing (though seemingly no CC&amp;R promising downhill skiing),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say they relied on existence of downhill skiing in decision to purch</w:t>
      </w:r>
      <w:r>
        <w:rPr>
          <w:rFonts w:ascii="Times New Roman" w:eastAsia="Times New Roman" w:hAnsi="Times New Roman" w:cs="Times New Roman"/>
          <w:color w:val="FF0000"/>
          <w:sz w:val="20"/>
          <w:szCs w:val="20"/>
        </w:rPr>
        <w:t>ases/rent home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I1: CC&amp;R protecting existence of downhill skiing?</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I2: Whether association’s action was within its authority?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Decision to close was within the board’s authority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So long as ECA’s action does not contravene either an express provision</w:t>
      </w:r>
      <w:r>
        <w:rPr>
          <w:rFonts w:ascii="Times New Roman" w:eastAsia="Times New Roman" w:hAnsi="Times New Roman" w:cs="Times New Roman"/>
          <w:color w:val="FF0000"/>
          <w:sz w:val="20"/>
          <w:szCs w:val="20"/>
        </w:rPr>
        <w:t xml:space="preserve"> of the declaration or a right reasonably inferable therefrom, it will be found valid, within the scope of the board’s authority (reasonableness test)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APP/R: Action does not contravene an express provision of the declaration nor is it a decision reversed t</w:t>
      </w:r>
      <w:r>
        <w:rPr>
          <w:rFonts w:ascii="Times New Roman" w:eastAsia="Times New Roman" w:hAnsi="Times New Roman" w:cs="Times New Roman"/>
          <w:color w:val="FF0000"/>
          <w:sz w:val="20"/>
          <w:szCs w:val="20"/>
        </w:rPr>
        <w:t>o the members</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Considers charter to be a constitution (HOA a quasi private gov’t)</w:t>
      </w:r>
    </w:p>
    <w:p w:rsidR="00E46D95" w:rsidRDefault="006F495B">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Foundation Valley Chateau Blanc Homeowner’s Association v. Department of Veterans Affairs</w:t>
      </w:r>
      <w:r>
        <w:rPr>
          <w:rFonts w:ascii="Times New Roman" w:eastAsia="Times New Roman" w:hAnsi="Times New Roman" w:cs="Times New Roman"/>
          <w:color w:val="FF0000"/>
          <w:sz w:val="20"/>
          <w:szCs w:val="20"/>
          <w:shd w:val="clear" w:color="auto" w:fill="FFF2CC"/>
        </w:rPr>
        <w:t xml:space="preserve"> (Court of Appeal of California, 1998)</w:t>
      </w:r>
      <w:r>
        <w:rPr>
          <w:rFonts w:ascii="Times New Roman" w:eastAsia="Times New Roman" w:hAnsi="Times New Roman" w:cs="Times New Roman"/>
          <w:color w:val="FF0000"/>
          <w:sz w:val="20"/>
          <w:szCs w:val="20"/>
        </w:rPr>
        <w:t xml:space="preserve"> –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Same JD as </w:t>
      </w:r>
      <w:r>
        <w:rPr>
          <w:rFonts w:ascii="Times New Roman" w:eastAsia="Times New Roman" w:hAnsi="Times New Roman" w:cs="Times New Roman"/>
          <w:i/>
          <w:color w:val="FF0000"/>
          <w:sz w:val="20"/>
          <w:szCs w:val="20"/>
        </w:rPr>
        <w:t>Nahrstedt</w:t>
      </w:r>
      <w:r>
        <w:rPr>
          <w:rFonts w:ascii="Times New Roman" w:eastAsia="Times New Roman" w:hAnsi="Times New Roman" w:cs="Times New Roman"/>
          <w:color w:val="FF0000"/>
          <w:sz w:val="20"/>
          <w:szCs w:val="20"/>
        </w:rPr>
        <w:t xml:space="preserve">, akin to CC&amp;R in </w:t>
      </w:r>
      <w:r>
        <w:rPr>
          <w:rFonts w:ascii="Times New Roman" w:eastAsia="Times New Roman" w:hAnsi="Times New Roman" w:cs="Times New Roman"/>
          <w:i/>
          <w:color w:val="FF0000"/>
          <w:sz w:val="20"/>
          <w:szCs w:val="20"/>
        </w:rPr>
        <w:t xml:space="preserve">Nahrstedt </w:t>
      </w:r>
      <w:r>
        <w:rPr>
          <w:rFonts w:ascii="Times New Roman" w:eastAsia="Times New Roman" w:hAnsi="Times New Roman" w:cs="Times New Roman"/>
          <w:color w:val="FF0000"/>
          <w:sz w:val="20"/>
          <w:szCs w:val="20"/>
        </w:rPr>
        <w:t xml:space="preserve">(under that would seemingly favor HOA, interesting because appellate division and should be bound by Supreme Court ruling in </w:t>
      </w:r>
      <w:r>
        <w:rPr>
          <w:rFonts w:ascii="Times New Roman" w:eastAsia="Times New Roman" w:hAnsi="Times New Roman" w:cs="Times New Roman"/>
          <w:i/>
          <w:color w:val="FF0000"/>
          <w:sz w:val="20"/>
          <w:szCs w:val="20"/>
        </w:rPr>
        <w:t>Nahrstedt</w:t>
      </w:r>
      <w:r>
        <w:rPr>
          <w:rFonts w:ascii="Times New Roman" w:eastAsia="Times New Roman" w:hAnsi="Times New Roman" w:cs="Times New Roman"/>
          <w:color w:val="FF0000"/>
          <w:sz w:val="20"/>
          <w:szCs w:val="20"/>
        </w:rPr>
        <w:t>)</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HOA impeding into tenant’s personal life, arguing way he keeps his house against their CC&amp;Rs</w:t>
      </w:r>
    </w:p>
    <w:p w:rsidR="00E46D95" w:rsidRDefault="006F495B">
      <w:pPr>
        <w:numPr>
          <w:ilvl w:val="5"/>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Lang. of CC&amp;R:</w:t>
      </w:r>
      <w:r>
        <w:rPr>
          <w:rFonts w:ascii="Times New Roman" w:eastAsia="Times New Roman" w:hAnsi="Times New Roman" w:cs="Times New Roman"/>
          <w:color w:val="FF0000"/>
          <w:sz w:val="20"/>
          <w:szCs w:val="20"/>
        </w:rPr>
        <w:t xml:space="preserve"> Must maintain interior of his unit (pg. 763)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Unreasonable restriction (PH: Held by jury in lower court, judge follows </w:t>
      </w:r>
      <w:r>
        <w:rPr>
          <w:rFonts w:ascii="Times New Roman" w:eastAsia="Times New Roman" w:hAnsi="Times New Roman" w:cs="Times New Roman"/>
          <w:i/>
          <w:color w:val="FF0000"/>
          <w:sz w:val="20"/>
          <w:szCs w:val="20"/>
        </w:rPr>
        <w:t>Nahrstedt</w:t>
      </w:r>
      <w:r>
        <w:rPr>
          <w:rFonts w:ascii="Times New Roman" w:eastAsia="Times New Roman" w:hAnsi="Times New Roman" w:cs="Times New Roman"/>
          <w:color w:val="FF0000"/>
          <w:sz w:val="20"/>
          <w:szCs w:val="20"/>
        </w:rPr>
        <w:t xml:space="preserve"> and favors HOA) – court sides with jury</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Going to far, too much detail (see case notes in book)</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ind w:left="2160"/>
        <w:rPr>
          <w:rFonts w:ascii="Times New Roman" w:eastAsia="Times New Roman" w:hAnsi="Times New Roman" w:cs="Times New Roman"/>
          <w:sz w:val="20"/>
          <w:szCs w:val="20"/>
        </w:rPr>
      </w:pPr>
      <w:r>
        <w:rPr>
          <w:rFonts w:ascii="Cardo" w:eastAsia="Cardo" w:hAnsi="Cardo" w:cs="Cardo"/>
          <w:color w:val="FF0000"/>
          <w:sz w:val="20"/>
          <w:szCs w:val="20"/>
        </w:rPr>
        <w:t>→ Almost like</w:t>
      </w:r>
      <w:r>
        <w:rPr>
          <w:rFonts w:ascii="Cardo" w:eastAsia="Cardo" w:hAnsi="Cardo" w:cs="Cardo"/>
          <w:color w:val="FF0000"/>
          <w:sz w:val="20"/>
          <w:szCs w:val="20"/>
        </w:rPr>
        <w:t xml:space="preserve"> the M adopts </w:t>
      </w:r>
      <w:r>
        <w:rPr>
          <w:rFonts w:ascii="Times New Roman" w:eastAsia="Times New Roman" w:hAnsi="Times New Roman" w:cs="Times New Roman"/>
          <w:i/>
          <w:color w:val="FF0000"/>
          <w:sz w:val="20"/>
          <w:szCs w:val="20"/>
        </w:rPr>
        <w:t>Nahrstedt</w:t>
      </w:r>
      <w:r>
        <w:rPr>
          <w:rFonts w:ascii="Times New Roman" w:eastAsia="Times New Roman" w:hAnsi="Times New Roman" w:cs="Times New Roman"/>
          <w:color w:val="FF0000"/>
          <w:sz w:val="20"/>
          <w:szCs w:val="20"/>
        </w:rPr>
        <w:t>’s D opinion (Arabian)</w:t>
      </w:r>
    </w:p>
    <w:p w:rsidR="00E46D95" w:rsidRDefault="006F495B">
      <w:pPr>
        <w:numPr>
          <w:ilvl w:val="0"/>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Private Nuisance </w:t>
      </w:r>
      <w:r>
        <w:rPr>
          <w:rFonts w:ascii="Times New Roman" w:eastAsia="Times New Roman" w:hAnsi="Times New Roman" w:cs="Times New Roman"/>
          <w:sz w:val="20"/>
          <w:szCs w:val="20"/>
        </w:rPr>
        <w:t xml:space="preserve">– a non-trespassory invasion of another’s interest in the private use and enjoyment of land (most nuisances) (v. </w:t>
      </w:r>
      <w:r>
        <w:rPr>
          <w:rFonts w:ascii="Times New Roman" w:eastAsia="Times New Roman" w:hAnsi="Times New Roman" w:cs="Times New Roman"/>
          <w:i/>
          <w:sz w:val="20"/>
          <w:szCs w:val="20"/>
        </w:rPr>
        <w:t>public nuisance</w:t>
      </w:r>
      <w:r>
        <w:rPr>
          <w:rFonts w:ascii="Times New Roman" w:eastAsia="Times New Roman" w:hAnsi="Times New Roman" w:cs="Times New Roman"/>
          <w:sz w:val="20"/>
          <w:szCs w:val="20"/>
        </w:rPr>
        <w:t xml:space="preserve"> – an improper interference with a right common to the public); f</w:t>
      </w:r>
      <w:r>
        <w:rPr>
          <w:rFonts w:ascii="Times New Roman" w:eastAsia="Times New Roman" w:hAnsi="Times New Roman" w:cs="Times New Roman"/>
          <w:sz w:val="20"/>
          <w:szCs w:val="20"/>
        </w:rPr>
        <w:t>ive required elements:</w:t>
      </w:r>
    </w:p>
    <w:p w:rsidR="00E46D95" w:rsidRDefault="006F495B">
      <w:pPr>
        <w:numPr>
          <w:ilvl w:val="1"/>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 xml:space="preserve">Intentional </w:t>
      </w:r>
      <w:r>
        <w:rPr>
          <w:rFonts w:ascii="Times New Roman" w:eastAsia="Times New Roman" w:hAnsi="Times New Roman" w:cs="Times New Roman"/>
          <w:sz w:val="20"/>
          <w:szCs w:val="20"/>
        </w:rPr>
        <w:t xml:space="preserve">– the defendant’s conduct is intentional if he acts for the purpose of causing the harm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he knows that the harm is resulting or is substantially certain to result from his conduct</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Pr>
          <w:rFonts w:ascii="Times New Roman" w:eastAsia="Times New Roman" w:hAnsi="Times New Roman" w:cs="Times New Roman"/>
          <w:i/>
          <w:sz w:val="20"/>
          <w:szCs w:val="20"/>
        </w:rPr>
        <w:t xml:space="preserve"> Non-Trespassory </w:t>
      </w:r>
      <w:r>
        <w:rPr>
          <w:rFonts w:ascii="Times New Roman" w:eastAsia="Times New Roman" w:hAnsi="Times New Roman" w:cs="Times New Roman"/>
          <w:sz w:val="20"/>
          <w:szCs w:val="20"/>
        </w:rPr>
        <w:t>– the interfere</w:t>
      </w:r>
      <w:r>
        <w:rPr>
          <w:rFonts w:ascii="Times New Roman" w:eastAsia="Times New Roman" w:hAnsi="Times New Roman" w:cs="Times New Roman"/>
          <w:sz w:val="20"/>
          <w:szCs w:val="20"/>
        </w:rPr>
        <w:t>nce must not involve any physical entry onto the land of another (e.g. noise, vibration, light, and odors are all considered non-trespassory invasions)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Pr>
          <w:rFonts w:ascii="Times New Roman" w:eastAsia="Times New Roman" w:hAnsi="Times New Roman" w:cs="Times New Roman"/>
          <w:i/>
          <w:sz w:val="20"/>
          <w:szCs w:val="20"/>
        </w:rPr>
        <w:t xml:space="preserve"> Unreasonable </w:t>
      </w:r>
      <w:r>
        <w:rPr>
          <w:rFonts w:ascii="Times New Roman" w:eastAsia="Times New Roman" w:hAnsi="Times New Roman" w:cs="Times New Roman"/>
          <w:sz w:val="20"/>
          <w:szCs w:val="20"/>
        </w:rPr>
        <w:t>(jurisdictions vary)</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Gravity of the Harm Test</w:t>
      </w:r>
      <w:r>
        <w:rPr>
          <w:rFonts w:ascii="Times New Roman" w:eastAsia="Times New Roman" w:hAnsi="Times New Roman" w:cs="Times New Roman"/>
          <w:sz w:val="20"/>
          <w:szCs w:val="20"/>
        </w:rPr>
        <w:t xml:space="preserve"> – the defendant’s conduct is unreasonable</w:t>
      </w:r>
      <w:r>
        <w:rPr>
          <w:rFonts w:ascii="Times New Roman" w:eastAsia="Times New Roman" w:hAnsi="Times New Roman" w:cs="Times New Roman"/>
          <w:sz w:val="20"/>
          <w:szCs w:val="20"/>
        </w:rPr>
        <w:t xml:space="preserve"> if it causes substantial harm regardless of the social utility of the conduct (some states)</w:t>
      </w:r>
    </w:p>
    <w:p w:rsidR="00E46D95" w:rsidRDefault="006F495B">
      <w:pPr>
        <w:numPr>
          <w:ilvl w:val="2"/>
          <w:numId w:val="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Restatement Standard</w:t>
      </w:r>
      <w:r>
        <w:rPr>
          <w:rFonts w:ascii="Times New Roman" w:eastAsia="Times New Roman" w:hAnsi="Times New Roman" w:cs="Times New Roman"/>
          <w:sz w:val="20"/>
          <w:szCs w:val="20"/>
        </w:rPr>
        <w:t xml:space="preserve"> – conduct is unreasonable if the gravity of the harm outweighs the utility of the conduct (many states)</w:t>
      </w:r>
    </w:p>
    <w:p w:rsidR="00E46D95" w:rsidRDefault="006F495B">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Multi-factor Tests – falls somewhere between these two approaches (used by a number of states)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Pr>
          <w:rFonts w:ascii="Times New Roman" w:eastAsia="Times New Roman" w:hAnsi="Times New Roman" w:cs="Times New Roman"/>
          <w:i/>
          <w:sz w:val="20"/>
          <w:szCs w:val="20"/>
        </w:rPr>
        <w:t xml:space="preserve"> Substantial Interference </w:t>
      </w:r>
      <w:r>
        <w:rPr>
          <w:rFonts w:ascii="Times New Roman" w:eastAsia="Times New Roman" w:hAnsi="Times New Roman" w:cs="Times New Roman"/>
          <w:sz w:val="20"/>
          <w:szCs w:val="20"/>
        </w:rPr>
        <w:t>– there must be a “real and appreciable invasion of the plaintiff’s interests”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 xml:space="preserve">Use and Enjoyment of Land </w:t>
      </w:r>
      <w:r>
        <w:rPr>
          <w:rFonts w:ascii="Times New Roman" w:eastAsia="Times New Roman" w:hAnsi="Times New Roman" w:cs="Times New Roman"/>
          <w:sz w:val="20"/>
          <w:szCs w:val="20"/>
        </w:rPr>
        <w:t>– the defendant’s condu</w:t>
      </w:r>
      <w:r>
        <w:rPr>
          <w:rFonts w:ascii="Times New Roman" w:eastAsia="Times New Roman" w:hAnsi="Times New Roman" w:cs="Times New Roman"/>
          <w:sz w:val="20"/>
          <w:szCs w:val="20"/>
        </w:rPr>
        <w:t>ct must interfere with the use and enjoyment of the land (e.g. causing physical damage to the property or personal injury to occupants)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Remedies for private nuisance – the traditional remedy for a nuisance was an injunction; today courts usually balance th</w:t>
      </w:r>
      <w:r>
        <w:rPr>
          <w:rFonts w:ascii="Times New Roman" w:eastAsia="Times New Roman" w:hAnsi="Times New Roman" w:cs="Times New Roman"/>
          <w:sz w:val="20"/>
          <w:szCs w:val="20"/>
        </w:rPr>
        <w:t>e equities to determine if the appropriate remedy is an injunction or damages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Boomer v. Atlantic Cement Co., Inc. </w:t>
      </w:r>
      <w:r>
        <w:rPr>
          <w:rFonts w:ascii="Times New Roman" w:eastAsia="Times New Roman" w:hAnsi="Times New Roman" w:cs="Times New Roman"/>
          <w:color w:val="FF0000"/>
          <w:sz w:val="20"/>
          <w:szCs w:val="20"/>
          <w:shd w:val="clear" w:color="auto" w:fill="FFF2CC"/>
        </w:rPr>
        <w:t>(Court of Appeals of New York, 1970)</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Cement plant affecting neighboring junkyard (P alleging nuisance (COA))</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court should</w:t>
      </w:r>
      <w:r>
        <w:rPr>
          <w:rFonts w:ascii="Times New Roman" w:eastAsia="Times New Roman" w:hAnsi="Times New Roman" w:cs="Times New Roman"/>
          <w:color w:val="FF0000"/>
          <w:sz w:val="20"/>
          <w:szCs w:val="20"/>
        </w:rPr>
        <w:t xml:space="preserve"> resolve the litigation between the parties now before it as equitably as seems possible or whether seeking promotion of the general public welfare it should channel private litigation into broad public objectives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Broad reaching implications (to public, p</w:t>
      </w:r>
      <w:r>
        <w:rPr>
          <w:rFonts w:ascii="Times New Roman" w:eastAsia="Times New Roman" w:hAnsi="Times New Roman" w:cs="Times New Roman"/>
          <w:color w:val="FF0000"/>
          <w:sz w:val="20"/>
          <w:szCs w:val="20"/>
        </w:rPr>
        <w:t xml:space="preserve">ublic policy) in private cases (as seen in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 – not going to do in this case, focus on private case (not public policy?)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Really reviewing temp damages and rejected injunction and/or permanent damages/settlement ideal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D pay total permanen</w:t>
      </w:r>
      <w:r>
        <w:rPr>
          <w:rFonts w:ascii="Times New Roman" w:eastAsia="Times New Roman" w:hAnsi="Times New Roman" w:cs="Times New Roman"/>
          <w:color w:val="FF0000"/>
          <w:sz w:val="20"/>
          <w:szCs w:val="20"/>
        </w:rPr>
        <w:t>t damages to all Ps, found at $185,000 (“perm. damages” and could settle, didn’t order payment – to prevent continuous suits (see sub bullet))</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Trial court (court of Special Term?) granted temporary money damages but denied the injunction (sought remedy) – (R) not going to prevent them from doing but comped for damages already endured, problem: May continue filing lawsuits for continuous/repeated </w:t>
      </w:r>
      <w:r>
        <w:rPr>
          <w:rFonts w:ascii="Times New Roman" w:eastAsia="Times New Roman" w:hAnsi="Times New Roman" w:cs="Times New Roman"/>
          <w:color w:val="FF0000"/>
          <w:sz w:val="20"/>
          <w:szCs w:val="20"/>
        </w:rPr>
        <w:t xml:space="preserve">harms overtime (similar concern/issue in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Effectively award $185K of damages if don’t want to be enjoined (profitable company unlike coal co. in </w:t>
      </w:r>
      <w:r>
        <w:rPr>
          <w:rFonts w:ascii="Times New Roman" w:eastAsia="Times New Roman" w:hAnsi="Times New Roman" w:cs="Times New Roman"/>
          <w:i/>
          <w:color w:val="FF0000"/>
          <w:sz w:val="20"/>
          <w:szCs w:val="20"/>
        </w:rPr>
        <w:t>Versailles Borough</w:t>
      </w:r>
      <w:r>
        <w:rPr>
          <w:rFonts w:ascii="Times New Roman" w:eastAsia="Times New Roman" w:hAnsi="Times New Roman" w:cs="Times New Roman"/>
          <w:color w:val="FF0000"/>
          <w:sz w:val="20"/>
          <w:szCs w:val="20"/>
        </w:rPr>
        <w:t>)</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Dismisses claim of injunctive relief (permanent damages, company could buy its way out)</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Gravity of the harm suffered the Ps not more valuable than shutting down cement company(?), going to grant damages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Utility outweighs the gravity of the harm (RU</w:t>
      </w:r>
      <w:r>
        <w:rPr>
          <w:rFonts w:ascii="Times New Roman" w:eastAsia="Times New Roman" w:hAnsi="Times New Roman" w:cs="Times New Roman"/>
          <w:color w:val="FF0000"/>
          <w:sz w:val="20"/>
          <w:szCs w:val="20"/>
        </w:rPr>
        <w:t>LE – balancing test; v. Restatement approach (see CB))</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R.2d 826(b) – just because no injunction, shouldn’t mean no recovery of money damages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(Jasen) Prior rule that if nuisance causes substantial (anything over $100, low threshold) damages then injuncti</w:t>
      </w:r>
      <w:r>
        <w:rPr>
          <w:rFonts w:ascii="Times New Roman" w:eastAsia="Times New Roman" w:hAnsi="Times New Roman" w:cs="Times New Roman"/>
          <w:color w:val="FF0000"/>
          <w:sz w:val="20"/>
          <w:szCs w:val="20"/>
        </w:rPr>
        <w:t>ve relief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 xml:space="preserve">M changes here – need </w:t>
      </w:r>
      <w:r>
        <w:rPr>
          <w:rFonts w:ascii="Times New Roman" w:eastAsia="Times New Roman" w:hAnsi="Times New Roman" w:cs="Times New Roman"/>
          <w:i/>
          <w:color w:val="FF0000"/>
          <w:sz w:val="20"/>
          <w:szCs w:val="20"/>
        </w:rPr>
        <w:t>unreasonable</w:t>
      </w:r>
      <w:r>
        <w:rPr>
          <w:rFonts w:ascii="Times New Roman" w:eastAsia="Times New Roman" w:hAnsi="Times New Roman" w:cs="Times New Roman"/>
          <w:color w:val="FF0000"/>
          <w:sz w:val="20"/>
          <w:szCs w:val="20"/>
        </w:rPr>
        <w:t xml:space="preserve"> damage(s) (new standard), utility/gravity) – dissenter dislikes new standard (essentially licensing a wrong, polluting)</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Says creating “pollution servitude,” would prefer to put an injunction to a time limit</w:t>
      </w:r>
      <w:r>
        <w:rPr>
          <w:rFonts w:ascii="Times New Roman" w:eastAsia="Times New Roman" w:hAnsi="Times New Roman" w:cs="Times New Roman"/>
          <w:color w:val="FF0000"/>
          <w:sz w:val="20"/>
          <w:szCs w:val="20"/>
        </w:rPr>
        <w:t xml:space="preserve"> and give time to find solution (M says doesn’t believe possibility, cement plants all over the country – courts only as wise as what’s before them, may have been incentive/disincentive)</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Considers the general public, non-parties to the suit (Foresaw afterm</w:t>
      </w:r>
      <w:r>
        <w:rPr>
          <w:rFonts w:ascii="Times New Roman" w:eastAsia="Times New Roman" w:hAnsi="Times New Roman" w:cs="Times New Roman"/>
          <w:color w:val="FF0000"/>
          <w:sz w:val="20"/>
          <w:szCs w:val="20"/>
        </w:rPr>
        <w:t>ath: Many Ps after freeriding off of this ruling to collect for damages)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Ruling before the CAA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CAA doesn’t award anyone any damages, instead requires plants to install certain things to reduce air pollution down to a tolerable level (no damages to anyb</w:t>
      </w:r>
      <w:r>
        <w:rPr>
          <w:rFonts w:ascii="Times New Roman" w:eastAsia="Times New Roman" w:hAnsi="Times New Roman" w:cs="Times New Roman"/>
          <w:color w:val="FF0000"/>
          <w:sz w:val="20"/>
          <w:szCs w:val="20"/>
        </w:rPr>
        <w:t xml:space="preserve">ody, still role for CL remedies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courts consider compliance with permit defense to damages (though in many ways flawed because permitted use level, inconsistent with </w:t>
      </w:r>
      <w:r>
        <w:rPr>
          <w:rFonts w:ascii="Times New Roman" w:eastAsia="Times New Roman" w:hAnsi="Times New Roman" w:cs="Times New Roman"/>
          <w:i/>
          <w:color w:val="FF0000"/>
          <w:sz w:val="20"/>
          <w:szCs w:val="20"/>
        </w:rPr>
        <w:t>Boomer</w:t>
      </w:r>
      <w:r>
        <w:rPr>
          <w:rFonts w:ascii="Times New Roman" w:eastAsia="Times New Roman" w:hAnsi="Times New Roman" w:cs="Times New Roman"/>
          <w:color w:val="FF0000"/>
          <w:sz w:val="20"/>
          <w:szCs w:val="20"/>
        </w:rPr>
        <w:t xml:space="preserve"> result saying even if utility outweighs harm some damages should be allowed/awar</w:t>
      </w:r>
      <w:r>
        <w:rPr>
          <w:rFonts w:ascii="Times New Roman" w:eastAsia="Times New Roman" w:hAnsi="Times New Roman" w:cs="Times New Roman"/>
          <w:color w:val="FF0000"/>
          <w:sz w:val="20"/>
          <w:szCs w:val="20"/>
        </w:rPr>
        <w:t>ded))</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Plant subjected to damages (here), regulations (CAA), and settlements (per aftermath); later realized could sell cement dust to be used as fertilizer (found a productive use for)</w:t>
      </w:r>
    </w:p>
    <w:p w:rsidR="00E46D95" w:rsidRDefault="006F495B">
      <w:pPr>
        <w:ind w:left="2160"/>
        <w:rPr>
          <w:color w:val="FF0000"/>
        </w:rPr>
      </w:pPr>
      <w:r>
        <w:rPr>
          <w:rFonts w:ascii="Cardo" w:eastAsia="Cardo" w:hAnsi="Cardo" w:cs="Cardo"/>
          <w:color w:val="FF0000"/>
          <w:sz w:val="20"/>
          <w:szCs w:val="20"/>
        </w:rPr>
        <w:t xml:space="preserve">→ Alike </w:t>
      </w:r>
      <w:r>
        <w:rPr>
          <w:rFonts w:ascii="Times New Roman" w:eastAsia="Times New Roman" w:hAnsi="Times New Roman" w:cs="Times New Roman"/>
          <w:i/>
          <w:color w:val="FF0000"/>
          <w:sz w:val="20"/>
          <w:szCs w:val="20"/>
        </w:rPr>
        <w:t>Versailles</w:t>
      </w:r>
      <w:r>
        <w:rPr>
          <w:rFonts w:ascii="Times New Roman" w:eastAsia="Times New Roman" w:hAnsi="Times New Roman" w:cs="Times New Roman"/>
          <w:color w:val="FF0000"/>
          <w:sz w:val="20"/>
          <w:szCs w:val="20"/>
        </w:rPr>
        <w:t xml:space="preserve"> no injunction (sides with utility of the operation</w:t>
      </w:r>
      <w:r>
        <w:rPr>
          <w:rFonts w:ascii="Times New Roman" w:eastAsia="Times New Roman" w:hAnsi="Times New Roman" w:cs="Times New Roman"/>
          <w:color w:val="FF0000"/>
          <w:sz w:val="20"/>
          <w:szCs w:val="20"/>
        </w:rPr>
        <w:t xml:space="preserve"> over gravity of the harm, but both apply same test(?)),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here granted payment of damages unlike in </w:t>
      </w:r>
      <w:r>
        <w:rPr>
          <w:rFonts w:ascii="Times New Roman" w:eastAsia="Times New Roman" w:hAnsi="Times New Roman" w:cs="Times New Roman"/>
          <w:i/>
          <w:color w:val="FF0000"/>
          <w:sz w:val="20"/>
          <w:szCs w:val="20"/>
        </w:rPr>
        <w:t>Versailles</w:t>
      </w:r>
      <w:r>
        <w:rPr>
          <w:rFonts w:ascii="Times New Roman" w:eastAsia="Times New Roman" w:hAnsi="Times New Roman" w:cs="Times New Roman"/>
          <w:color w:val="FF0000"/>
          <w:sz w:val="20"/>
          <w:szCs w:val="20"/>
        </w:rPr>
        <w:t xml:space="preserve"> which actually award legal costs as paid by Ps (so quite the opposite implication)</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b (SC ruling consistent with this case; but many follo</w:t>
      </w:r>
      <w:r>
        <w:rPr>
          <w:rFonts w:ascii="Times New Roman" w:eastAsia="Times New Roman" w:hAnsi="Times New Roman" w:cs="Times New Roman"/>
          <w:color w:val="FF0000"/>
          <w:sz w:val="20"/>
          <w:szCs w:val="20"/>
        </w:rPr>
        <w:t>wing)</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Thomsen v. Greve</w:t>
      </w:r>
      <w:r>
        <w:rPr>
          <w:rFonts w:ascii="Times New Roman" w:eastAsia="Times New Roman" w:hAnsi="Times New Roman" w:cs="Times New Roman"/>
          <w:color w:val="FF0000"/>
          <w:sz w:val="20"/>
          <w:szCs w:val="20"/>
          <w:shd w:val="clear" w:color="auto" w:fill="FFF2CC"/>
        </w:rPr>
        <w:t xml:space="preserve"> (Court of Appeals of Nebraska, 1996)</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Dispute between neighbors regarding </w:t>
      </w:r>
      <w:r>
        <w:rPr>
          <w:rFonts w:ascii="Times New Roman" w:eastAsia="Times New Roman" w:hAnsi="Times New Roman" w:cs="Times New Roman"/>
          <w:color w:val="FF0000"/>
          <w:sz w:val="20"/>
          <w:szCs w:val="20"/>
          <w:u w:val="single"/>
        </w:rPr>
        <w:t>wood burning stove smoke</w:t>
      </w:r>
      <w:r>
        <w:rPr>
          <w:rFonts w:ascii="Times New Roman" w:eastAsia="Times New Roman" w:hAnsi="Times New Roman" w:cs="Times New Roman"/>
          <w:color w:val="FF0000"/>
          <w:sz w:val="20"/>
          <w:szCs w:val="20"/>
        </w:rPr>
        <w:t xml:space="preserve"> (used to be friends, went sour over dispute of boundary lines, raising rabbits) – become intolerable for the neighbors, illness, unable to sleep, had to leave house to avoid, prevented get togethers, dryer smelled of smoke (numerous negative effects)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Best</w:t>
      </w:r>
      <w:r>
        <w:rPr>
          <w:rFonts w:ascii="Times New Roman" w:eastAsia="Times New Roman" w:hAnsi="Times New Roman" w:cs="Times New Roman"/>
          <w:color w:val="FF0000"/>
          <w:sz w:val="20"/>
          <w:szCs w:val="20"/>
        </w:rPr>
        <w:t xml:space="preserve"> Available Technologies/Practices (BAT) supposedly being employed (Δs)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Nuisance by smell case</w:t>
      </w:r>
      <w:r>
        <w:rPr>
          <w:rFonts w:ascii="Times New Roman" w:eastAsia="Times New Roman" w:hAnsi="Times New Roman" w:cs="Times New Roman"/>
          <w:color w:val="FF0000"/>
          <w:sz w:val="20"/>
          <w:szCs w:val="20"/>
        </w:rPr>
        <w:t xml:space="preserve">, maybe some background health issues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Seeking damages and injunction of stove operation</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Must show substantial and unreasonable damage; “balancing the equiti</w:t>
      </w:r>
      <w:r>
        <w:rPr>
          <w:rFonts w:ascii="Times New Roman" w:eastAsia="Times New Roman" w:hAnsi="Times New Roman" w:cs="Times New Roman"/>
          <w:color w:val="FF0000"/>
          <w:sz w:val="20"/>
          <w:szCs w:val="20"/>
        </w:rPr>
        <w:t>es”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Utility of the conduct factors (pg. 776) (consider both utility to the individual and the community, but here only individualized utility)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Gravity of the harm factors (pg. 776)</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Nuisance, no injunction (may continue use) but required raise chimney b</w:t>
      </w:r>
      <w:r>
        <w:rPr>
          <w:rFonts w:ascii="Times New Roman" w:eastAsia="Times New Roman" w:hAnsi="Times New Roman" w:cs="Times New Roman"/>
          <w:color w:val="FF0000"/>
          <w:sz w:val="20"/>
          <w:szCs w:val="20"/>
        </w:rPr>
        <w:t>y 3 ft and burn only clean wood (historically raising smokestack height ineffective for most air pollutants, but here smell not pollution so arguably different)</w:t>
      </w:r>
    </w:p>
    <w:p w:rsidR="00E46D95" w:rsidRDefault="006F495B">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Weigh in favor of the Ps, meaning gravity of the harm greater than the utility – award damag</w:t>
      </w:r>
      <w:r>
        <w:rPr>
          <w:rFonts w:ascii="Times New Roman" w:eastAsia="Times New Roman" w:hAnsi="Times New Roman" w:cs="Times New Roman"/>
          <w:color w:val="FF0000"/>
          <w:sz w:val="20"/>
          <w:szCs w:val="20"/>
        </w:rPr>
        <w:t>es and injunction (lower court did not/would not award damages(?))</w:t>
      </w:r>
    </w:p>
    <w:p w:rsidR="00E46D95" w:rsidRDefault="006F495B">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Shouldn’t have to close windows; not eggshell skull rule, residents wanting to breath fresh air in their own home</w:t>
      </w:r>
    </w:p>
    <w:p w:rsidR="00E46D95" w:rsidRDefault="006F495B">
      <w:pPr>
        <w:numPr>
          <w:ilvl w:val="3"/>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D’s have alternative which is to use the house’s electric heat (utility in being “off the grid”/not burning “fossil fuels” not greater than gravity of the harm) – part of the balancing is can you avoid the harm (and below)</w:t>
      </w:r>
    </w:p>
    <w:p w:rsidR="00E46D95" w:rsidRDefault="006F495B">
      <w:pPr>
        <w:numPr>
          <w:ilvl w:val="3"/>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Gravity of the harm significant b</w:t>
      </w:r>
      <w:r>
        <w:rPr>
          <w:rFonts w:ascii="Times New Roman" w:eastAsia="Times New Roman" w:hAnsi="Times New Roman" w:cs="Times New Roman"/>
          <w:color w:val="FF0000"/>
          <w:sz w:val="20"/>
          <w:szCs w:val="20"/>
        </w:rPr>
        <w:t>ecause numerous people (chairman of the village board, police chief – local officials (experts local/minimal, smaller scale suit)) visited and confirmed smell; interfering with primary residence</w:t>
      </w:r>
    </w:p>
    <w:p w:rsidR="00E46D95" w:rsidRDefault="006F495B">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Nuisance examples (pg. 779, note b): Concerts, radiation, win</w:t>
      </w:r>
      <w:r>
        <w:rPr>
          <w:rFonts w:ascii="Times New Roman" w:eastAsia="Times New Roman" w:hAnsi="Times New Roman" w:cs="Times New Roman"/>
          <w:color w:val="FF0000"/>
          <w:sz w:val="20"/>
          <w:szCs w:val="20"/>
        </w:rPr>
        <w:t xml:space="preserve">dmill </w:t>
      </w:r>
    </w:p>
    <w:p w:rsidR="00E46D95" w:rsidRDefault="006F495B">
      <w:pPr>
        <w:ind w:left="2160" w:firstLine="720"/>
        <w:rPr>
          <w:rFonts w:ascii="Times New Roman" w:eastAsia="Times New Roman" w:hAnsi="Times New Roman" w:cs="Times New Roman"/>
          <w:color w:val="FF0000"/>
          <w:sz w:val="20"/>
          <w:szCs w:val="20"/>
        </w:rPr>
      </w:pPr>
      <w:r>
        <w:rPr>
          <w:rFonts w:ascii="Cardo" w:eastAsia="Cardo" w:hAnsi="Cardo" w:cs="Cardo"/>
          <w:color w:val="FF0000"/>
          <w:sz w:val="20"/>
          <w:szCs w:val="20"/>
        </w:rPr>
        <w:t>→ Nuisance predominantly air pollution cases (here smell, some air/health)</w:t>
      </w:r>
    </w:p>
    <w:p w:rsidR="00E46D95" w:rsidRDefault="006F495B">
      <w:pPr>
        <w:numPr>
          <w:ilvl w:val="1"/>
          <w:numId w:val="2"/>
        </w:numPr>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Moral nuisances (declared by statute, “nuisances per se” not nuisance in fact (CL)) – i.e. saloons, brothels; nuisance protects the average person of ordinary sensibilities (</w:t>
      </w:r>
      <w:r>
        <w:rPr>
          <w:rFonts w:ascii="Times New Roman" w:eastAsia="Times New Roman" w:hAnsi="Times New Roman" w:cs="Times New Roman"/>
          <w:color w:val="FF0000"/>
          <w:sz w:val="20"/>
          <w:szCs w:val="20"/>
        </w:rPr>
        <w:t>not egg shell skull, sensitive – CAA aims to protect those people but not nuisance law)</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Versailles Borough v. McKeesport Coal &amp; Coke Co. </w:t>
      </w:r>
      <w:r>
        <w:rPr>
          <w:rFonts w:ascii="Times New Roman" w:eastAsia="Times New Roman" w:hAnsi="Times New Roman" w:cs="Times New Roman"/>
          <w:color w:val="FF0000"/>
          <w:sz w:val="20"/>
          <w:szCs w:val="20"/>
          <w:shd w:val="clear" w:color="auto" w:fill="FFF2CC"/>
        </w:rPr>
        <w:t>(1935)</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Coal gob in mining practices in PA, catches fire, neighbors and Versailles Borough (municipality)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al</w:t>
      </w:r>
      <w:r>
        <w:rPr>
          <w:rFonts w:ascii="Times New Roman" w:eastAsia="Times New Roman" w:hAnsi="Times New Roman" w:cs="Times New Roman"/>
          <w:color w:val="FF0000"/>
          <w:sz w:val="20"/>
          <w:szCs w:val="20"/>
        </w:rPr>
        <w:t xml:space="preserve">lege nuisance per burning heat causing various health problems and aesthetic damage to property (COA)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Background: No/minimal earnings, likely lobbied reopening by state/city for employment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Public nuisance (for city?), private nuisance for landowners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Non-trespassory (line between trespass and nuisance, blurred by OR in </w:t>
      </w:r>
      <w:r>
        <w:rPr>
          <w:rFonts w:ascii="Times New Roman" w:eastAsia="Times New Roman" w:hAnsi="Times New Roman" w:cs="Times New Roman"/>
          <w:i/>
          <w:color w:val="FF0000"/>
          <w:sz w:val="20"/>
          <w:szCs w:val="20"/>
        </w:rPr>
        <w:t>Martin</w:t>
      </w:r>
      <w:r>
        <w:rPr>
          <w:rFonts w:ascii="Times New Roman" w:eastAsia="Times New Roman" w:hAnsi="Times New Roman" w:cs="Times New Roman"/>
          <w:color w:val="FF0000"/>
          <w:sz w:val="20"/>
          <w:szCs w:val="20"/>
        </w:rPr>
        <w:t xml:space="preserve">) invasion, intentional (know/should know, small bar), </w:t>
      </w:r>
      <w:r>
        <w:rPr>
          <w:rFonts w:ascii="Times New Roman" w:eastAsia="Times New Roman" w:hAnsi="Times New Roman" w:cs="Times New Roman"/>
          <w:color w:val="FF0000"/>
          <w:sz w:val="20"/>
          <w:szCs w:val="20"/>
          <w:u w:val="single"/>
        </w:rPr>
        <w:t>unreasonable (see bar to recovery)</w:t>
      </w:r>
      <w:r>
        <w:rPr>
          <w:rFonts w:ascii="Times New Roman" w:eastAsia="Times New Roman" w:hAnsi="Times New Roman" w:cs="Times New Roman"/>
          <w:color w:val="FF0000"/>
          <w:sz w:val="20"/>
          <w:szCs w:val="20"/>
        </w:rPr>
        <w:t>, substantial interference (another small bar) in the use and enjoyment of the land (</w:t>
      </w:r>
      <w:r>
        <w:rPr>
          <w:rFonts w:ascii="Times New Roman" w:eastAsia="Times New Roman" w:hAnsi="Times New Roman" w:cs="Times New Roman"/>
          <w:color w:val="FF0000"/>
          <w:sz w:val="20"/>
          <w:szCs w:val="20"/>
        </w:rPr>
        <w:t>see case/CB)</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“Unreasonable” – not a simple calculation, contextual, complicated, costly (stakes can be very high), and not able to be determined in advance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nuisance, more of an aesthetic annoyance (discounts health effects)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Employes balancing t</w:t>
      </w:r>
      <w:r>
        <w:rPr>
          <w:rFonts w:ascii="Times New Roman" w:eastAsia="Times New Roman" w:hAnsi="Times New Roman" w:cs="Times New Roman"/>
          <w:color w:val="FF0000"/>
          <w:sz w:val="20"/>
          <w:szCs w:val="20"/>
        </w:rPr>
        <w:t xml:space="preserve">est weighing utility of the conduct (here judge sides with utility of the conduct/harm) with gravity of the harm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Judge maintains probable/possible nuisance in favor of the benefit to the community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“Without smoke, Pittsburgh would remain a very pretty </w:t>
      </w:r>
      <w:r>
        <w:rPr>
          <w:rFonts w:ascii="Times New Roman" w:eastAsia="Times New Roman" w:hAnsi="Times New Roman" w:cs="Times New Roman"/>
          <w:color w:val="FF0000"/>
          <w:sz w:val="20"/>
          <w:szCs w:val="20"/>
        </w:rPr>
        <w:t>village,” need jobs (year 1935, Depression and trying to put people back in work)</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Health concern: Expert witnesses provided by both sides (judge believes D’s, likely had more access to costly experts), Ps really only offered own testimony, none of their ow</w:t>
      </w:r>
      <w:r>
        <w:rPr>
          <w:rFonts w:ascii="Times New Roman" w:eastAsia="Times New Roman" w:hAnsi="Times New Roman" w:cs="Times New Roman"/>
          <w:color w:val="FF0000"/>
          <w:sz w:val="20"/>
          <w:szCs w:val="20"/>
        </w:rPr>
        <w:t xml:space="preserve">n doctors, municipality didn’t offer gov’t health official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Injunction against coal company would be far more detrimental to the community – loss of jobs, gob piles industry standard so may be injurious to all of PA/beyond (positive externalities) </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M</w:t>
      </w:r>
      <w:r>
        <w:rPr>
          <w:rFonts w:ascii="Cardo" w:eastAsia="Cardo" w:hAnsi="Cardo" w:cs="Cardo"/>
          <w:color w:val="FF0000"/>
          <w:sz w:val="20"/>
          <w:szCs w:val="20"/>
        </w:rPr>
        <w:t>ay be alternative to shutting down per injunction (i.e. moving the gob piles – industry would have to scramble to find solution/alternative but could, doesn’t consider/give opportunity)</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“Dismissed with costs” (meaning Ps have to pay coal company’s legal</w:t>
      </w:r>
      <w:r>
        <w:rPr>
          <w:rFonts w:ascii="Times New Roman" w:eastAsia="Times New Roman" w:hAnsi="Times New Roman" w:cs="Times New Roman"/>
          <w:color w:val="FF0000"/>
          <w:sz w:val="20"/>
          <w:szCs w:val="20"/>
        </w:rPr>
        <w:t xml:space="preserve"> fees/costs (fee shifting common law) which could be high with expert witnesses), essentially saying doesn’t want to see anymore of these types of cases (often prevents frivolous suits)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Notable points by judge: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“Natural use of the land” – natural as in w</w:t>
      </w:r>
      <w:r>
        <w:rPr>
          <w:rFonts w:ascii="Times New Roman" w:eastAsia="Times New Roman" w:hAnsi="Times New Roman" w:cs="Times New Roman"/>
          <w:color w:val="FF0000"/>
          <w:sz w:val="20"/>
          <w:szCs w:val="20"/>
        </w:rPr>
        <w:t>ell-suited, Pitt/PA has a lot of coal and natural that would use in that way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Came to the nuisance (defense valuable to nuisance defendants)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 way of avoiding harm (debateable, doesn’t give a chance)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High benefit, low burden </w:t>
      </w:r>
    </w:p>
    <w:p w:rsidR="00E46D95" w:rsidRDefault="006F495B">
      <w:pPr>
        <w:ind w:left="2880"/>
        <w:rPr>
          <w:rFonts w:ascii="Times New Roman" w:eastAsia="Times New Roman" w:hAnsi="Times New Roman" w:cs="Times New Roman"/>
          <w:color w:val="FF0000"/>
          <w:sz w:val="20"/>
          <w:szCs w:val="20"/>
        </w:rPr>
      </w:pPr>
      <w:r>
        <w:rPr>
          <w:rFonts w:ascii="Cardo" w:eastAsia="Cardo" w:hAnsi="Cardo" w:cs="Cardo"/>
          <w:color w:val="FF0000"/>
          <w:sz w:val="20"/>
          <w:szCs w:val="20"/>
        </w:rPr>
        <w:t>→ Cumulatively point to no nuisance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Private Ps can allege public nuisance but standing hurdle, must allege “injury different in kind” from the rest of the public; didn’t have here because city joined the case</w:t>
      </w:r>
    </w:p>
    <w:p w:rsidR="00E46D95" w:rsidRDefault="006F495B">
      <w:pPr>
        <w:numPr>
          <w:ilvl w:val="1"/>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Martin v. Reynolds Metals Co. </w:t>
      </w:r>
      <w:r>
        <w:rPr>
          <w:rFonts w:ascii="Times New Roman" w:eastAsia="Times New Roman" w:hAnsi="Times New Roman" w:cs="Times New Roman"/>
          <w:color w:val="FF0000"/>
          <w:sz w:val="20"/>
          <w:szCs w:val="20"/>
          <w:shd w:val="clear" w:color="auto" w:fill="FFF2CC"/>
        </w:rPr>
        <w:t>(Supreme Court of</w:t>
      </w:r>
      <w:r>
        <w:rPr>
          <w:rFonts w:ascii="Times New Roman" w:eastAsia="Times New Roman" w:hAnsi="Times New Roman" w:cs="Times New Roman"/>
          <w:color w:val="FF0000"/>
          <w:sz w:val="20"/>
          <w:szCs w:val="20"/>
          <w:shd w:val="clear" w:color="auto" w:fill="FFF2CC"/>
        </w:rPr>
        <w:t xml:space="preserve"> Oregon, 1959)</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Cattle on neighboring ranch poisoned by aluminum (not visible to the human eye thought to produce “clean jobs”) from aluminum plant, no longer able to ranch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SOLs: Nuisance 2Y, trespass 6Y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Trespass based on particles crossing onto land; a situation in which may allege both trespass and nuisance – preference for nuisance because doesn’t require showing of injury, may request damages in addition to injunction, considered common law crime </w:t>
      </w:r>
      <w:r>
        <w:rPr>
          <w:rFonts w:ascii="Times New Roman" w:eastAsia="Times New Roman" w:hAnsi="Times New Roman" w:cs="Times New Roman"/>
          <w:color w:val="FF0000"/>
          <w:sz w:val="20"/>
          <w:szCs w:val="20"/>
        </w:rPr>
        <w:t>(v. civil claim)</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invasion by </w:t>
      </w:r>
      <w:r>
        <w:rPr>
          <w:rFonts w:ascii="Times New Roman" w:eastAsia="Times New Roman" w:hAnsi="Times New Roman" w:cs="Times New Roman"/>
          <w:i/>
          <w:color w:val="FF0000"/>
          <w:sz w:val="20"/>
          <w:szCs w:val="20"/>
        </w:rPr>
        <w:t>invisible particulates</w:t>
      </w:r>
      <w:r>
        <w:rPr>
          <w:rFonts w:ascii="Times New Roman" w:eastAsia="Times New Roman" w:hAnsi="Times New Roman" w:cs="Times New Roman"/>
          <w:color w:val="FF0000"/>
          <w:sz w:val="20"/>
          <w:szCs w:val="20"/>
        </w:rPr>
        <w:t xml:space="preserve"> is trespassory? If no, numerous defenses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Trespass, immaterial whether nuisance; direct invasion (v. indirect) so unnecessary to decide whether distinction(?) recognized in this state (pg. 9 </w:t>
      </w:r>
      <w:r>
        <w:rPr>
          <w:rFonts w:ascii="Times New Roman" w:eastAsia="Times New Roman" w:hAnsi="Times New Roman" w:cs="Times New Roman"/>
          <w:color w:val="FF0000"/>
          <w:sz w:val="20"/>
          <w:szCs w:val="20"/>
        </w:rPr>
        <w:t>of HO#7)</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Ray of light, atomic particles may constitute a trespass – change because of innovations in science (discovery of the atom, E= mc2 (mass = energy, changes understanding of things))</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How law evolved in mid 20th century in atomic age – pathbreak</w:t>
      </w:r>
      <w:r>
        <w:rPr>
          <w:rFonts w:ascii="Cardo" w:eastAsia="Cardo" w:hAnsi="Cardo" w:cs="Cardo"/>
          <w:color w:val="FF0000"/>
          <w:sz w:val="20"/>
          <w:szCs w:val="20"/>
        </w:rPr>
        <w:t>ing decision, legacy, SC rejects this decision</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Nuisance v. Trespass case – exclusive possession regarded for highly than use (nuisance)</w:t>
      </w:r>
    </w:p>
    <w:p w:rsidR="00E46D95" w:rsidRDefault="006F495B">
      <w:pPr>
        <w:numPr>
          <w:ilvl w:val="1"/>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Mark v. Oregon </w:t>
      </w:r>
      <w:r>
        <w:rPr>
          <w:rFonts w:ascii="Times New Roman" w:eastAsia="Times New Roman" w:hAnsi="Times New Roman" w:cs="Times New Roman"/>
          <w:color w:val="FF0000"/>
          <w:sz w:val="20"/>
          <w:szCs w:val="20"/>
          <w:shd w:val="clear" w:color="auto" w:fill="FFF2CC"/>
        </w:rPr>
        <w:t>(Court of Appeals of Oregon, 1999)</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Alleging public (must allege greater injury(?)) and private </w:t>
      </w:r>
      <w:r>
        <w:rPr>
          <w:rFonts w:ascii="Times New Roman" w:eastAsia="Times New Roman" w:hAnsi="Times New Roman" w:cs="Times New Roman"/>
          <w:color w:val="FF0000"/>
          <w:sz w:val="20"/>
          <w:szCs w:val="20"/>
        </w:rPr>
        <w:t>nuisance against the state, seeking injunctive relief</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Court of Nudity: Not illegal unless to arouse somebody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You can have a legal activity and still have a nuisance, i.e. farming</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didn’t they “come to the nuisance” – didn’t know of nudity (not lik</w:t>
      </w:r>
      <w:r>
        <w:rPr>
          <w:rFonts w:ascii="Times New Roman" w:eastAsia="Times New Roman" w:hAnsi="Times New Roman" w:cs="Times New Roman"/>
          <w:color w:val="FF0000"/>
          <w:sz w:val="20"/>
          <w:szCs w:val="20"/>
        </w:rPr>
        <w:t>e hypo bakery, potential defense)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Nuisance in that state allowing – injunction for policing of area and buffer to prevent Ps from seeing acts (avoid harm by fixing/moving so not so evident)</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Went back to court to remove “immoral” nuisance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Amphithea</w:t>
      </w:r>
      <w:r>
        <w:rPr>
          <w:rFonts w:ascii="Times New Roman" w:eastAsia="Times New Roman" w:hAnsi="Times New Roman" w:cs="Times New Roman"/>
          <w:i/>
          <w:color w:val="FF0000"/>
          <w:sz w:val="20"/>
          <w:szCs w:val="20"/>
        </w:rPr>
        <w:t>ters v. Portland Meadows</w:t>
      </w:r>
      <w:r>
        <w:rPr>
          <w:rFonts w:ascii="Times New Roman" w:eastAsia="Times New Roman" w:hAnsi="Times New Roman" w:cs="Times New Roman"/>
          <w:color w:val="FF0000"/>
          <w:sz w:val="20"/>
          <w:szCs w:val="20"/>
        </w:rPr>
        <w:t xml:space="preserve"> – light from night racetrack harming neighboring drive-in theater, court held no nuisance because light is natural </w:t>
      </w:r>
      <w:r>
        <w:rPr>
          <w:rFonts w:ascii="Times New Roman" w:eastAsia="Times New Roman" w:hAnsi="Times New Roman" w:cs="Times New Roman"/>
          <w:i/>
          <w:color w:val="FF0000"/>
          <w:sz w:val="20"/>
          <w:szCs w:val="20"/>
        </w:rPr>
        <w:t xml:space="preserve">and </w:t>
      </w:r>
      <w:r>
        <w:rPr>
          <w:rFonts w:ascii="Times New Roman" w:eastAsia="Times New Roman" w:hAnsi="Times New Roman" w:cs="Times New Roman"/>
          <w:color w:val="FF0000"/>
          <w:sz w:val="20"/>
          <w:szCs w:val="20"/>
        </w:rPr>
        <w:t>drive-in ultra-sensitive business (only protect average person of ordinary sensibilities, no egg shell skull)</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w:t>
      </w:r>
      <w:r>
        <w:rPr>
          <w:rFonts w:ascii="Times New Roman" w:eastAsia="Times New Roman" w:hAnsi="Times New Roman" w:cs="Times New Roman"/>
          <w:color w:val="FF0000"/>
          <w:sz w:val="20"/>
          <w:szCs w:val="20"/>
        </w:rPr>
        <w:t xml:space="preserve">te 1 (immoral nuisances), note 2 public nuisance higher standard to preserve that intended for public officials so only those who suffer special injury may use (though </w:t>
      </w:r>
      <w:r>
        <w:rPr>
          <w:rFonts w:ascii="Times New Roman" w:eastAsia="Times New Roman" w:hAnsi="Times New Roman" w:cs="Times New Roman"/>
          <w:i/>
          <w:color w:val="FF0000"/>
          <w:sz w:val="20"/>
          <w:szCs w:val="20"/>
        </w:rPr>
        <w:t>Exxon-Valdez</w:t>
      </w:r>
      <w:r>
        <w:rPr>
          <w:rFonts w:ascii="Times New Roman" w:eastAsia="Times New Roman" w:hAnsi="Times New Roman" w:cs="Times New Roman"/>
          <w:color w:val="FF0000"/>
          <w:sz w:val="20"/>
          <w:szCs w:val="20"/>
        </w:rPr>
        <w:t xml:space="preserve"> could not allege public nuisance, rejected, could still allege public nuisa</w:t>
      </w:r>
      <w:r>
        <w:rPr>
          <w:rFonts w:ascii="Times New Roman" w:eastAsia="Times New Roman" w:hAnsi="Times New Roman" w:cs="Times New Roman"/>
          <w:color w:val="FF0000"/>
          <w:sz w:val="20"/>
          <w:szCs w:val="20"/>
        </w:rPr>
        <w:t>nce)</w:t>
      </w:r>
    </w:p>
    <w:p w:rsidR="00E46D95" w:rsidRDefault="006F495B">
      <w:pPr>
        <w:ind w:left="2160"/>
        <w:rPr>
          <w:rFonts w:ascii="Times New Roman" w:eastAsia="Times New Roman" w:hAnsi="Times New Roman" w:cs="Times New Roman"/>
          <w:sz w:val="20"/>
          <w:szCs w:val="20"/>
        </w:rPr>
      </w:pPr>
      <w:r>
        <w:rPr>
          <w:rFonts w:ascii="Cardo" w:eastAsia="Cardo" w:hAnsi="Cardo" w:cs="Cardo"/>
          <w:color w:val="FF0000"/>
          <w:sz w:val="20"/>
          <w:szCs w:val="20"/>
        </w:rPr>
        <w:t>→ Clearest case for stopping alleged nuisance is trespass case; nuisance cases hard to predict, difficult for Ps because have to prove substantially and unreasonably interfering (not easy, expensive and takes time), nuisance law quite unsatisfactory in res</w:t>
      </w:r>
      <w:r>
        <w:rPr>
          <w:rFonts w:ascii="Cardo" w:eastAsia="Cardo" w:hAnsi="Cardo" w:cs="Cardo"/>
          <w:color w:val="FF0000"/>
          <w:sz w:val="20"/>
          <w:szCs w:val="20"/>
        </w:rPr>
        <w:t xml:space="preserve">olving completely land uses quickly and fairly also expensive; antidote to nuisance is zoning and environmental regulation (next two sections (after beaches)), both build upon and try to overcome problems with zoning(?) </w:t>
      </w:r>
    </w:p>
    <w:p w:rsidR="00E46D95" w:rsidRDefault="006F495B">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Private Land Use</w:t>
      </w:r>
    </w:p>
    <w:p w:rsidR="00E46D95" w:rsidRDefault="006F495B">
      <w:pPr>
        <w:numPr>
          <w:ilvl w:val="1"/>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Usufructuary right</w:t>
      </w:r>
      <w:r>
        <w:rPr>
          <w:rFonts w:ascii="Times New Roman" w:eastAsia="Times New Roman" w:hAnsi="Times New Roman" w:cs="Times New Roman"/>
          <w:color w:val="FF00FF"/>
          <w:sz w:val="20"/>
          <w:szCs w:val="20"/>
        </w:rPr>
        <w:t>s – non-possessory use rights (i.e. easements = not possessory, right to use land for that purpose and only that purpose)</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Provided zoning-like (zoning = 20th century idea) rights for centuries</w:t>
      </w:r>
    </w:p>
    <w:p w:rsidR="00E46D95" w:rsidRDefault="006F495B">
      <w:pPr>
        <w:numPr>
          <w:ilvl w:val="1"/>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Balancing between productive use of land and forfeiture of right to exclude – mostly consensual arrangements, these non-consensual (cases in readings) exceptional</w:t>
      </w:r>
    </w:p>
    <w:p w:rsidR="00E46D95" w:rsidRDefault="006F495B">
      <w:pPr>
        <w:numPr>
          <w:ilvl w:val="1"/>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Three areas dealing with balance problem:</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Easements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Land Use Restrictions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Nuisance Law – the </w:t>
      </w:r>
      <w:r>
        <w:rPr>
          <w:rFonts w:ascii="Times New Roman" w:eastAsia="Times New Roman" w:hAnsi="Times New Roman" w:cs="Times New Roman"/>
          <w:color w:val="FF00FF"/>
          <w:sz w:val="20"/>
          <w:szCs w:val="20"/>
        </w:rPr>
        <w:t>law of neighbors (v. law of trespassers)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Easements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Special terminology: (pg. 667)</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Dominant estate – land benefited by the easement</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Servient tenement/land – land where easement located</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Appurtenant easements (connected land) v. in gross easements (not connec</w:t>
      </w:r>
      <w:r>
        <w:rPr>
          <w:rFonts w:ascii="Times New Roman" w:eastAsia="Times New Roman" w:hAnsi="Times New Roman" w:cs="Times New Roman"/>
          <w:color w:val="FF00FF"/>
          <w:sz w:val="20"/>
          <w:szCs w:val="20"/>
        </w:rPr>
        <w:t>ted to the holder’s use of any particular land, personal to the owner) – to distinguish must know who benefits(?)</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Appurtenant – automatically transferred with sale (don’t have to worry about in gross)</w:t>
      </w:r>
    </w:p>
    <w:p w:rsidR="00E46D95" w:rsidRDefault="006F495B">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FF"/>
          <w:sz w:val="20"/>
          <w:szCs w:val="20"/>
        </w:rPr>
        <w:t>Easement in gross: i.e. Commercial easements, gravel/ti</w:t>
      </w:r>
      <w:r>
        <w:rPr>
          <w:rFonts w:ascii="Times New Roman" w:eastAsia="Times New Roman" w:hAnsi="Times New Roman" w:cs="Times New Roman"/>
          <w:color w:val="FF00FF"/>
          <w:sz w:val="20"/>
          <w:szCs w:val="20"/>
        </w:rPr>
        <w:t xml:space="preserve">mber harvest easement that didn’t mentioned appurtenant dominant estate </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Affirmative v. negative easement (initially considered anti-developmental (against public policy) and limited in recognition; </w:t>
      </w:r>
      <w:r>
        <w:rPr>
          <w:rFonts w:ascii="Times New Roman" w:eastAsia="Times New Roman" w:hAnsi="Times New Roman" w:cs="Times New Roman"/>
          <w:i/>
          <w:color w:val="FF00FF"/>
          <w:sz w:val="20"/>
          <w:szCs w:val="20"/>
        </w:rPr>
        <w:t>but</w:t>
      </w:r>
      <w:r>
        <w:rPr>
          <w:rFonts w:ascii="Times New Roman" w:eastAsia="Times New Roman" w:hAnsi="Times New Roman" w:cs="Times New Roman"/>
          <w:color w:val="FF00FF"/>
          <w:sz w:val="20"/>
          <w:szCs w:val="20"/>
        </w:rPr>
        <w:t xml:space="preserve"> increasingly recognized in last 30-40 years)</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Restatem</w:t>
      </w:r>
      <w:r>
        <w:rPr>
          <w:rFonts w:ascii="Times New Roman" w:eastAsia="Times New Roman" w:hAnsi="Times New Roman" w:cs="Times New Roman"/>
          <w:color w:val="FF00FF"/>
          <w:sz w:val="20"/>
          <w:szCs w:val="20"/>
        </w:rPr>
        <w:t>ent attempting to simplify, law has become unnecessarily confusing</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Express easements (most, written, 4 below unwritten)</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Creating easements: (pg. 668)</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Express easement by grant</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Express easement by reservation </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For express, must satisfy SOF (pg. 668)</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Note b,</w:t>
      </w:r>
      <w:r>
        <w:rPr>
          <w:rFonts w:ascii="Times New Roman" w:eastAsia="Times New Roman" w:hAnsi="Times New Roman" w:cs="Times New Roman"/>
          <w:color w:val="FF00FF"/>
          <w:sz w:val="20"/>
          <w:szCs w:val="20"/>
        </w:rPr>
        <w:t xml:space="preserve"> Easement or Profit (pg. 671); profit – a right to enter the land of another to remove minerals, gravel, timber, game, or other natural resources (broader than easement because right to go on land is easement </w:t>
      </w:r>
      <w:r>
        <w:rPr>
          <w:rFonts w:ascii="Times New Roman" w:eastAsia="Times New Roman" w:hAnsi="Times New Roman" w:cs="Times New Roman"/>
          <w:i/>
          <w:color w:val="FF00FF"/>
          <w:sz w:val="20"/>
          <w:szCs w:val="20"/>
        </w:rPr>
        <w:t xml:space="preserve">plus </w:t>
      </w:r>
      <w:r>
        <w:rPr>
          <w:rFonts w:ascii="Times New Roman" w:eastAsia="Times New Roman" w:hAnsi="Times New Roman" w:cs="Times New Roman"/>
          <w:color w:val="FF00FF"/>
          <w:sz w:val="20"/>
          <w:szCs w:val="20"/>
        </w:rPr>
        <w:t>right to take i.e. foxes)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Implied Easement</w:t>
      </w:r>
      <w:r>
        <w:rPr>
          <w:rFonts w:ascii="Times New Roman" w:eastAsia="Times New Roman" w:hAnsi="Times New Roman" w:cs="Times New Roman"/>
          <w:color w:val="FF00FF"/>
          <w:sz w:val="20"/>
          <w:szCs w:val="20"/>
        </w:rPr>
        <w:t xml:space="preserve"> for prior use</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Easement by necessity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Prescriptive easement</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Easement by estoppel (or irrevocable license (if saying irrevocable, saying not a license because a license is revocable))</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Note e, pg. 713: Other Methods of Termination</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Condemnation</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Estoppel</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Merger</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Misuse</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Release</w:t>
      </w:r>
    </w:p>
    <w:p w:rsidR="00E46D95" w:rsidRDefault="006F495B">
      <w:pPr>
        <w:numPr>
          <w:ilvl w:val="1"/>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Negative Easements – an easement that entitles the dominant owner to prevent the servient owner from performing an act on the servient land</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Note </w:t>
      </w:r>
      <w:r>
        <w:rPr>
          <w:rFonts w:ascii="Times New Roman" w:eastAsia="Times New Roman" w:hAnsi="Times New Roman" w:cs="Times New Roman"/>
          <w:i/>
          <w:color w:val="FF00FF"/>
          <w:sz w:val="20"/>
          <w:szCs w:val="20"/>
        </w:rPr>
        <w:t>Petersen v. Friedman</w:t>
      </w:r>
      <w:r>
        <w:rPr>
          <w:rFonts w:ascii="Times New Roman" w:eastAsia="Times New Roman" w:hAnsi="Times New Roman" w:cs="Times New Roman"/>
          <w:color w:val="FF00FF"/>
          <w:sz w:val="20"/>
          <w:szCs w:val="20"/>
        </w:rPr>
        <w:t xml:space="preserve"> (pg. 715) – broadening common law (fewer limits on negative easement</w:t>
      </w:r>
      <w:r>
        <w:rPr>
          <w:rFonts w:ascii="Times New Roman" w:eastAsia="Times New Roman" w:hAnsi="Times New Roman" w:cs="Times New Roman"/>
          <w:color w:val="FF00FF"/>
          <w:sz w:val="20"/>
          <w:szCs w:val="20"/>
        </w:rPr>
        <w:t xml:space="preserve">s) as value seen in private restrictions as may encourage productive land use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Note </w:t>
      </w:r>
      <w:r>
        <w:rPr>
          <w:rFonts w:ascii="Times New Roman" w:eastAsia="Times New Roman" w:hAnsi="Times New Roman" w:cs="Times New Roman"/>
          <w:i/>
          <w:color w:val="FF00FF"/>
          <w:sz w:val="20"/>
          <w:szCs w:val="20"/>
        </w:rPr>
        <w:t>Bjork v. Draper</w:t>
      </w:r>
      <w:r>
        <w:rPr>
          <w:rFonts w:ascii="Times New Roman" w:eastAsia="Times New Roman" w:hAnsi="Times New Roman" w:cs="Times New Roman"/>
          <w:color w:val="FF00FF"/>
          <w:sz w:val="20"/>
          <w:szCs w:val="20"/>
        </w:rPr>
        <w:t xml:space="preserve"> (pg. 715) – interpreted </w:t>
      </w:r>
      <w:r>
        <w:rPr>
          <w:rFonts w:ascii="Times New Roman" w:eastAsia="Times New Roman" w:hAnsi="Times New Roman" w:cs="Times New Roman"/>
          <w:i/>
          <w:color w:val="FF00FF"/>
          <w:sz w:val="20"/>
          <w:szCs w:val="20"/>
        </w:rPr>
        <w:t>conservation easement</w:t>
      </w:r>
      <w:r>
        <w:rPr>
          <w:rFonts w:ascii="Times New Roman" w:eastAsia="Times New Roman" w:hAnsi="Times New Roman" w:cs="Times New Roman"/>
          <w:color w:val="FF00FF"/>
          <w:sz w:val="20"/>
          <w:szCs w:val="20"/>
        </w:rPr>
        <w:t xml:space="preserve"> narrowly to prevent amendment (wouldn’t be consistent)</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Conservation easements challenged because long-lived, a</w:t>
      </w:r>
      <w:r>
        <w:rPr>
          <w:rFonts w:ascii="Times New Roman" w:eastAsia="Times New Roman" w:hAnsi="Times New Roman" w:cs="Times New Roman"/>
          <w:color w:val="FF00FF"/>
          <w:sz w:val="20"/>
          <w:szCs w:val="20"/>
        </w:rPr>
        <w:t>like creation of perpetuity, a negative right that burdens estate that no doubt in fee (so controversial, criticism of)</w:t>
      </w:r>
    </w:p>
    <w:p w:rsidR="00E46D95" w:rsidRDefault="006F495B">
      <w:pPr>
        <w:numPr>
          <w:ilvl w:val="1"/>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Easement, elements: (1) Intent, (2) notice</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FF"/>
          <w:sz w:val="20"/>
          <w:szCs w:val="20"/>
        </w:rPr>
        <w:t xml:space="preserve">Real </w:t>
      </w:r>
      <w:r>
        <w:rPr>
          <w:rFonts w:ascii="Times New Roman" w:eastAsia="Times New Roman" w:hAnsi="Times New Roman" w:cs="Times New Roman"/>
          <w:sz w:val="20"/>
          <w:szCs w:val="20"/>
        </w:rPr>
        <w:t xml:space="preserve">Covenants </w:t>
      </w:r>
      <w:r>
        <w:rPr>
          <w:rFonts w:ascii="Times New Roman" w:eastAsia="Times New Roman" w:hAnsi="Times New Roman" w:cs="Times New Roman"/>
          <w:color w:val="FF00FF"/>
          <w:sz w:val="20"/>
          <w:szCs w:val="20"/>
        </w:rPr>
        <w:t>at Law</w:t>
      </w:r>
      <w:r>
        <w:rPr>
          <w:rFonts w:ascii="Times New Roman" w:eastAsia="Times New Roman" w:hAnsi="Times New Roman" w:cs="Times New Roman"/>
          <w:sz w:val="20"/>
          <w:szCs w:val="20"/>
        </w:rPr>
        <w:t xml:space="preserve"> </w:t>
      </w:r>
      <w:r>
        <w:rPr>
          <w:rFonts w:ascii="Times New Roman" w:eastAsia="Times New Roman" w:hAnsi="Times New Roman" w:cs="Times New Roman"/>
          <w:color w:val="FF00FF"/>
          <w:sz w:val="20"/>
          <w:szCs w:val="20"/>
        </w:rPr>
        <w:t>– promises respecting the land to i.e. build/not build a billboard; ele</w:t>
      </w:r>
      <w:r>
        <w:rPr>
          <w:rFonts w:ascii="Times New Roman" w:eastAsia="Times New Roman" w:hAnsi="Times New Roman" w:cs="Times New Roman"/>
          <w:color w:val="FF00FF"/>
          <w:sz w:val="20"/>
          <w:szCs w:val="20"/>
        </w:rPr>
        <w:t xml:space="preserve">ments: (1) Intent, (2) notice, (3) touch and concern, (4) privity (horizontal and vertical)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Tied to the remedy that’s sought, here money damages (equitable servitude = injunctive relief)</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Don’t know whether real covenant or equitable servitude unless know </w:t>
      </w:r>
      <w:r>
        <w:rPr>
          <w:rFonts w:ascii="Times New Roman" w:eastAsia="Times New Roman" w:hAnsi="Times New Roman" w:cs="Times New Roman"/>
          <w:color w:val="FF00FF"/>
          <w:sz w:val="20"/>
          <w:szCs w:val="20"/>
        </w:rPr>
        <w:t>remedy sought (varies by jurisdiction)</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Initially covenants believed to be anti-developmental (against public policy, traditional common law sometimes refused enforcement); value increasingly seen, being enforced</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Elements, explained: (pg. 717)</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(2) Intent [t</w:t>
      </w:r>
      <w:r>
        <w:rPr>
          <w:rFonts w:ascii="Times New Roman" w:eastAsia="Times New Roman" w:hAnsi="Times New Roman" w:cs="Times New Roman"/>
          <w:color w:val="FF00FF"/>
          <w:sz w:val="20"/>
          <w:szCs w:val="20"/>
        </w:rPr>
        <w:t xml:space="preserve">o bind successors] – “to my heirs and assigns,” etc. (not required, but sure thing if included); easy to show </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(4) Notice – record it </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(3) Touch and concern – land use restrictions almost always touch and concern land </w:t>
      </w:r>
      <w:r>
        <w:rPr>
          <w:rFonts w:ascii="Times New Roman" w:eastAsia="Times New Roman" w:hAnsi="Times New Roman" w:cs="Times New Roman"/>
          <w:i/>
          <w:color w:val="FF00FF"/>
          <w:sz w:val="20"/>
          <w:szCs w:val="20"/>
        </w:rPr>
        <w:t>except</w:t>
      </w:r>
      <w:r>
        <w:rPr>
          <w:rFonts w:ascii="Times New Roman" w:eastAsia="Times New Roman" w:hAnsi="Times New Roman" w:cs="Times New Roman"/>
          <w:color w:val="FF00FF"/>
          <w:sz w:val="20"/>
          <w:szCs w:val="20"/>
        </w:rPr>
        <w:t xml:space="preserve"> purely monetary obligations</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(5)</w:t>
      </w:r>
      <w:r>
        <w:rPr>
          <w:rFonts w:ascii="Times New Roman" w:eastAsia="Times New Roman" w:hAnsi="Times New Roman" w:cs="Times New Roman"/>
          <w:color w:val="FF00FF"/>
          <w:sz w:val="20"/>
          <w:szCs w:val="20"/>
        </w:rPr>
        <w:t xml:space="preserve"> Horizontal privity – looks at original parties to the agreement and evaluates their relationship to each other (English law, very limited to LL and tenants; American law, expanded to include nearly all grantors and grantees); note neighboring owners who a</w:t>
      </w:r>
      <w:r>
        <w:rPr>
          <w:rFonts w:ascii="Times New Roman" w:eastAsia="Times New Roman" w:hAnsi="Times New Roman" w:cs="Times New Roman"/>
          <w:color w:val="FF00FF"/>
          <w:sz w:val="20"/>
          <w:szCs w:val="20"/>
        </w:rPr>
        <w:t xml:space="preserve">gree to a restriction that do not have an interest in each other’s party apart from this agreement are not in a grantor-grantee relationship (just agreeing to be bound) and they </w:t>
      </w:r>
      <w:r>
        <w:rPr>
          <w:rFonts w:ascii="Times New Roman" w:eastAsia="Times New Roman" w:hAnsi="Times New Roman" w:cs="Times New Roman"/>
          <w:i/>
          <w:color w:val="FF00FF"/>
          <w:sz w:val="20"/>
          <w:szCs w:val="20"/>
        </w:rPr>
        <w:t xml:space="preserve">don’t </w:t>
      </w:r>
      <w:r>
        <w:rPr>
          <w:rFonts w:ascii="Times New Roman" w:eastAsia="Times New Roman" w:hAnsi="Times New Roman" w:cs="Times New Roman"/>
          <w:color w:val="FF00FF"/>
          <w:sz w:val="20"/>
          <w:szCs w:val="20"/>
        </w:rPr>
        <w:t xml:space="preserve"> have horizontal privity… </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Mutual interests</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Successive interests</w:t>
      </w:r>
    </w:p>
    <w:p w:rsidR="00E46D95" w:rsidRDefault="006F495B">
      <w:pPr>
        <w:numPr>
          <w:ilvl w:val="4"/>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 requ</w:t>
      </w:r>
      <w:r>
        <w:rPr>
          <w:rFonts w:ascii="Times New Roman" w:eastAsia="Times New Roman" w:hAnsi="Times New Roman" w:cs="Times New Roman"/>
          <w:color w:val="FF00FF"/>
          <w:sz w:val="20"/>
          <w:szCs w:val="20"/>
        </w:rPr>
        <w:t xml:space="preserve">irement </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(6) Vertical privity – not interpreted rigorously, if some type of successor have vertical privity (ran into in AP, tacking, differences between sublease and assignment)</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Requirements to enforce covenants at all (pg. 718-719)</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Restatement combines equitable servitudes and real covenants at law (ridding of privity(?), keeping touch and concern(?)</w:t>
      </w:r>
    </w:p>
    <w:p w:rsidR="00E46D95" w:rsidRDefault="006F495B">
      <w:pPr>
        <w:ind w:left="2160"/>
        <w:rPr>
          <w:rFonts w:ascii="Times New Roman" w:eastAsia="Times New Roman" w:hAnsi="Times New Roman" w:cs="Times New Roman"/>
          <w:color w:val="FF00FF"/>
          <w:sz w:val="20"/>
          <w:szCs w:val="20"/>
        </w:rPr>
      </w:pPr>
      <w:r>
        <w:rPr>
          <w:rFonts w:ascii="Cardo" w:eastAsia="Cardo" w:hAnsi="Cardo" w:cs="Cardo"/>
          <w:color w:val="FF00FF"/>
          <w:sz w:val="20"/>
          <w:szCs w:val="20"/>
        </w:rPr>
        <w:t>→ Don’t know whether real covenant at law or equitable servitude until know what being sought (i.e. damages or injunction) – if both, m</w:t>
      </w:r>
      <w:r>
        <w:rPr>
          <w:rFonts w:ascii="Cardo" w:eastAsia="Cardo" w:hAnsi="Cardo" w:cs="Cardo"/>
          <w:color w:val="FF00FF"/>
          <w:sz w:val="20"/>
          <w:szCs w:val="20"/>
        </w:rPr>
        <w:t>ust prove both but injunction will be easier to win (don’t need to prove/show privity)</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“Touch and concern” – economically important usually sufficient to establish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Neighbors could have horizontal privity if another interest (i.e. another right of way easement) (already burdened, can burden some more) but usually don’t </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Common Interest Communities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Common Interest Communities (CICs) usually created by a declaration (a </w:t>
      </w:r>
      <w:r>
        <w:rPr>
          <w:rFonts w:ascii="Times New Roman" w:eastAsia="Times New Roman" w:hAnsi="Times New Roman" w:cs="Times New Roman"/>
          <w:color w:val="FF00FF"/>
          <w:sz w:val="20"/>
          <w:szCs w:val="20"/>
        </w:rPr>
        <w:t>written instrument) containing: (1) Homeowners association, (2) CC&amp;Rs, (3) assessments, (4) ownership rights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What are you buying into when entering/joining a CIC? – Looks like a tenancy in common (not joint or shared) or fee simple, common areas are held i</w:t>
      </w:r>
      <w:r>
        <w:rPr>
          <w:rFonts w:ascii="Times New Roman" w:eastAsia="Times New Roman" w:hAnsi="Times New Roman" w:cs="Times New Roman"/>
          <w:color w:val="FF00FF"/>
          <w:sz w:val="20"/>
          <w:szCs w:val="20"/>
        </w:rPr>
        <w:t xml:space="preserve">n a tenancy in common (TIC) i.e. exterior of the community may be owned by the CIC and/or i.e. by HOA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How much deference do these HOAs receive? (theme of materials today)</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Defenses to enforcement of CC&amp;Rs (covenants...) – whether reasonable, abandoned, or </w:t>
      </w:r>
      <w:r>
        <w:rPr>
          <w:rFonts w:ascii="Times New Roman" w:eastAsia="Times New Roman" w:hAnsi="Times New Roman" w:cs="Times New Roman"/>
          <w:color w:val="FF00FF"/>
          <w:sz w:val="20"/>
          <w:szCs w:val="20"/>
        </w:rPr>
        <w:t>conditions have changed sufficiently so that they shouldn’t be enforced</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Hypo, Property (v. Constitutional) rationale for not enforcing: “Unreasonable” constraint on alienation, “touch and concern” for running of equitable servitudes</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Rare case, few federal </w:t>
      </w:r>
      <w:r>
        <w:rPr>
          <w:rFonts w:ascii="Times New Roman" w:eastAsia="Times New Roman" w:hAnsi="Times New Roman" w:cs="Times New Roman"/>
          <w:color w:val="FF00FF"/>
          <w:sz w:val="20"/>
          <w:szCs w:val="20"/>
        </w:rPr>
        <w:t>cases stretch state action (may be of use in some states), Constitution limits gov’ts not private institutions</w:t>
      </w:r>
    </w:p>
    <w:p w:rsidR="00E46D95" w:rsidRDefault="006F495B">
      <w:pPr>
        <w:numPr>
          <w:ilvl w:val="3"/>
          <w:numId w:val="2"/>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 xml:space="preserve">But </w:t>
      </w:r>
      <w:r>
        <w:rPr>
          <w:rFonts w:ascii="Times New Roman" w:eastAsia="Times New Roman" w:hAnsi="Times New Roman" w:cs="Times New Roman"/>
          <w:color w:val="FF00FF"/>
          <w:sz w:val="20"/>
          <w:szCs w:val="20"/>
        </w:rPr>
        <w:t xml:space="preserve">Fair Housing Act </w:t>
      </w:r>
      <w:r>
        <w:rPr>
          <w:rFonts w:ascii="Times New Roman" w:eastAsia="Times New Roman" w:hAnsi="Times New Roman" w:cs="Times New Roman"/>
          <w:i/>
          <w:color w:val="FF00FF"/>
          <w:sz w:val="20"/>
          <w:szCs w:val="20"/>
        </w:rPr>
        <w:t>can</w:t>
      </w:r>
      <w:r>
        <w:rPr>
          <w:rFonts w:ascii="Times New Roman" w:eastAsia="Times New Roman" w:hAnsi="Times New Roman" w:cs="Times New Roman"/>
          <w:color w:val="FF00FF"/>
          <w:sz w:val="20"/>
          <w:szCs w:val="20"/>
        </w:rPr>
        <w:t xml:space="preserve"> reach private individuals – about fostering liberty not restraining </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Note: </w:t>
      </w:r>
      <w:r>
        <w:rPr>
          <w:rFonts w:ascii="Times New Roman" w:eastAsia="Times New Roman" w:hAnsi="Times New Roman" w:cs="Times New Roman"/>
          <w:i/>
          <w:color w:val="FF00FF"/>
          <w:sz w:val="20"/>
          <w:szCs w:val="20"/>
        </w:rPr>
        <w:t xml:space="preserve">Western Land Co. v. Truskolaski </w:t>
      </w:r>
      <w:r>
        <w:rPr>
          <w:rFonts w:ascii="Times New Roman" w:eastAsia="Times New Roman" w:hAnsi="Times New Roman" w:cs="Times New Roman"/>
          <w:color w:val="FF00FF"/>
          <w:sz w:val="20"/>
          <w:szCs w:val="20"/>
        </w:rPr>
        <w:t>– no abandonm</w:t>
      </w:r>
      <w:r>
        <w:rPr>
          <w:rFonts w:ascii="Times New Roman" w:eastAsia="Times New Roman" w:hAnsi="Times New Roman" w:cs="Times New Roman"/>
          <w:color w:val="FF00FF"/>
          <w:sz w:val="20"/>
          <w:szCs w:val="20"/>
        </w:rPr>
        <w:t xml:space="preserve">ent where just a few violations; </w:t>
      </w:r>
      <w:r>
        <w:rPr>
          <w:rFonts w:ascii="Times New Roman" w:eastAsia="Times New Roman" w:hAnsi="Times New Roman" w:cs="Times New Roman"/>
          <w:i/>
          <w:color w:val="FF00FF"/>
          <w:sz w:val="20"/>
          <w:szCs w:val="20"/>
        </w:rPr>
        <w:t>Travasos v. Stoma</w:t>
      </w:r>
      <w:r>
        <w:rPr>
          <w:rFonts w:ascii="Times New Roman" w:eastAsia="Times New Roman" w:hAnsi="Times New Roman" w:cs="Times New Roman"/>
          <w:color w:val="FF00FF"/>
          <w:sz w:val="20"/>
          <w:szCs w:val="20"/>
        </w:rPr>
        <w:t xml:space="preserve"> (no abandoned where not visible (re: No notice/not evident)</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Nuisance</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Nuisance v. Trespass (re </w:t>
      </w:r>
      <w:r>
        <w:rPr>
          <w:rFonts w:ascii="Times New Roman" w:eastAsia="Times New Roman" w:hAnsi="Times New Roman" w:cs="Times New Roman"/>
          <w:i/>
          <w:color w:val="FF00FF"/>
          <w:sz w:val="20"/>
          <w:szCs w:val="20"/>
        </w:rPr>
        <w:t>Jacque v. Steenberg Homes</w:t>
      </w:r>
      <w:r>
        <w:rPr>
          <w:rFonts w:ascii="Times New Roman" w:eastAsia="Times New Roman" w:hAnsi="Times New Roman" w:cs="Times New Roman"/>
          <w:color w:val="FF00FF"/>
          <w:sz w:val="20"/>
          <w:szCs w:val="20"/>
        </w:rPr>
        <w:t xml:space="preserve">, </w:t>
      </w:r>
      <w:r>
        <w:rPr>
          <w:rFonts w:ascii="Times New Roman" w:eastAsia="Times New Roman" w:hAnsi="Times New Roman" w:cs="Times New Roman"/>
          <w:i/>
          <w:color w:val="FF00FF"/>
          <w:sz w:val="20"/>
          <w:szCs w:val="20"/>
        </w:rPr>
        <w:t>State v. Shack</w:t>
      </w:r>
      <w:r>
        <w:rPr>
          <w:rFonts w:ascii="Times New Roman" w:eastAsia="Times New Roman" w:hAnsi="Times New Roman" w:cs="Times New Roman"/>
          <w:color w:val="FF00FF"/>
          <w:sz w:val="20"/>
          <w:szCs w:val="20"/>
        </w:rPr>
        <w:t>)</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Trespass COA is alike strict liability (no showing of damage require</w:t>
      </w:r>
      <w:r>
        <w:rPr>
          <w:rFonts w:ascii="Times New Roman" w:eastAsia="Times New Roman" w:hAnsi="Times New Roman" w:cs="Times New Roman"/>
          <w:color w:val="FF00FF"/>
          <w:sz w:val="20"/>
          <w:szCs w:val="20"/>
        </w:rPr>
        <w:t>d) – protection exclusive possession</w:t>
      </w:r>
    </w:p>
    <w:p w:rsidR="00E46D95" w:rsidRDefault="006F495B">
      <w:pPr>
        <w:numPr>
          <w:ilvl w:val="3"/>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Nuisance – protecting use and enjoyment (must show damage and fault)</w:t>
      </w:r>
    </w:p>
    <w:p w:rsidR="00E46D95" w:rsidRDefault="006F495B">
      <w:pPr>
        <w:numPr>
          <w:ilvl w:val="2"/>
          <w:numId w:val="2"/>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“Came to the nuisance” – almost suredly won’t get money relief</w:t>
      </w:r>
    </w:p>
    <w:p w:rsidR="00E46D95" w:rsidRDefault="006F495B">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Private and Public Rights in Beaches </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Borough of Neptune City v. Borough of Avon-By-The-Sea</w:t>
      </w:r>
      <w:r>
        <w:rPr>
          <w:rFonts w:ascii="Times New Roman" w:eastAsia="Times New Roman" w:hAnsi="Times New Roman" w:cs="Times New Roman"/>
          <w:color w:val="FF0000"/>
          <w:sz w:val="20"/>
          <w:szCs w:val="20"/>
          <w:shd w:val="clear" w:color="auto" w:fill="FFF2CC"/>
        </w:rPr>
        <w:t xml:space="preserve"> (New Jersey Supreme Court, 1972)</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Discrimination</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Shouldn’t have to provide clean-up/managerial services to non-residents without their paying</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an oceanfront municipality may [substant</w:t>
      </w:r>
      <w:r>
        <w:rPr>
          <w:rFonts w:ascii="Times New Roman" w:eastAsia="Times New Roman" w:hAnsi="Times New Roman" w:cs="Times New Roman"/>
          <w:color w:val="FF0000"/>
          <w:sz w:val="20"/>
          <w:szCs w:val="20"/>
        </w:rPr>
        <w:t>ially] charge non-residents higher fees than residents for the us of its beach area?</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Does public trust apply to the highland/dry sand?</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Public trust doctrine idea: Sovereign (the public) has right to beaches because otherwise will become monopolized by busi</w:t>
      </w:r>
      <w:r>
        <w:rPr>
          <w:rFonts w:ascii="Times New Roman" w:eastAsia="Times New Roman" w:hAnsi="Times New Roman" w:cs="Times New Roman"/>
          <w:color w:val="FF0000"/>
          <w:sz w:val="20"/>
          <w:szCs w:val="20"/>
        </w:rPr>
        <w:t>ness/private enterprise (saw this before in regard to Mono Lake in CA and public water rights)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Ancillary right to cross municipal dry sand to get to the publicly owned land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Cannot [completely] discriminate in any respect between residents and non-re</w:t>
      </w:r>
      <w:r>
        <w:rPr>
          <w:rFonts w:ascii="Times New Roman" w:eastAsia="Times New Roman" w:hAnsi="Times New Roman" w:cs="Times New Roman"/>
          <w:color w:val="FF0000"/>
          <w:sz w:val="20"/>
          <w:szCs w:val="20"/>
        </w:rPr>
        <w:t xml:space="preserve">sidents. </w:t>
      </w:r>
      <w:r>
        <w:rPr>
          <w:rFonts w:ascii="Times New Roman" w:eastAsia="Times New Roman" w:hAnsi="Times New Roman" w:cs="Times New Roman"/>
          <w:i/>
          <w:color w:val="FF0000"/>
          <w:sz w:val="20"/>
          <w:szCs w:val="20"/>
        </w:rPr>
        <w:t xml:space="preserve">Can </w:t>
      </w:r>
      <w:r>
        <w:rPr>
          <w:rFonts w:ascii="Times New Roman" w:eastAsia="Times New Roman" w:hAnsi="Times New Roman" w:cs="Times New Roman"/>
          <w:color w:val="FF0000"/>
          <w:sz w:val="20"/>
          <w:szCs w:val="20"/>
        </w:rPr>
        <w:t xml:space="preserve">charge fees that reflect local property taxes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state approved (not municipality)</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Purpose of the doctrine expanded to recreational activities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“Public trust doctrine should not be considered fixed or static but should be molded to…” essentially saying that public trust doctrine should be flexible </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Matthews v. Bay Head Improvement Ass’n </w:t>
      </w:r>
      <w:r>
        <w:rPr>
          <w:rFonts w:ascii="Times New Roman" w:eastAsia="Times New Roman" w:hAnsi="Times New Roman" w:cs="Times New Roman"/>
          <w:color w:val="FF0000"/>
          <w:sz w:val="20"/>
          <w:szCs w:val="20"/>
          <w:shd w:val="clear" w:color="auto" w:fill="FFF2CC"/>
        </w:rPr>
        <w:t>(New Jersey Supreme Court, 1984)</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w:t>
      </w:r>
      <w:r>
        <w:rPr>
          <w:rFonts w:ascii="Times New Roman" w:eastAsia="Times New Roman" w:hAnsi="Times New Roman" w:cs="Times New Roman"/>
          <w:i/>
          <w:color w:val="FF0000"/>
          <w:sz w:val="20"/>
          <w:szCs w:val="20"/>
        </w:rPr>
        <w:t>Matthews</w:t>
      </w:r>
      <w:r>
        <w:rPr>
          <w:rFonts w:ascii="Times New Roman" w:eastAsia="Times New Roman" w:hAnsi="Times New Roman" w:cs="Times New Roman"/>
          <w:color w:val="FF0000"/>
          <w:sz w:val="20"/>
          <w:szCs w:val="20"/>
        </w:rPr>
        <w:t xml:space="preserve"> factors” (to mo</w:t>
      </w:r>
      <w:r>
        <w:rPr>
          <w:rFonts w:ascii="Times New Roman" w:eastAsia="Times New Roman" w:hAnsi="Times New Roman" w:cs="Times New Roman"/>
          <w:color w:val="FF0000"/>
          <w:sz w:val="20"/>
          <w:szCs w:val="20"/>
        </w:rPr>
        <w:t>ve doctrine to not be just applied to municipally owned beaches, prior to some could interpret that only applicable to public/municipal beaches) – (1) location of dry sand area in relation to the foreshore, (2) extent and availability of publicly-owned upl</w:t>
      </w:r>
      <w:r>
        <w:rPr>
          <w:rFonts w:ascii="Times New Roman" w:eastAsia="Times New Roman" w:hAnsi="Times New Roman" w:cs="Times New Roman"/>
          <w:color w:val="FF0000"/>
          <w:sz w:val="20"/>
          <w:szCs w:val="20"/>
        </w:rPr>
        <w:t xml:space="preserve">and sand area, (3) nature and extent of the public demand, and (4) usage of the upland sand land by the owner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Balancing test aimed to </w:t>
      </w:r>
      <w:r>
        <w:rPr>
          <w:rFonts w:ascii="Times New Roman" w:eastAsia="Times New Roman" w:hAnsi="Times New Roman" w:cs="Times New Roman"/>
          <w:color w:val="FF0000"/>
          <w:sz w:val="20"/>
          <w:szCs w:val="20"/>
          <w:u w:val="single"/>
        </w:rPr>
        <w:t>reflect importance of public’s access to these publicly rights beach areas</w:t>
      </w:r>
      <w:r>
        <w:rPr>
          <w:rFonts w:ascii="Times New Roman" w:eastAsia="Times New Roman" w:hAnsi="Times New Roman" w:cs="Times New Roman"/>
          <w:color w:val="FF0000"/>
          <w:sz w:val="20"/>
          <w:szCs w:val="20"/>
        </w:rPr>
        <w:t xml:space="preserve"> (factors to be weighed and considered in fixing the contours of the usage of the upper sand)</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Also consideration of </w:t>
      </w:r>
      <w:r>
        <w:rPr>
          <w:rFonts w:ascii="Times New Roman" w:eastAsia="Times New Roman" w:hAnsi="Times New Roman" w:cs="Times New Roman"/>
          <w:color w:val="FF0000"/>
          <w:sz w:val="20"/>
          <w:szCs w:val="20"/>
          <w:u w:val="single"/>
        </w:rPr>
        <w:t>alternative(s)</w:t>
      </w:r>
      <w:r>
        <w:rPr>
          <w:rFonts w:ascii="Times New Roman" w:eastAsia="Times New Roman" w:hAnsi="Times New Roman" w:cs="Times New Roman"/>
          <w:color w:val="FF0000"/>
          <w:sz w:val="20"/>
          <w:szCs w:val="20"/>
        </w:rPr>
        <w:t xml:space="preserve">, i.e. if public accessible beach next door; </w:t>
      </w:r>
      <w:r>
        <w:rPr>
          <w:rFonts w:ascii="Times New Roman" w:eastAsia="Times New Roman" w:hAnsi="Times New Roman" w:cs="Times New Roman"/>
          <w:color w:val="FF0000"/>
          <w:sz w:val="20"/>
          <w:szCs w:val="20"/>
          <w:u w:val="single"/>
        </w:rPr>
        <w:t>past use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Public’s right to non-publicly owned beaches: Contingent in NJ (v. Orego</w:t>
      </w:r>
      <w:r>
        <w:rPr>
          <w:rFonts w:ascii="Times New Roman" w:eastAsia="Times New Roman" w:hAnsi="Times New Roman" w:cs="Times New Roman"/>
          <w:color w:val="FF0000"/>
          <w:sz w:val="20"/>
          <w:szCs w:val="20"/>
        </w:rPr>
        <w:t>n) on these several factors but where importance, rights are usufructuary, nonpossessory interest right (alike easements)</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Raleigh Avenue Beach Ass’n v. Atlantis Beach Club</w:t>
      </w:r>
      <w:r>
        <w:rPr>
          <w:rFonts w:ascii="Times New Roman" w:eastAsia="Times New Roman" w:hAnsi="Times New Roman" w:cs="Times New Roman"/>
          <w:color w:val="FF0000"/>
          <w:sz w:val="20"/>
          <w:szCs w:val="20"/>
          <w:shd w:val="clear" w:color="auto" w:fill="FFF2CC"/>
        </w:rPr>
        <w:t xml:space="preserve"> (Supreme Court of New Jersey, 2005)</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Private beach club (not quasi-public like in </w:t>
      </w:r>
      <w:r>
        <w:rPr>
          <w:rFonts w:ascii="Times New Roman" w:eastAsia="Times New Roman" w:hAnsi="Times New Roman" w:cs="Times New Roman"/>
          <w:i/>
          <w:color w:val="FF0000"/>
          <w:sz w:val="20"/>
          <w:szCs w:val="20"/>
        </w:rPr>
        <w:t>Matthews</w:t>
      </w:r>
      <w:r>
        <w:rPr>
          <w:rFonts w:ascii="Times New Roman" w:eastAsia="Times New Roman" w:hAnsi="Times New Roman" w:cs="Times New Roman"/>
          <w:color w:val="FF0000"/>
          <w:sz w:val="20"/>
          <w:szCs w:val="20"/>
        </w:rPr>
        <w:t>, there some members of the beach could use the beach under certain circumstances)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Right of the public to use stretch of upland sand beach owned by respondent beach club and operated as a private club?</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Do the </w:t>
      </w:r>
      <w:r>
        <w:rPr>
          <w:rFonts w:ascii="Times New Roman" w:eastAsia="Times New Roman" w:hAnsi="Times New Roman" w:cs="Times New Roman"/>
          <w:i/>
          <w:color w:val="FF0000"/>
          <w:sz w:val="20"/>
          <w:szCs w:val="20"/>
        </w:rPr>
        <w:t>Matthews</w:t>
      </w:r>
      <w:r>
        <w:rPr>
          <w:rFonts w:ascii="Times New Roman" w:eastAsia="Times New Roman" w:hAnsi="Times New Roman" w:cs="Times New Roman"/>
          <w:color w:val="FF0000"/>
          <w:sz w:val="20"/>
          <w:szCs w:val="20"/>
        </w:rPr>
        <w:t xml:space="preserve"> factors suggest that the pu</w:t>
      </w:r>
      <w:r>
        <w:rPr>
          <w:rFonts w:ascii="Times New Roman" w:eastAsia="Times New Roman" w:hAnsi="Times New Roman" w:cs="Times New Roman"/>
          <w:color w:val="FF0000"/>
          <w:sz w:val="20"/>
          <w:szCs w:val="20"/>
        </w:rPr>
        <w:t>blic trust doctrine applies? (if so then gives the public an easement of dry and wet sands [to recreate])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Easement broader (“a broad easement”) than access – includes recreation (i.e. sunbathing, beach volleyball); about access to the tidelands </w:t>
      </w:r>
      <w:r>
        <w:rPr>
          <w:rFonts w:ascii="Times New Roman" w:eastAsia="Times New Roman" w:hAnsi="Times New Roman" w:cs="Times New Roman"/>
          <w:i/>
          <w:color w:val="FF0000"/>
          <w:sz w:val="20"/>
          <w:szCs w:val="20"/>
        </w:rPr>
        <w:t>as well as</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FF0000"/>
          <w:sz w:val="20"/>
          <w:szCs w:val="20"/>
        </w:rPr>
        <w:t>use of the uplands necessary to public’s right to use the public right to ocean/tidelands (ancillary to public’s right to use of the water)</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Public trust doctrine requires the property to be open to the general public at a reasonable fee for services pro</w:t>
      </w:r>
      <w:r>
        <w:rPr>
          <w:rFonts w:ascii="Times New Roman" w:eastAsia="Times New Roman" w:hAnsi="Times New Roman" w:cs="Times New Roman"/>
          <w:color w:val="FF0000"/>
          <w:sz w:val="20"/>
          <w:szCs w:val="20"/>
        </w:rPr>
        <w:t>vided by the owner and approved by the DEP</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Application of the </w:t>
      </w:r>
      <w:r>
        <w:rPr>
          <w:rFonts w:ascii="Times New Roman" w:eastAsia="Times New Roman" w:hAnsi="Times New Roman" w:cs="Times New Roman"/>
          <w:i/>
          <w:color w:val="FF0000"/>
          <w:sz w:val="20"/>
          <w:szCs w:val="20"/>
        </w:rPr>
        <w:t>Matthews</w:t>
      </w:r>
      <w:r>
        <w:rPr>
          <w:rFonts w:ascii="Times New Roman" w:eastAsia="Times New Roman" w:hAnsi="Times New Roman" w:cs="Times New Roman"/>
          <w:color w:val="FF0000"/>
          <w:sz w:val="20"/>
          <w:szCs w:val="20"/>
        </w:rPr>
        <w:t xml:space="preserve"> factors (high demand, no access)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4th factor (usage of the upland sand land by the owner) presumably getting at whether personal use or business (suggesting distinction)</w:t>
      </w:r>
    </w:p>
    <w:p w:rsidR="00E46D95" w:rsidRDefault="006F495B">
      <w:pPr>
        <w:ind w:left="720"/>
        <w:rPr>
          <w:rFonts w:ascii="Times New Roman" w:eastAsia="Times New Roman" w:hAnsi="Times New Roman" w:cs="Times New Roman"/>
          <w:color w:val="FF0000"/>
          <w:sz w:val="20"/>
          <w:szCs w:val="20"/>
        </w:rPr>
      </w:pPr>
      <w:r>
        <w:rPr>
          <w:rFonts w:ascii="Cardo" w:eastAsia="Cardo" w:hAnsi="Cardo" w:cs="Cardo"/>
          <w:color w:val="FF0000"/>
          <w:sz w:val="20"/>
          <w:szCs w:val="20"/>
        </w:rPr>
        <w:tab/>
        <w:t>→ Public’s r</w:t>
      </w:r>
      <w:r>
        <w:rPr>
          <w:rFonts w:ascii="Cardo" w:eastAsia="Cardo" w:hAnsi="Cardo" w:cs="Cardo"/>
          <w:color w:val="FF0000"/>
          <w:sz w:val="20"/>
          <w:szCs w:val="20"/>
        </w:rPr>
        <w:t>ight to the public trust is not universal (limited to/contingent on those factors)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Can charge reasonable fees for services, consideration of tax credits, privately run enterprises (to be approved by the state)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3 </w:t>
      </w:r>
      <w:r>
        <w:rPr>
          <w:rFonts w:ascii="Times New Roman" w:eastAsia="Times New Roman" w:hAnsi="Times New Roman" w:cs="Times New Roman"/>
          <w:i/>
          <w:color w:val="FF0000"/>
          <w:sz w:val="20"/>
          <w:szCs w:val="20"/>
        </w:rPr>
        <w:t>Chiesa v. D. Lobi Enters.</w:t>
      </w:r>
      <w:r>
        <w:rPr>
          <w:rFonts w:ascii="Times New Roman" w:eastAsia="Times New Roman" w:hAnsi="Times New Roman" w:cs="Times New Roman"/>
          <w:color w:val="FF0000"/>
          <w:sz w:val="20"/>
          <w:szCs w:val="20"/>
        </w:rPr>
        <w:t xml:space="preserve"> (NJ SC) (F: Renourishment and state signed away public trust rights, H: Doing so void, cannot sign away public access rights to restore the renourishment of beaches)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“Beach renourishment programs” – sand collected and dumped on the beach to restore it pos</w:t>
      </w:r>
      <w:r>
        <w:rPr>
          <w:rFonts w:ascii="Times New Roman" w:eastAsia="Times New Roman" w:hAnsi="Times New Roman" w:cs="Times New Roman"/>
          <w:color w:val="FF0000"/>
          <w:sz w:val="20"/>
          <w:szCs w:val="20"/>
        </w:rPr>
        <w:t>t storm</w:t>
      </w:r>
    </w:p>
    <w:p w:rsidR="00E46D95" w:rsidRDefault="006F495B">
      <w:pPr>
        <w:numPr>
          <w:ilvl w:val="1"/>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State of Oregon ex rel. Thornton v. Hay</w:t>
      </w:r>
      <w:r>
        <w:rPr>
          <w:rFonts w:ascii="Times New Roman" w:eastAsia="Times New Roman" w:hAnsi="Times New Roman" w:cs="Times New Roman"/>
          <w:color w:val="FF0000"/>
          <w:sz w:val="20"/>
          <w:szCs w:val="20"/>
          <w:shd w:val="clear" w:color="auto" w:fill="FFF2CC"/>
        </w:rPr>
        <w:t xml:space="preserve"> (Supreme Court of Oregon, 1969)</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state has the power to prevent the D landowners (who own a motel) from enclosing the dry-sand area contained within the legal description of their ocean-front</w:t>
      </w:r>
      <w:r>
        <w:rPr>
          <w:rFonts w:ascii="Times New Roman" w:eastAsia="Times New Roman" w:hAnsi="Times New Roman" w:cs="Times New Roman"/>
          <w:color w:val="FF0000"/>
          <w:sz w:val="20"/>
          <w:szCs w:val="20"/>
        </w:rPr>
        <w:t xml:space="preserve"> property?</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Granted injunction against Ds (no right to exclude) (Ds appeal) – public had acquired a prescriptive easement to that area (R)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right to exclude, affirm injunction (J), adopted custom doctrine (from old English common law doctrine); cu</w:t>
      </w:r>
      <w:r>
        <w:rPr>
          <w:rFonts w:ascii="Times New Roman" w:eastAsia="Times New Roman" w:hAnsi="Times New Roman" w:cs="Times New Roman"/>
          <w:color w:val="FF0000"/>
          <w:sz w:val="20"/>
          <w:szCs w:val="20"/>
        </w:rPr>
        <w:t xml:space="preserve">stom right = usufructuary, nonpossessory right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Likely adopted custom doctrine because broader than prescriptive easements (lead to flood of litigation, not sufficient/best means of announcing public rights)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Doctrine of Custom, elements: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(1) Ancient</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(2) Right to be recognized without interruption (v. continuous)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(3) Peaceable and free from dispute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(4) Reasonableness</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(5) Limits use to recreational uses connected with foreshore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(6) Custom must be obligatory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(7) Custom must not be repugnant or inconsistent with other customs or other law</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Is this case about statutory interpretation? (Statutes provided on pg. 270) First statute applied to wet sand (not dry sand), second statute looks like legislature wanted to e</w:t>
      </w:r>
      <w:r>
        <w:rPr>
          <w:rFonts w:ascii="Times New Roman" w:eastAsia="Times New Roman" w:hAnsi="Times New Roman" w:cs="Times New Roman"/>
          <w:color w:val="FF0000"/>
          <w:sz w:val="20"/>
          <w:szCs w:val="20"/>
        </w:rPr>
        <w:t xml:space="preserve">xtend public rights to abutting land – </w:t>
      </w:r>
      <w:r>
        <w:rPr>
          <w:rFonts w:ascii="Times New Roman" w:eastAsia="Times New Roman" w:hAnsi="Times New Roman" w:cs="Times New Roman"/>
          <w:color w:val="FF0000"/>
          <w:sz w:val="20"/>
          <w:szCs w:val="20"/>
          <w:u w:val="single"/>
        </w:rPr>
        <w:t xml:space="preserve">No, if framed as statutory interpretation then arguably a gov’t taking and owed “just compensation” </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6, </w:t>
      </w:r>
      <w:r>
        <w:rPr>
          <w:rFonts w:ascii="Times New Roman" w:eastAsia="Times New Roman" w:hAnsi="Times New Roman" w:cs="Times New Roman"/>
          <w:i/>
          <w:color w:val="FF0000"/>
          <w:sz w:val="20"/>
          <w:szCs w:val="20"/>
        </w:rPr>
        <w:t>Hay v. Bruno</w:t>
      </w:r>
      <w:r>
        <w:rPr>
          <w:rFonts w:ascii="Times New Roman" w:eastAsia="Times New Roman" w:hAnsi="Times New Roman" w:cs="Times New Roman"/>
          <w:color w:val="FF0000"/>
          <w:sz w:val="20"/>
          <w:szCs w:val="20"/>
        </w:rPr>
        <w:t xml:space="preserve">: H: No unpredictable change in law as a result of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 xml:space="preserve"> decision, since the state had claimed the public’s right to use the beach for at least 80 years, and the result was consistent with recognition of public rights in other states – use so open and notorious that every land owner in OR would have known about</w:t>
      </w:r>
      <w:r>
        <w:rPr>
          <w:rFonts w:ascii="Times New Roman" w:eastAsia="Times New Roman" w:hAnsi="Times New Roman" w:cs="Times New Roman"/>
          <w:color w:val="FF0000"/>
          <w:sz w:val="20"/>
          <w:szCs w:val="20"/>
        </w:rPr>
        <w:t xml:space="preserve"> it (on notice)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Hays didn’t lose a use right but lost a conceptual right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(as Goodwin says) never really had that right </w:t>
      </w:r>
    </w:p>
    <w:p w:rsidR="00E46D95" w:rsidRDefault="006F495B">
      <w:pPr>
        <w:numPr>
          <w:ilvl w:val="4"/>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Counter: But paying property rights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property rights should reflect existing rights</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8, </w:t>
      </w:r>
      <w:r>
        <w:rPr>
          <w:rFonts w:ascii="Times New Roman" w:eastAsia="Times New Roman" w:hAnsi="Times New Roman" w:cs="Times New Roman"/>
          <w:i/>
          <w:color w:val="FF0000"/>
          <w:sz w:val="20"/>
          <w:szCs w:val="20"/>
        </w:rPr>
        <w:t>McDonald v. Halversen</w:t>
      </w:r>
      <w:r>
        <w:rPr>
          <w:rFonts w:ascii="Times New Roman" w:eastAsia="Times New Roman" w:hAnsi="Times New Roman" w:cs="Times New Roman"/>
          <w:color w:val="FF0000"/>
          <w:sz w:val="20"/>
          <w:szCs w:val="20"/>
        </w:rPr>
        <w:t xml:space="preserve"> – there not an </w:t>
      </w:r>
      <w:r>
        <w:rPr>
          <w:rFonts w:ascii="Times New Roman" w:eastAsia="Times New Roman" w:hAnsi="Times New Roman" w:cs="Times New Roman"/>
          <w:color w:val="FF0000"/>
          <w:sz w:val="20"/>
          <w:szCs w:val="20"/>
        </w:rPr>
        <w:t xml:space="preserve">adjacent ocean beach (in a cove) and no history of public use (distinguished from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 xml:space="preserve">), H: </w:t>
      </w:r>
      <w:r>
        <w:rPr>
          <w:rFonts w:ascii="Times New Roman" w:eastAsia="Times New Roman" w:hAnsi="Times New Roman" w:cs="Times New Roman"/>
          <w:i/>
          <w:color w:val="FF0000"/>
          <w:sz w:val="20"/>
          <w:szCs w:val="20"/>
        </w:rPr>
        <w:t>Thornton</w:t>
      </w:r>
      <w:r>
        <w:rPr>
          <w:rFonts w:ascii="Cardo" w:eastAsia="Cardo" w:hAnsi="Cardo" w:cs="Cardo"/>
          <w:color w:val="FF0000"/>
          <w:sz w:val="20"/>
          <w:szCs w:val="20"/>
        </w:rPr>
        <w:t xml:space="preserve"> does not apply → only known exception to Oregon custom doctrine</w:t>
      </w:r>
    </w:p>
    <w:p w:rsidR="00E46D95" w:rsidRDefault="006F495B">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Stevens v. Cannon Beach </w:t>
      </w:r>
      <w:r>
        <w:rPr>
          <w:rFonts w:ascii="Times New Roman" w:eastAsia="Times New Roman" w:hAnsi="Times New Roman" w:cs="Times New Roman"/>
          <w:color w:val="FF0000"/>
          <w:sz w:val="20"/>
          <w:szCs w:val="20"/>
          <w:shd w:val="clear" w:color="auto" w:fill="FFF2CC"/>
        </w:rPr>
        <w:t>(Supreme Court of Oregon, 1993)/</w:t>
      </w:r>
      <w:r>
        <w:rPr>
          <w:rFonts w:ascii="Times New Roman" w:eastAsia="Times New Roman" w:hAnsi="Times New Roman" w:cs="Times New Roman"/>
          <w:i/>
          <w:color w:val="FF0000"/>
          <w:sz w:val="20"/>
          <w:szCs w:val="20"/>
          <w:shd w:val="clear" w:color="auto" w:fill="FFF2CC"/>
        </w:rPr>
        <w:t>Stevens v. City of Canno</w:t>
      </w:r>
      <w:r>
        <w:rPr>
          <w:rFonts w:ascii="Times New Roman" w:eastAsia="Times New Roman" w:hAnsi="Times New Roman" w:cs="Times New Roman"/>
          <w:i/>
          <w:color w:val="FF0000"/>
          <w:sz w:val="20"/>
          <w:szCs w:val="20"/>
          <w:shd w:val="clear" w:color="auto" w:fill="FFF2CC"/>
        </w:rPr>
        <w:t xml:space="preserve">n Beach </w:t>
      </w:r>
      <w:r>
        <w:rPr>
          <w:rFonts w:ascii="Times New Roman" w:eastAsia="Times New Roman" w:hAnsi="Times New Roman" w:cs="Times New Roman"/>
          <w:color w:val="FF0000"/>
          <w:sz w:val="20"/>
          <w:szCs w:val="20"/>
          <w:shd w:val="clear" w:color="auto" w:fill="FFF2CC"/>
        </w:rPr>
        <w:t>(Supreme Court of Oregon, 1994)</w:t>
      </w:r>
      <w:r>
        <w:rPr>
          <w:rFonts w:ascii="Times New Roman" w:eastAsia="Times New Roman" w:hAnsi="Times New Roman" w:cs="Times New Roman"/>
          <w:color w:val="FF0000"/>
          <w:sz w:val="20"/>
          <w:szCs w:val="20"/>
        </w:rPr>
        <w:t xml:space="preserve"> – </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Plaintiff-appellant wanted to expand his hotel by building a seawall; argues </w:t>
      </w:r>
      <w:r>
        <w:rPr>
          <w:rFonts w:ascii="Times New Roman" w:eastAsia="Times New Roman" w:hAnsi="Times New Roman" w:cs="Times New Roman"/>
          <w:i/>
          <w:color w:val="FF0000"/>
          <w:sz w:val="20"/>
          <w:szCs w:val="20"/>
        </w:rPr>
        <w:t>Thornton</w:t>
      </w:r>
      <w:r>
        <w:rPr>
          <w:rFonts w:ascii="Times New Roman" w:eastAsia="Times New Roman" w:hAnsi="Times New Roman" w:cs="Times New Roman"/>
          <w:color w:val="FF0000"/>
          <w:sz w:val="20"/>
          <w:szCs w:val="20"/>
        </w:rPr>
        <w:t xml:space="preserve"> doesn’t apply because owned property before </w:t>
      </w:r>
      <w:r>
        <w:rPr>
          <w:rFonts w:ascii="Times New Roman" w:eastAsia="Times New Roman" w:hAnsi="Times New Roman" w:cs="Times New Roman"/>
          <w:i/>
          <w:color w:val="FF0000"/>
          <w:sz w:val="20"/>
          <w:szCs w:val="20"/>
        </w:rPr>
        <w:t>Thornton</w:t>
      </w:r>
      <w:r>
        <w:rPr>
          <w:rFonts w:ascii="Times New Roman" w:eastAsia="Times New Roman" w:hAnsi="Times New Roman" w:cs="Times New Roman"/>
          <w:color w:val="FF0000"/>
          <w:sz w:val="20"/>
          <w:szCs w:val="20"/>
        </w:rPr>
        <w:t xml:space="preserve"> ruling came down, argues 5A constitutional taking (requires just compen</w:t>
      </w:r>
      <w:r>
        <w:rPr>
          <w:rFonts w:ascii="Times New Roman" w:eastAsia="Times New Roman" w:hAnsi="Times New Roman" w:cs="Times New Roman"/>
          <w:color w:val="FF0000"/>
          <w:sz w:val="20"/>
          <w:szCs w:val="20"/>
        </w:rPr>
        <w:t>sation where gov’t taking) (</w:t>
      </w:r>
      <w:r>
        <w:rPr>
          <w:rFonts w:ascii="Times New Roman" w:eastAsia="Times New Roman" w:hAnsi="Times New Roman" w:cs="Times New Roman"/>
          <w:i/>
          <w:color w:val="FF0000"/>
          <w:sz w:val="20"/>
          <w:szCs w:val="20"/>
        </w:rPr>
        <w:t xml:space="preserve">Lucas </w:t>
      </w:r>
      <w:r>
        <w:rPr>
          <w:rFonts w:ascii="Times New Roman" w:eastAsia="Times New Roman" w:hAnsi="Times New Roman" w:cs="Times New Roman"/>
          <w:color w:val="FF0000"/>
          <w:sz w:val="20"/>
          <w:szCs w:val="20"/>
        </w:rPr>
        <w:t>– argues new rule applied to him)</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(H) </w:t>
      </w:r>
      <w:r>
        <w:rPr>
          <w:rFonts w:ascii="Times New Roman" w:eastAsia="Times New Roman" w:hAnsi="Times New Roman" w:cs="Times New Roman"/>
          <w:i/>
          <w:color w:val="FF0000"/>
          <w:sz w:val="20"/>
          <w:szCs w:val="20"/>
        </w:rPr>
        <w:t>Thornton</w:t>
      </w:r>
      <w:r>
        <w:rPr>
          <w:rFonts w:ascii="Times New Roman" w:eastAsia="Times New Roman" w:hAnsi="Times New Roman" w:cs="Times New Roman"/>
          <w:color w:val="FF0000"/>
          <w:sz w:val="20"/>
          <w:szCs w:val="20"/>
        </w:rPr>
        <w:t xml:space="preserve"> applies, no taking (R) custom doctrine began long ago (with the institution of white settlement/institution of tenured land(?)), should have already known, and </w:t>
      </w:r>
      <w:r>
        <w:rPr>
          <w:rFonts w:ascii="Times New Roman" w:eastAsia="Times New Roman" w:hAnsi="Times New Roman" w:cs="Times New Roman"/>
          <w:i/>
          <w:color w:val="FF0000"/>
          <w:sz w:val="20"/>
          <w:szCs w:val="20"/>
        </w:rPr>
        <w:t>Lucas</w:t>
      </w:r>
      <w:r>
        <w:rPr>
          <w:rFonts w:ascii="Times New Roman" w:eastAsia="Times New Roman" w:hAnsi="Times New Roman" w:cs="Times New Roman"/>
          <w:color w:val="FF0000"/>
          <w:sz w:val="20"/>
          <w:szCs w:val="20"/>
        </w:rPr>
        <w:t xml:space="preserve"> not a</w:t>
      </w:r>
      <w:r>
        <w:rPr>
          <w:rFonts w:ascii="Times New Roman" w:eastAsia="Times New Roman" w:hAnsi="Times New Roman" w:cs="Times New Roman"/>
          <w:color w:val="FF0000"/>
          <w:sz w:val="20"/>
          <w:szCs w:val="20"/>
        </w:rPr>
        <w:t xml:space="preserve"> new rule but an old rule (time and memorial and inheres in the title because a background principle of property law and therefore would have had notice even if complete wipeout (as </w:t>
      </w:r>
      <w:r>
        <w:rPr>
          <w:rFonts w:ascii="Times New Roman" w:eastAsia="Times New Roman" w:hAnsi="Times New Roman" w:cs="Times New Roman"/>
          <w:i/>
          <w:color w:val="FF0000"/>
          <w:sz w:val="20"/>
          <w:szCs w:val="20"/>
        </w:rPr>
        <w:t xml:space="preserve">Lucas </w:t>
      </w:r>
      <w:r>
        <w:rPr>
          <w:rFonts w:ascii="Times New Roman" w:eastAsia="Times New Roman" w:hAnsi="Times New Roman" w:cs="Times New Roman"/>
          <w:color w:val="FF0000"/>
          <w:sz w:val="20"/>
          <w:szCs w:val="20"/>
        </w:rPr>
        <w:t>says, because notice))</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Scalia (dissent in denial of cert – need four votes to grant cert, got two here)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Might be a taking, wants a hearing on (he wrote </w:t>
      </w:r>
      <w:r>
        <w:rPr>
          <w:rFonts w:ascii="Times New Roman" w:eastAsia="Times New Roman" w:hAnsi="Times New Roman" w:cs="Times New Roman"/>
          <w:i/>
          <w:color w:val="FF0000"/>
          <w:sz w:val="20"/>
          <w:szCs w:val="20"/>
        </w:rPr>
        <w:t>Lucas</w:t>
      </w:r>
      <w:r>
        <w:rPr>
          <w:rFonts w:ascii="Times New Roman" w:eastAsia="Times New Roman" w:hAnsi="Times New Roman" w:cs="Times New Roman"/>
          <w:color w:val="FF0000"/>
          <w:sz w:val="20"/>
          <w:szCs w:val="20"/>
        </w:rPr>
        <w:t xml:space="preserve"> and knows what he meant better than the OR Supreme Court); wants hearing on issue of what a background issue (</w:t>
      </w:r>
      <w:r>
        <w:rPr>
          <w:rFonts w:ascii="Times New Roman" w:eastAsia="Times New Roman" w:hAnsi="Times New Roman" w:cs="Times New Roman"/>
          <w:i/>
          <w:color w:val="FF0000"/>
          <w:sz w:val="20"/>
          <w:szCs w:val="20"/>
        </w:rPr>
        <w:t xml:space="preserve">Lucas </w:t>
      </w:r>
      <w:r>
        <w:rPr>
          <w:rFonts w:ascii="Times New Roman" w:eastAsia="Times New Roman" w:hAnsi="Times New Roman" w:cs="Times New Roman"/>
          <w:color w:val="FF0000"/>
          <w:sz w:val="20"/>
          <w:szCs w:val="20"/>
        </w:rPr>
        <w:t>and O</w:t>
      </w:r>
      <w:r>
        <w:rPr>
          <w:rFonts w:ascii="Times New Roman" w:eastAsia="Times New Roman" w:hAnsi="Times New Roman" w:cs="Times New Roman"/>
          <w:color w:val="FF0000"/>
          <w:sz w:val="20"/>
          <w:szCs w:val="20"/>
        </w:rPr>
        <w:t>R Supreme Court) is applied in this case</w:t>
      </w:r>
    </w:p>
    <w:p w:rsidR="00E46D95" w:rsidRDefault="006F495B">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Also issue of OR property law – last word on property law comes from OR Supreme Court not US Supreme Court; even if “taking” per 5A state would rebut that even if “taking” of private for public, the state defines pu</w:t>
      </w:r>
      <w:r>
        <w:rPr>
          <w:rFonts w:ascii="Times New Roman" w:eastAsia="Times New Roman" w:hAnsi="Times New Roman" w:cs="Times New Roman"/>
          <w:color w:val="FF0000"/>
          <w:sz w:val="20"/>
          <w:szCs w:val="20"/>
        </w:rPr>
        <w:t>blic/private property (so could refute)</w:t>
      </w:r>
    </w:p>
    <w:p w:rsidR="00E46D95" w:rsidRDefault="006F495B">
      <w:pPr>
        <w:numPr>
          <w:ilvl w:val="1"/>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Carol Rose, </w:t>
      </w:r>
      <w:r>
        <w:rPr>
          <w:rFonts w:ascii="Times New Roman" w:eastAsia="Times New Roman" w:hAnsi="Times New Roman" w:cs="Times New Roman"/>
          <w:i/>
          <w:color w:val="FF0000"/>
          <w:sz w:val="20"/>
          <w:szCs w:val="20"/>
        </w:rPr>
        <w:t>The Comedy of the Commons: Custom, Commerce, and Inherently Public Property</w:t>
      </w:r>
    </w:p>
    <w:p w:rsidR="00E46D95" w:rsidRDefault="006F495B">
      <w:pPr>
        <w:numPr>
          <w:ilvl w:val="2"/>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Recreation instills democratic values – commingled (unlike a country club, not self-selecting; i.e. classes, rich and poor, mix)</w:t>
      </w:r>
      <w:r>
        <w:rPr>
          <w:rFonts w:ascii="Times New Roman" w:eastAsia="Times New Roman" w:hAnsi="Times New Roman" w:cs="Times New Roman"/>
          <w:color w:val="FF0000"/>
          <w:sz w:val="20"/>
          <w:szCs w:val="20"/>
        </w:rPr>
        <w:t xml:space="preserve"> and should be celebrated because not many of these kinds of places anymore </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 Land Use Regulation</w:t>
      </w:r>
    </w:p>
    <w:p w:rsidR="00E46D95" w:rsidRDefault="006F495B">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Use Regulation – under modern law an owner’s right to use is restricted by a complex network of ordinances and statutes; virtually every parc</w:t>
      </w:r>
      <w:r>
        <w:rPr>
          <w:rFonts w:ascii="Times New Roman" w:eastAsia="Times New Roman" w:hAnsi="Times New Roman" w:cs="Times New Roman"/>
          <w:sz w:val="20"/>
          <w:szCs w:val="20"/>
        </w:rPr>
        <w:t>el of land in the US is subject to comprehensive regulation that limits how it may be used</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Origins of Zoning – zoning began as a utilitarian response to rapid industrialization and urbanization during the early twentieth century. Gov’t has inherent police </w:t>
      </w:r>
      <w:r>
        <w:rPr>
          <w:rFonts w:ascii="Times New Roman" w:eastAsia="Times New Roman" w:hAnsi="Times New Roman" w:cs="Times New Roman"/>
          <w:sz w:val="20"/>
          <w:szCs w:val="20"/>
        </w:rPr>
        <w:t xml:space="preserve">power to protect the public health, safety, morals, and welfare through land use regulation  </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Reformers (advocating restriction) reasoned that gov’t had the inherent </w:t>
      </w:r>
      <w:r>
        <w:rPr>
          <w:rFonts w:ascii="Times New Roman" w:eastAsia="Times New Roman" w:hAnsi="Times New Roman" w:cs="Times New Roman"/>
          <w:i/>
          <w:sz w:val="20"/>
          <w:szCs w:val="20"/>
        </w:rPr>
        <w:t>police power</w:t>
      </w:r>
      <w:r>
        <w:rPr>
          <w:rFonts w:ascii="Times New Roman" w:eastAsia="Times New Roman" w:hAnsi="Times New Roman" w:cs="Times New Roman"/>
          <w:sz w:val="20"/>
          <w:szCs w:val="20"/>
        </w:rPr>
        <w:t xml:space="preserve"> to protect the public health, safety, morals, and welfare through zoning laws</w:t>
      </w:r>
      <w:r>
        <w:rPr>
          <w:rFonts w:ascii="Times New Roman" w:eastAsia="Times New Roman" w:hAnsi="Times New Roman" w:cs="Times New Roman"/>
          <w:sz w:val="20"/>
          <w:szCs w:val="20"/>
        </w:rPr>
        <w:t xml:space="preserve">; each city would be divided into geographical </w:t>
      </w:r>
      <w:r>
        <w:rPr>
          <w:rFonts w:ascii="Times New Roman" w:eastAsia="Times New Roman" w:hAnsi="Times New Roman" w:cs="Times New Roman"/>
          <w:i/>
          <w:sz w:val="20"/>
          <w:szCs w:val="20"/>
        </w:rPr>
        <w:t>zones</w:t>
      </w:r>
      <w:r>
        <w:rPr>
          <w:rFonts w:ascii="Times New Roman" w:eastAsia="Times New Roman" w:hAnsi="Times New Roman" w:cs="Times New Roman"/>
          <w:sz w:val="20"/>
          <w:szCs w:val="20"/>
        </w:rPr>
        <w:t xml:space="preserve"> where different uses were permitted with limits on the size and location of buildings in each zone</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1916 New York City: The nation’s first comprehensive zoning ordinance </w:t>
      </w:r>
    </w:p>
    <w:p w:rsidR="00E46D95" w:rsidRDefault="006F495B">
      <w:pPr>
        <w:numPr>
          <w:ilvl w:val="1"/>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Standard State Zoning Enabling Act</w:t>
      </w:r>
      <w:r>
        <w:rPr>
          <w:rFonts w:ascii="Times New Roman" w:eastAsia="Times New Roman" w:hAnsi="Times New Roman" w:cs="Times New Roman"/>
          <w:sz w:val="20"/>
          <w:szCs w:val="20"/>
        </w:rPr>
        <w:t xml:space="preserve"> – drafted by the Department of Commerce in 1922 as a model law that the states could adopt if they wished (many did); empowered local gov’ts (1) to adopt zoning ordinances and (2) specified the key provisions for an effec</w:t>
      </w:r>
      <w:r>
        <w:rPr>
          <w:rFonts w:ascii="Times New Roman" w:eastAsia="Times New Roman" w:hAnsi="Times New Roman" w:cs="Times New Roman"/>
          <w:sz w:val="20"/>
          <w:szCs w:val="20"/>
        </w:rPr>
        <w:t>tive ordinance; the drafters contemplated that zoning would be a two-step process (followed in a minority of states):</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The city or county would adopt a </w:t>
      </w:r>
      <w:r>
        <w:rPr>
          <w:rFonts w:ascii="Times New Roman" w:eastAsia="Times New Roman" w:hAnsi="Times New Roman" w:cs="Times New Roman"/>
          <w:i/>
          <w:sz w:val="20"/>
          <w:szCs w:val="20"/>
        </w:rPr>
        <w:t xml:space="preserve">comprehensive plan </w:t>
      </w:r>
      <w:r>
        <w:rPr>
          <w:rFonts w:ascii="Times New Roman" w:eastAsia="Times New Roman" w:hAnsi="Times New Roman" w:cs="Times New Roman"/>
          <w:sz w:val="20"/>
          <w:szCs w:val="20"/>
        </w:rPr>
        <w:t>that sets forth its general planning goals – in the minority of states that follow</w:t>
      </w:r>
      <w:r>
        <w:rPr>
          <w:rFonts w:ascii="Times New Roman" w:eastAsia="Times New Roman" w:hAnsi="Times New Roman" w:cs="Times New Roman"/>
          <w:sz w:val="20"/>
          <w:szCs w:val="20"/>
        </w:rPr>
        <w:t xml:space="preserve"> this approach, a zoning ordinance is only valid if it is “consistent” with the pre-existing comprehensive plan  </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It would enact a specific ordinance to implement that plan </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most states it is unnecessary for the city/county to adopt a separate plan </w:t>
      </w:r>
      <w:r>
        <w:rPr>
          <w:rFonts w:ascii="Times New Roman" w:eastAsia="Times New Roman" w:hAnsi="Times New Roman" w:cs="Times New Roman"/>
          <w:sz w:val="20"/>
          <w:szCs w:val="20"/>
        </w:rPr>
        <w:t xml:space="preserve">before adopting a zoning ordinance because the ordinance in effect itself is also the plan (step #2 only) </w:t>
      </w:r>
    </w:p>
    <w:p w:rsidR="00E46D95" w:rsidRDefault="006F495B">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Basics of Zoning</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Constitutionality of Zoning – SCOTUS upheld the constitutionality of zoning in </w:t>
      </w:r>
      <w:r>
        <w:rPr>
          <w:rFonts w:ascii="Times New Roman" w:eastAsia="Times New Roman" w:hAnsi="Times New Roman" w:cs="Times New Roman"/>
          <w:i/>
          <w:sz w:val="20"/>
          <w:szCs w:val="20"/>
        </w:rPr>
        <w:t>Village Euclid v. Ambler Realty Co.</w:t>
      </w:r>
      <w:r>
        <w:rPr>
          <w:rFonts w:ascii="Times New Roman" w:eastAsia="Times New Roman" w:hAnsi="Times New Roman" w:cs="Times New Roman"/>
          <w:sz w:val="20"/>
          <w:szCs w:val="20"/>
        </w:rPr>
        <w:t>, under this standard zoning is valid unless it is arbitrary and unreasonable, having no substantial relation to the public health, safety, morals or welfare (reflects judicial deference to legislative decisions)</w:t>
      </w:r>
    </w:p>
    <w:p w:rsidR="00E46D95" w:rsidRDefault="006F495B">
      <w:pPr>
        <w:numPr>
          <w:ilvl w:val="2"/>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Euclidian</w:t>
      </w:r>
      <w:r>
        <w:rPr>
          <w:rFonts w:ascii="Times New Roman" w:eastAsia="Times New Roman" w:hAnsi="Times New Roman" w:cs="Times New Roman"/>
          <w:sz w:val="20"/>
          <w:szCs w:val="20"/>
        </w:rPr>
        <w:t xml:space="preserve"> zoning is diminishing as local go</w:t>
      </w:r>
      <w:r>
        <w:rPr>
          <w:rFonts w:ascii="Times New Roman" w:eastAsia="Times New Roman" w:hAnsi="Times New Roman" w:cs="Times New Roman"/>
          <w:sz w:val="20"/>
          <w:szCs w:val="20"/>
        </w:rPr>
        <w:t>v’ts increasingly move toward more flexible forms of land use regulation. While this increased flexibility should improve the quality of land use decisions, it necessarily vests more discretion in local officials, which creates an increased risk of imprope</w:t>
      </w:r>
      <w:r>
        <w:rPr>
          <w:rFonts w:ascii="Times New Roman" w:eastAsia="Times New Roman" w:hAnsi="Times New Roman" w:cs="Times New Roman"/>
          <w:sz w:val="20"/>
          <w:szCs w:val="20"/>
        </w:rPr>
        <w:t>r influence</w:t>
      </w:r>
    </w:p>
    <w:p w:rsidR="00E46D95" w:rsidRDefault="006F495B">
      <w:pPr>
        <w:numPr>
          <w:ilvl w:val="2"/>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Village of Euclid v. Ambler Realty Co. </w:t>
      </w:r>
      <w:r>
        <w:rPr>
          <w:rFonts w:ascii="Times New Roman" w:eastAsia="Times New Roman" w:hAnsi="Times New Roman" w:cs="Times New Roman"/>
          <w:color w:val="FF0000"/>
          <w:sz w:val="20"/>
          <w:szCs w:val="20"/>
          <w:shd w:val="clear" w:color="auto" w:fill="FFF2CC"/>
        </w:rPr>
        <w:t>(SCOTUS, 1926)</w:t>
      </w:r>
      <w:r>
        <w:rPr>
          <w:rFonts w:ascii="Times New Roman" w:eastAsia="Times New Roman" w:hAnsi="Times New Roman" w:cs="Times New Roman"/>
          <w:color w:val="FF0000"/>
          <w:sz w:val="20"/>
          <w:szCs w:val="20"/>
        </w:rPr>
        <w:t xml:space="preserve"> – </w:t>
      </w:r>
      <w:r>
        <w:rPr>
          <w:rFonts w:ascii="Times New Roman" w:eastAsia="Times New Roman" w:hAnsi="Times New Roman" w:cs="Times New Roman"/>
          <w:i/>
          <w:color w:val="FF0000"/>
          <w:sz w:val="20"/>
          <w:szCs w:val="20"/>
        </w:rPr>
        <w:t xml:space="preserve">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Village council adopts comprehensive zoning plan ordinance including six classifications of </w:t>
      </w:r>
      <w:r>
        <w:rPr>
          <w:rFonts w:ascii="Times New Roman" w:eastAsia="Times New Roman" w:hAnsi="Times New Roman" w:cs="Times New Roman"/>
          <w:i/>
          <w:color w:val="FF0000"/>
          <w:sz w:val="20"/>
          <w:szCs w:val="20"/>
        </w:rPr>
        <w:t>use districts</w:t>
      </w:r>
      <w:r>
        <w:rPr>
          <w:rFonts w:ascii="Times New Roman" w:eastAsia="Times New Roman" w:hAnsi="Times New Roman" w:cs="Times New Roman"/>
          <w:color w:val="FF0000"/>
          <w:sz w:val="20"/>
          <w:szCs w:val="20"/>
        </w:rPr>
        <w:t>, dictating how certain areas could be used (called “Euclidean zoning” after t</w:t>
      </w:r>
      <w:r>
        <w:rPr>
          <w:rFonts w:ascii="Times New Roman" w:eastAsia="Times New Roman" w:hAnsi="Times New Roman" w:cs="Times New Roman"/>
          <w:color w:val="FF0000"/>
          <w:sz w:val="20"/>
          <w:szCs w:val="20"/>
        </w:rPr>
        <w:t>his case – inclusive/cumulative, can always have a single family dwelling, some mixing of uses (but can’t always have industry))</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Idea behind ordinance: Productivity and livability </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Policy Discussion: Is segregation of uses a good idea? </w:t>
      </w:r>
    </w:p>
    <w:p w:rsidR="00E46D95" w:rsidRDefault="006F495B">
      <w:pPr>
        <w:numPr>
          <w:ilvl w:val="5"/>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Cons</w:t>
      </w:r>
      <w:r>
        <w:rPr>
          <w:rFonts w:ascii="Times New Roman" w:eastAsia="Times New Roman" w:hAnsi="Times New Roman" w:cs="Times New Roman"/>
          <w:color w:val="FF0000"/>
          <w:sz w:val="20"/>
          <w:szCs w:val="20"/>
        </w:rPr>
        <w:t xml:space="preserve">: Have to drive farther (env implications, stuck in traffic wasting time, need a lot of roads (people sprawling – Euclidean zoning promotes urban sprawl)); segregates based on wealth/socioeconomic class (people who can afford exclusive zone are people who </w:t>
      </w:r>
      <w:r>
        <w:rPr>
          <w:rFonts w:ascii="Times New Roman" w:eastAsia="Times New Roman" w:hAnsi="Times New Roman" w:cs="Times New Roman"/>
          <w:color w:val="FF0000"/>
          <w:sz w:val="20"/>
          <w:szCs w:val="20"/>
        </w:rPr>
        <w:t>can afford to live there); restricted use decreases property values – cities could define zones better to correct some of these wrongs/cons</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Court below held ordinance unconstitutional and void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Value goes down (wanted to create industrial area but </w:t>
      </w:r>
      <w:r>
        <w:rPr>
          <w:rFonts w:ascii="Times New Roman" w:eastAsia="Times New Roman" w:hAnsi="Times New Roman" w:cs="Times New Roman"/>
          <w:color w:val="FF0000"/>
          <w:sz w:val="20"/>
          <w:szCs w:val="20"/>
        </w:rPr>
        <w:t>barred because of zoning), due process/equal protection – wants compensation (remedy)</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Public health, safety, welfare (city’s defense) – police power is residual power that states have (re 10th amendment)</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Distinguish nuisance and zoning – in nuisance, co</w:t>
      </w:r>
      <w:r>
        <w:rPr>
          <w:rFonts w:ascii="Times New Roman" w:eastAsia="Times New Roman" w:hAnsi="Times New Roman" w:cs="Times New Roman"/>
          <w:color w:val="FF0000"/>
          <w:sz w:val="20"/>
          <w:szCs w:val="20"/>
        </w:rPr>
        <w:t>urts determining on own how conflicting uses should accommodate each other or not; here, gov’t exercising authority and courts reviewing secondarily (this court determining whether lower court got right)</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Value exercise of police power and necessary for </w:t>
      </w:r>
      <w:r>
        <w:rPr>
          <w:rFonts w:ascii="Times New Roman" w:eastAsia="Times New Roman" w:hAnsi="Times New Roman" w:cs="Times New Roman"/>
          <w:color w:val="FF0000"/>
          <w:sz w:val="20"/>
          <w:szCs w:val="20"/>
        </w:rPr>
        <w:t>the greater good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w:t>
      </w:r>
      <w:r>
        <w:rPr>
          <w:rFonts w:ascii="Times New Roman" w:eastAsia="Times New Roman" w:hAnsi="Times New Roman" w:cs="Times New Roman"/>
          <w:i/>
          <w:color w:val="FF0000"/>
          <w:sz w:val="20"/>
          <w:szCs w:val="20"/>
        </w:rPr>
        <w:t xml:space="preserve">Euclid </w:t>
      </w:r>
      <w:r>
        <w:rPr>
          <w:rFonts w:ascii="Times New Roman" w:eastAsia="Times New Roman" w:hAnsi="Times New Roman" w:cs="Times New Roman"/>
          <w:color w:val="FF0000"/>
          <w:sz w:val="20"/>
          <w:szCs w:val="20"/>
        </w:rPr>
        <w:t>test (pg. 792, note a; j) below) – RBT and SST</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b, “As applied” challenges to zoning (pg. 792): </w:t>
      </w:r>
      <w:r>
        <w:rPr>
          <w:rFonts w:ascii="Times New Roman" w:eastAsia="Times New Roman" w:hAnsi="Times New Roman" w:cs="Times New Roman"/>
          <w:i/>
          <w:color w:val="FF0000"/>
          <w:sz w:val="20"/>
          <w:szCs w:val="20"/>
        </w:rPr>
        <w:t>Nectow v. City of Cambridge</w:t>
      </w:r>
      <w:r>
        <w:rPr>
          <w:rFonts w:ascii="Times New Roman" w:eastAsia="Times New Roman" w:hAnsi="Times New Roman" w:cs="Times New Roman"/>
          <w:color w:val="FF0000"/>
          <w:sz w:val="20"/>
          <w:szCs w:val="20"/>
        </w:rPr>
        <w:t xml:space="preserve">  </w:t>
      </w:r>
    </w:p>
    <w:p w:rsidR="00E46D95" w:rsidRDefault="006F495B">
      <w:pPr>
        <w:numPr>
          <w:ilvl w:val="4"/>
          <w:numId w:val="2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Euclid </w:t>
      </w:r>
      <w:r>
        <w:rPr>
          <w:rFonts w:ascii="Times New Roman" w:eastAsia="Times New Roman" w:hAnsi="Times New Roman" w:cs="Times New Roman"/>
          <w:color w:val="FF0000"/>
          <w:sz w:val="20"/>
          <w:szCs w:val="20"/>
        </w:rPr>
        <w:t xml:space="preserve">“facial challenge” v. </w:t>
      </w:r>
      <w:r>
        <w:rPr>
          <w:rFonts w:ascii="Times New Roman" w:eastAsia="Times New Roman" w:hAnsi="Times New Roman" w:cs="Times New Roman"/>
          <w:i/>
          <w:color w:val="FF0000"/>
          <w:sz w:val="20"/>
          <w:szCs w:val="20"/>
        </w:rPr>
        <w:t>Nectow</w:t>
      </w:r>
      <w:r>
        <w:rPr>
          <w:rFonts w:ascii="Times New Roman" w:eastAsia="Times New Roman" w:hAnsi="Times New Roman" w:cs="Times New Roman"/>
          <w:color w:val="FF0000"/>
          <w:sz w:val="20"/>
          <w:szCs w:val="20"/>
        </w:rPr>
        <w:t>’s successful</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color w:val="FF0000"/>
          <w:sz w:val="20"/>
          <w:szCs w:val="20"/>
        </w:rPr>
        <w:t xml:space="preserve">“as applied challenge” – in </w:t>
      </w:r>
      <w:r>
        <w:rPr>
          <w:rFonts w:ascii="Times New Roman" w:eastAsia="Times New Roman" w:hAnsi="Times New Roman" w:cs="Times New Roman"/>
          <w:i/>
          <w:color w:val="FF0000"/>
          <w:sz w:val="20"/>
          <w:szCs w:val="20"/>
        </w:rPr>
        <w:t>Eucli</w:t>
      </w:r>
      <w:r>
        <w:rPr>
          <w:rFonts w:ascii="Times New Roman" w:eastAsia="Times New Roman" w:hAnsi="Times New Roman" w:cs="Times New Roman"/>
          <w:i/>
          <w:color w:val="FF0000"/>
          <w:sz w:val="20"/>
          <w:szCs w:val="20"/>
        </w:rPr>
        <w:t>d</w:t>
      </w:r>
      <w:r>
        <w:rPr>
          <w:rFonts w:ascii="Times New Roman" w:eastAsia="Times New Roman" w:hAnsi="Times New Roman" w:cs="Times New Roman"/>
          <w:color w:val="FF0000"/>
          <w:sz w:val="20"/>
          <w:szCs w:val="20"/>
        </w:rPr>
        <w:t xml:space="preserve">, may still use property just not the way they want to (can still make money) v. </w:t>
      </w:r>
      <w:r>
        <w:rPr>
          <w:rFonts w:ascii="Times New Roman" w:eastAsia="Times New Roman" w:hAnsi="Times New Roman" w:cs="Times New Roman"/>
          <w:i/>
          <w:color w:val="FF0000"/>
          <w:sz w:val="20"/>
          <w:szCs w:val="20"/>
        </w:rPr>
        <w:t>Nectow</w:t>
      </w:r>
      <w:r>
        <w:rPr>
          <w:rFonts w:ascii="Times New Roman" w:eastAsia="Times New Roman" w:hAnsi="Times New Roman" w:cs="Times New Roman"/>
          <w:color w:val="FF0000"/>
          <w:sz w:val="20"/>
          <w:szCs w:val="20"/>
        </w:rPr>
        <w:t xml:space="preserve"> “no practical use” could be made of the P’s property for residential purposes, the only permitted use and zoning did not in fact promote the public health, safety, or </w:t>
      </w:r>
      <w:r>
        <w:rPr>
          <w:rFonts w:ascii="Times New Roman" w:eastAsia="Times New Roman" w:hAnsi="Times New Roman" w:cs="Times New Roman"/>
          <w:color w:val="FF0000"/>
          <w:sz w:val="20"/>
          <w:szCs w:val="20"/>
        </w:rPr>
        <w:t xml:space="preserve">welfare </w:t>
      </w:r>
    </w:p>
    <w:p w:rsidR="00E46D95" w:rsidRDefault="006F495B">
      <w:pPr>
        <w:ind w:left="3600"/>
        <w:rPr>
          <w:rFonts w:ascii="Times New Roman" w:eastAsia="Times New Roman" w:hAnsi="Times New Roman" w:cs="Times New Roman"/>
          <w:color w:val="FF0000"/>
          <w:sz w:val="20"/>
          <w:szCs w:val="20"/>
        </w:rPr>
      </w:pPr>
      <w:r>
        <w:rPr>
          <w:rFonts w:ascii="Cardo" w:eastAsia="Cardo" w:hAnsi="Cardo" w:cs="Cardo"/>
          <w:i/>
          <w:color w:val="FF0000"/>
          <w:sz w:val="20"/>
          <w:szCs w:val="20"/>
        </w:rPr>
        <w:t xml:space="preserve">→ </w:t>
      </w:r>
      <w:r>
        <w:rPr>
          <w:rFonts w:ascii="Times New Roman" w:eastAsia="Times New Roman" w:hAnsi="Times New Roman" w:cs="Times New Roman"/>
          <w:i/>
          <w:color w:val="FF0000"/>
          <w:sz w:val="20"/>
          <w:szCs w:val="20"/>
          <w:u w:val="single"/>
        </w:rPr>
        <w:t>Euclid</w:t>
      </w:r>
      <w:r>
        <w:rPr>
          <w:rFonts w:ascii="Times New Roman" w:eastAsia="Times New Roman" w:hAnsi="Times New Roman" w:cs="Times New Roman"/>
          <w:color w:val="FF0000"/>
          <w:sz w:val="20"/>
          <w:szCs w:val="20"/>
          <w:u w:val="single"/>
        </w:rPr>
        <w:t xml:space="preserve"> means value not protected unless no value (</w:t>
      </w:r>
      <w:r>
        <w:rPr>
          <w:rFonts w:ascii="Times New Roman" w:eastAsia="Times New Roman" w:hAnsi="Times New Roman" w:cs="Times New Roman"/>
          <w:i/>
          <w:color w:val="FF0000"/>
          <w:sz w:val="20"/>
          <w:szCs w:val="20"/>
          <w:u w:val="single"/>
        </w:rPr>
        <w:t>Nectow</w:t>
      </w:r>
      <w:r>
        <w:rPr>
          <w:rFonts w:ascii="Times New Roman" w:eastAsia="Times New Roman" w:hAnsi="Times New Roman" w:cs="Times New Roman"/>
          <w:color w:val="FF0000"/>
          <w:sz w:val="20"/>
          <w:szCs w:val="20"/>
          <w:u w:val="single"/>
        </w:rPr>
        <w:t>) (zoning to deprive all economic value)</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e, pg. 793-794: Court’s opinion/value on single-family homes v. apartments</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Standard of review: If you want to strike down a zoning ordinance under </w:t>
      </w:r>
      <w:r>
        <w:rPr>
          <w:rFonts w:ascii="Times New Roman" w:eastAsia="Times New Roman" w:hAnsi="Times New Roman" w:cs="Times New Roman"/>
          <w:i/>
          <w:color w:val="FF0000"/>
          <w:sz w:val="20"/>
          <w:szCs w:val="20"/>
        </w:rPr>
        <w:t>Euclid</w:t>
      </w:r>
      <w:r>
        <w:rPr>
          <w:rFonts w:ascii="Times New Roman" w:eastAsia="Times New Roman" w:hAnsi="Times New Roman" w:cs="Times New Roman"/>
          <w:color w:val="FF0000"/>
          <w:sz w:val="20"/>
          <w:szCs w:val="20"/>
        </w:rPr>
        <w:t>, must show “</w:t>
      </w:r>
      <w:r>
        <w:rPr>
          <w:rFonts w:ascii="Times New Roman" w:eastAsia="Times New Roman" w:hAnsi="Times New Roman" w:cs="Times New Roman"/>
          <w:color w:val="FF0000"/>
          <w:sz w:val="20"/>
          <w:szCs w:val="20"/>
          <w:u w:val="single"/>
        </w:rPr>
        <w:t>clearly</w:t>
      </w:r>
      <w:r>
        <w:rPr>
          <w:rFonts w:ascii="Times New Roman" w:eastAsia="Times New Roman" w:hAnsi="Times New Roman" w:cs="Times New Roman"/>
          <w:color w:val="FF0000"/>
          <w:sz w:val="20"/>
          <w:szCs w:val="20"/>
        </w:rPr>
        <w:t xml:space="preserve"> arbitrary and unreasonable, having </w:t>
      </w:r>
      <w:r>
        <w:rPr>
          <w:rFonts w:ascii="Times New Roman" w:eastAsia="Times New Roman" w:hAnsi="Times New Roman" w:cs="Times New Roman"/>
          <w:color w:val="FF0000"/>
          <w:sz w:val="20"/>
          <w:szCs w:val="20"/>
          <w:u w:val="single"/>
        </w:rPr>
        <w:t>no substantial relationship</w:t>
      </w:r>
      <w:r>
        <w:rPr>
          <w:rFonts w:ascii="Cardo" w:eastAsia="Cardo" w:hAnsi="Cardo" w:cs="Cardo"/>
          <w:color w:val="FF0000"/>
          <w:sz w:val="20"/>
          <w:szCs w:val="20"/>
        </w:rPr>
        <w:t xml:space="preserve"> to the public health, safety, morals, or general welfare” → </w:t>
      </w:r>
      <w:r>
        <w:rPr>
          <w:rFonts w:ascii="Times New Roman" w:eastAsia="Times New Roman" w:hAnsi="Times New Roman" w:cs="Times New Roman"/>
          <w:i/>
          <w:color w:val="FF0000"/>
          <w:sz w:val="20"/>
          <w:szCs w:val="20"/>
        </w:rPr>
        <w:t>Rational Basis Test</w:t>
      </w:r>
      <w:r>
        <w:rPr>
          <w:rFonts w:ascii="Times New Roman" w:eastAsia="Times New Roman" w:hAnsi="Times New Roman" w:cs="Times New Roman"/>
          <w:color w:val="FF0000"/>
          <w:sz w:val="20"/>
          <w:szCs w:val="20"/>
        </w:rPr>
        <w:t xml:space="preserve"> (easy to satisfy for gov’t – health, safety, welfare reason unless discrimination against protected “suspect class” of people then </w:t>
      </w:r>
      <w:r>
        <w:rPr>
          <w:rFonts w:ascii="Times New Roman" w:eastAsia="Times New Roman" w:hAnsi="Times New Roman" w:cs="Times New Roman"/>
          <w:i/>
          <w:color w:val="FF0000"/>
          <w:sz w:val="20"/>
          <w:szCs w:val="20"/>
        </w:rPr>
        <w:t>strict scrutiny standard</w:t>
      </w:r>
      <w:r>
        <w:rPr>
          <w:rFonts w:ascii="Times New Roman" w:eastAsia="Times New Roman" w:hAnsi="Times New Roman" w:cs="Times New Roman"/>
          <w:color w:val="FF0000"/>
          <w:sz w:val="20"/>
          <w:szCs w:val="20"/>
        </w:rPr>
        <w:t xml:space="preserve"> applied)</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Gov’t wins with RBT (</w:t>
      </w:r>
      <w:r>
        <w:rPr>
          <w:rFonts w:ascii="Times New Roman" w:eastAsia="Times New Roman" w:hAnsi="Times New Roman" w:cs="Times New Roman"/>
          <w:i/>
          <w:color w:val="FF0000"/>
          <w:sz w:val="20"/>
          <w:szCs w:val="20"/>
        </w:rPr>
        <w:t>Euclid</w:t>
      </w:r>
      <w:r>
        <w:rPr>
          <w:rFonts w:ascii="Times New Roman" w:eastAsia="Times New Roman" w:hAnsi="Times New Roman" w:cs="Times New Roman"/>
          <w:color w:val="FF0000"/>
          <w:sz w:val="20"/>
          <w:szCs w:val="20"/>
        </w:rPr>
        <w:t>); challengers win with SST</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Hypos: Bar (under RBT) low unless</w:t>
      </w:r>
      <w:r>
        <w:rPr>
          <w:rFonts w:ascii="Cardo" w:eastAsia="Cardo" w:hAnsi="Cardo" w:cs="Cardo"/>
          <w:color w:val="FF0000"/>
          <w:sz w:val="20"/>
          <w:szCs w:val="20"/>
        </w:rPr>
        <w:t xml:space="preserve"> can show “suspect class” and apply SST (favoring challenger)</w:t>
      </w:r>
    </w:p>
    <w:p w:rsidR="00E46D95" w:rsidRDefault="006F495B">
      <w:pPr>
        <w:ind w:left="2160"/>
        <w:rPr>
          <w:rFonts w:ascii="Times New Roman" w:eastAsia="Times New Roman" w:hAnsi="Times New Roman" w:cs="Times New Roman"/>
          <w:sz w:val="20"/>
          <w:szCs w:val="20"/>
        </w:rPr>
      </w:pPr>
      <w:r>
        <w:rPr>
          <w:rFonts w:ascii="Cardo" w:eastAsia="Cardo" w:hAnsi="Cardo" w:cs="Cardo"/>
          <w:color w:val="FF0000"/>
          <w:sz w:val="20"/>
          <w:szCs w:val="20"/>
        </w:rPr>
        <w:t xml:space="preserve">→ Zoning is an attempt to get out in front (in advance, </w:t>
      </w:r>
      <w:r>
        <w:rPr>
          <w:rFonts w:ascii="Times New Roman" w:eastAsia="Times New Roman" w:hAnsi="Times New Roman" w:cs="Times New Roman"/>
          <w:i/>
          <w:color w:val="FF0000"/>
          <w:sz w:val="20"/>
          <w:szCs w:val="20"/>
        </w:rPr>
        <w:t>ex ante</w:t>
      </w:r>
      <w:r>
        <w:rPr>
          <w:rFonts w:ascii="Times New Roman" w:eastAsia="Times New Roman" w:hAnsi="Times New Roman" w:cs="Times New Roman"/>
          <w:color w:val="FF0000"/>
          <w:sz w:val="20"/>
          <w:szCs w:val="20"/>
        </w:rPr>
        <w:t>) of nuisances; but not just about nuisances, also about i.e. aesthetics, key to zoning is that in advance/</w:t>
      </w:r>
      <w:r>
        <w:rPr>
          <w:rFonts w:ascii="Times New Roman" w:eastAsia="Times New Roman" w:hAnsi="Times New Roman" w:cs="Times New Roman"/>
          <w:i/>
          <w:color w:val="FF0000"/>
          <w:sz w:val="20"/>
          <w:szCs w:val="20"/>
        </w:rPr>
        <w:t>ex ante</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Typical Zoning O</w:t>
      </w:r>
      <w:r>
        <w:rPr>
          <w:rFonts w:ascii="Times New Roman" w:eastAsia="Times New Roman" w:hAnsi="Times New Roman" w:cs="Times New Roman"/>
          <w:sz w:val="20"/>
          <w:szCs w:val="20"/>
        </w:rPr>
        <w:t>rdinance – adopted by a city or county as a legislative act; two basic components: (1) The text of the ordinance and (2) maps that implement the ordinance</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Ordinance Text – creates different types of zone where particular uses are allowed (e.g. single-famil</w:t>
      </w:r>
      <w:r>
        <w:rPr>
          <w:rFonts w:ascii="Times New Roman" w:eastAsia="Times New Roman" w:hAnsi="Times New Roman" w:cs="Times New Roman"/>
          <w:sz w:val="20"/>
          <w:szCs w:val="20"/>
        </w:rPr>
        <w:t>y residences, agriculture); will also impose height, bulk, and related restrictions either on all structures in a particular zone or on structures devoted to a particular use</w:t>
      </w:r>
    </w:p>
    <w:p w:rsidR="00E46D95" w:rsidRDefault="006F495B">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Minimum lot size </w:t>
      </w:r>
    </w:p>
    <w:p w:rsidR="00E46D95" w:rsidRDefault="006F495B">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height limit</w:t>
      </w:r>
    </w:p>
    <w:p w:rsidR="00E46D95" w:rsidRDefault="006F495B">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lot coverage requirement (e.g. no more than 40</w:t>
      </w:r>
      <w:r>
        <w:rPr>
          <w:rFonts w:ascii="Times New Roman" w:eastAsia="Times New Roman" w:hAnsi="Times New Roman" w:cs="Times New Roman"/>
          <w:sz w:val="20"/>
          <w:szCs w:val="20"/>
        </w:rPr>
        <w:t>% of the lot may be covered by a structure)</w:t>
      </w:r>
    </w:p>
    <w:p w:rsidR="00E46D95" w:rsidRDefault="006F495B">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Setback requirements (e.g. the home must be located at least 40 feet away from the front and rear lot lines and 8 feet away from each side lot line)</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Map – shows where each zone is located</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Nonconforming Uses – alm</w:t>
      </w:r>
      <w:r>
        <w:rPr>
          <w:rFonts w:ascii="Times New Roman" w:eastAsia="Times New Roman" w:hAnsi="Times New Roman" w:cs="Times New Roman"/>
          <w:sz w:val="20"/>
          <w:szCs w:val="20"/>
        </w:rPr>
        <w:t xml:space="preserve">ost always a new zoning ordinance will provide that it does not apply to lawful uses that already exist, these </w:t>
      </w:r>
      <w:r>
        <w:rPr>
          <w:rFonts w:ascii="Times New Roman" w:eastAsia="Times New Roman" w:hAnsi="Times New Roman" w:cs="Times New Roman"/>
          <w:i/>
          <w:sz w:val="20"/>
          <w:szCs w:val="20"/>
        </w:rPr>
        <w:t xml:space="preserve">prior nonconforming uses </w:t>
      </w:r>
      <w:r>
        <w:rPr>
          <w:rFonts w:ascii="Times New Roman" w:eastAsia="Times New Roman" w:hAnsi="Times New Roman" w:cs="Times New Roman"/>
          <w:sz w:val="20"/>
          <w:szCs w:val="20"/>
        </w:rPr>
        <w:t>are allowed to continue; thus zoning regulates future development not existing uses; may be terminated by abandonment, d</w:t>
      </w:r>
      <w:r>
        <w:rPr>
          <w:rFonts w:ascii="Times New Roman" w:eastAsia="Times New Roman" w:hAnsi="Times New Roman" w:cs="Times New Roman"/>
          <w:sz w:val="20"/>
          <w:szCs w:val="20"/>
        </w:rPr>
        <w:t>estruction, eminent domain, nuisance law or, in most jurisdictions, amortization</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Why protect nonconforming uses? Early zoning advocates assumed that such uses would wither away over time; also any frontal attack on existing uses might constitution a taking</w:t>
      </w:r>
      <w:r>
        <w:rPr>
          <w:rFonts w:ascii="Times New Roman" w:eastAsia="Times New Roman" w:hAnsi="Times New Roman" w:cs="Times New Roman"/>
          <w:sz w:val="20"/>
          <w:szCs w:val="20"/>
        </w:rPr>
        <w:t xml:space="preserve"> (be unconstitutional in violation of the 5A without “just compensation”)</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Nonconforming uses actually tend to continue and prosper because of the artificial monopoly accorded them by the law and because the owner of a nonconforming use has the right to pas</w:t>
      </w:r>
      <w:r>
        <w:rPr>
          <w:rFonts w:ascii="Times New Roman" w:eastAsia="Times New Roman" w:hAnsi="Times New Roman" w:cs="Times New Roman"/>
          <w:sz w:val="20"/>
          <w:szCs w:val="20"/>
        </w:rPr>
        <w:t>s on the protected status to a buyer, it may continue for many years</w:t>
      </w:r>
    </w:p>
    <w:p w:rsidR="00E46D95" w:rsidRDefault="006F495B">
      <w:pPr>
        <w:ind w:left="2160"/>
        <w:rPr>
          <w:rFonts w:ascii="Times New Roman" w:eastAsia="Times New Roman" w:hAnsi="Times New Roman" w:cs="Times New Roman"/>
          <w:sz w:val="20"/>
          <w:szCs w:val="20"/>
        </w:rPr>
      </w:pPr>
      <w:r>
        <w:rPr>
          <w:rFonts w:ascii="Cardo" w:eastAsia="Cardo" w:hAnsi="Cardo" w:cs="Cardo"/>
          <w:sz w:val="20"/>
          <w:szCs w:val="20"/>
        </w:rPr>
        <w:t xml:space="preserve">→ Zoning ordinances typically restrict the nonconforming use in order to hasten its demise: Generally, a nonconforming use cannot be expanded, e.g. though ordinary repairs are permitted, </w:t>
      </w:r>
      <w:r>
        <w:rPr>
          <w:rFonts w:ascii="Cardo" w:eastAsia="Cardo" w:hAnsi="Cardo" w:cs="Cardo"/>
          <w:sz w:val="20"/>
          <w:szCs w:val="20"/>
        </w:rPr>
        <w:t>major repairs that would extend the duration of the use are barred</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Trip Associates, Inc. v. Mayor and City Council of Baltimore</w:t>
      </w:r>
      <w:r>
        <w:rPr>
          <w:rFonts w:ascii="Times New Roman" w:eastAsia="Times New Roman" w:hAnsi="Times New Roman" w:cs="Times New Roman"/>
          <w:color w:val="FF0000"/>
          <w:sz w:val="20"/>
          <w:szCs w:val="20"/>
          <w:shd w:val="clear" w:color="auto" w:fill="FFF2CC"/>
        </w:rPr>
        <w:t xml:space="preserve"> (Court of Appeals of Maryland, 2006)</w:t>
      </w:r>
      <w:r>
        <w:rPr>
          <w:rFonts w:ascii="Times New Roman" w:eastAsia="Times New Roman" w:hAnsi="Times New Roman" w:cs="Times New Roman"/>
          <w:color w:val="FF0000"/>
          <w:sz w:val="20"/>
          <w:szCs w:val="20"/>
        </w:rPr>
        <w:t xml:space="preserve"> –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Nonconforming uses (pg. 796) – where use prior to zoning nonconforming post zoning, allowed to continue but typically restricted to hasten the nonconforming uses’ demise; may intensify but not expand (at least in MD); may be terminated, amortized, abandone</w:t>
      </w:r>
      <w:r>
        <w:rPr>
          <w:rFonts w:ascii="Times New Roman" w:eastAsia="Times New Roman" w:hAnsi="Times New Roman" w:cs="Times New Roman"/>
          <w:color w:val="FF0000"/>
          <w:sz w:val="20"/>
          <w:szCs w:val="20"/>
        </w:rPr>
        <w:t>d/discontinued (pg. 801-802)</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Amortization – termination of use over a reasonable period; here landowner told that must phase use out over period of time (may challenge that unreasonable time, but not easy to do); landowner doesn’t lose land, could devote t</w:t>
      </w:r>
      <w:r>
        <w:rPr>
          <w:rFonts w:ascii="Times New Roman" w:eastAsia="Times New Roman" w:hAnsi="Times New Roman" w:cs="Times New Roman"/>
          <w:color w:val="FF0000"/>
          <w:sz w:val="20"/>
          <w:szCs w:val="20"/>
        </w:rPr>
        <w:t>o another profitable use and has had amortization period to recover investment in nonconforming use (counsels against finding of a “taking”)</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Ordinance enacted after establishment bars adult entertainment so valid nonconforming use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using the </w:t>
      </w:r>
      <w:r>
        <w:rPr>
          <w:rFonts w:ascii="Times New Roman" w:eastAsia="Times New Roman" w:hAnsi="Times New Roman" w:cs="Times New Roman"/>
          <w:color w:val="FF0000"/>
          <w:sz w:val="20"/>
          <w:szCs w:val="20"/>
        </w:rPr>
        <w:t>valid nonconforming use more frequently than it was being used when the use became nonconforming (presenting adult entertainment more than two nights per week) would be a prohibited expansion of the use or a mere intensification of the use?</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Trip lost i</w:t>
      </w:r>
      <w:r>
        <w:rPr>
          <w:rFonts w:ascii="Times New Roman" w:eastAsia="Times New Roman" w:hAnsi="Times New Roman" w:cs="Times New Roman"/>
          <w:color w:val="FF0000"/>
          <w:sz w:val="20"/>
          <w:szCs w:val="20"/>
        </w:rPr>
        <w:t>n both courts below, now appealing</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Consistently held that merely increasing the frequency of a nonconforming use did not constitute an unlawful extension, rather it was about an intensification of the use</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Intensification not an unlawful expansion/</w:t>
      </w:r>
      <w:r>
        <w:rPr>
          <w:rFonts w:ascii="Times New Roman" w:eastAsia="Times New Roman" w:hAnsi="Times New Roman" w:cs="Times New Roman"/>
          <w:color w:val="FF0000"/>
          <w:sz w:val="20"/>
          <w:szCs w:val="20"/>
        </w:rPr>
        <w:t>extension (so ok)</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Based on morals? If city, would argue i.e. noise nuisance, etc. (1A overtones, arguably “suspect class”)</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f, Vested Rights (pg. 802): Vested rights when acquire necessary permits and spent a substantial amount of money in good faith reliance (like easement by estoppel – requires expenditure of money) – what you claim compensation for  </w:t>
      </w:r>
    </w:p>
    <w:p w:rsidR="00E46D95" w:rsidRDefault="006F495B">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Far Can Regulat</w:t>
      </w:r>
      <w:r>
        <w:rPr>
          <w:rFonts w:ascii="Times New Roman" w:eastAsia="Times New Roman" w:hAnsi="Times New Roman" w:cs="Times New Roman"/>
          <w:sz w:val="20"/>
          <w:szCs w:val="20"/>
        </w:rPr>
        <w:t>ion Go?</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Aesthetic Regulation – despite extensive controversy, aesthetic regulation is now widely accepted in teh US; the most common justification is that it protects property values, however the first amendment restricts the scope of such regulation (see </w:t>
      </w:r>
      <w:r>
        <w:rPr>
          <w:rFonts w:ascii="Times New Roman" w:eastAsia="Times New Roman" w:hAnsi="Times New Roman" w:cs="Times New Roman"/>
          <w:i/>
          <w:sz w:val="20"/>
          <w:szCs w:val="20"/>
        </w:rPr>
        <w:t>City of Ladue v. Gilleo</w:t>
      </w:r>
      <w:r>
        <w:rPr>
          <w:rFonts w:ascii="Times New Roman" w:eastAsia="Times New Roman" w:hAnsi="Times New Roman" w:cs="Times New Roman"/>
          <w:sz w:val="20"/>
          <w:szCs w:val="20"/>
        </w:rPr>
        <w:t>)</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City of Ladue v. Gilleo</w:t>
      </w:r>
      <w:r>
        <w:rPr>
          <w:rFonts w:ascii="Times New Roman" w:eastAsia="Times New Roman" w:hAnsi="Times New Roman" w:cs="Times New Roman"/>
          <w:color w:val="FF0000"/>
          <w:sz w:val="20"/>
          <w:szCs w:val="20"/>
          <w:shd w:val="clear" w:color="auto" w:fill="FFF2CC"/>
        </w:rPr>
        <w:t xml:space="preserve"> (SCOTUS, 1994)</w:t>
      </w:r>
      <w:r>
        <w:rPr>
          <w:rFonts w:ascii="Times New Roman" w:eastAsia="Times New Roman" w:hAnsi="Times New Roman" w:cs="Times New Roman"/>
          <w:color w:val="FF0000"/>
          <w:sz w:val="20"/>
          <w:szCs w:val="20"/>
        </w:rPr>
        <w:t xml:space="preserve"> –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Anti-war sign on lawn then in window; city ordinance prohibits homeowners from displaying any signs on their property</w:t>
      </w:r>
      <w:r>
        <w:rPr>
          <w:rFonts w:ascii="Times New Roman" w:eastAsia="Times New Roman" w:hAnsi="Times New Roman" w:cs="Times New Roman"/>
          <w:color w:val="FF0000"/>
          <w:sz w:val="20"/>
          <w:szCs w:val="20"/>
        </w:rPr>
        <w:tab/>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Arguably in window regulation more invasive because inside home </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If</w:t>
      </w:r>
      <w:r>
        <w:rPr>
          <w:rFonts w:ascii="Times New Roman" w:eastAsia="Times New Roman" w:hAnsi="Times New Roman" w:cs="Times New Roman"/>
          <w:color w:val="FF0000"/>
          <w:sz w:val="20"/>
          <w:szCs w:val="20"/>
        </w:rPr>
        <w:t xml:space="preserve"> Δ (city): Would want to argue aesthetics/beautification (harder arg, though if clearly consistent then better arg), safety hazard/distraction to drivers (better arg than merely aesthetics)</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If </w:t>
      </w:r>
      <w:r>
        <w:rPr>
          <w:rFonts w:ascii="Times New Roman" w:eastAsia="Times New Roman" w:hAnsi="Times New Roman" w:cs="Times New Roman"/>
          <w:i/>
          <w:color w:val="FF0000"/>
          <w:sz w:val="20"/>
          <w:szCs w:val="20"/>
        </w:rPr>
        <w:t>Euclid</w:t>
      </w:r>
      <w:r>
        <w:rPr>
          <w:rFonts w:ascii="Times New Roman" w:eastAsia="Times New Roman" w:hAnsi="Times New Roman" w:cs="Times New Roman"/>
          <w:color w:val="FF0000"/>
          <w:sz w:val="20"/>
          <w:szCs w:val="20"/>
        </w:rPr>
        <w:t xml:space="preserve"> standard, low bar (RBT)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if free speech (as here) then higher bar (SST) – Stevens M: Fundamental right to express opinion and inside home </w:t>
      </w:r>
    </w:p>
    <w:p w:rsidR="00E46D95" w:rsidRDefault="006F495B">
      <w:pPr>
        <w:numPr>
          <w:ilvl w:val="5"/>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If protected “suspect class” need a compelling gov’t interest – here, if concerned with drivers, less discriminatory alternatives? (i.e. smal</w:t>
      </w:r>
      <w:r>
        <w:rPr>
          <w:rFonts w:ascii="Times New Roman" w:eastAsia="Times New Roman" w:hAnsi="Times New Roman" w:cs="Times New Roman"/>
          <w:color w:val="FF0000"/>
          <w:sz w:val="20"/>
          <w:szCs w:val="20"/>
        </w:rPr>
        <w:t>ler signs)</w:t>
      </w:r>
    </w:p>
    <w:p w:rsidR="00E46D95" w:rsidRDefault="006F495B">
      <w:pPr>
        <w:numPr>
          <w:ilvl w:val="5"/>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Cases emphasizing value of “the home” (“a person’s home is their castle” idea): </w:t>
      </w:r>
      <w:r>
        <w:rPr>
          <w:rFonts w:ascii="Times New Roman" w:eastAsia="Times New Roman" w:hAnsi="Times New Roman" w:cs="Times New Roman"/>
          <w:i/>
          <w:color w:val="FF0000"/>
          <w:sz w:val="20"/>
          <w:szCs w:val="20"/>
        </w:rPr>
        <w:t>Jacque v. Steenberg</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Foundation Valley Chateau Blanc Homeowner’s Association v. Department of Veterans Affairs</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the ordinance violates a resident’s right t</w:t>
      </w:r>
      <w:r>
        <w:rPr>
          <w:rFonts w:ascii="Times New Roman" w:eastAsia="Times New Roman" w:hAnsi="Times New Roman" w:cs="Times New Roman"/>
          <w:color w:val="FF0000"/>
          <w:sz w:val="20"/>
          <w:szCs w:val="20"/>
        </w:rPr>
        <w:t>o free speech?</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Well-settled that a city may regulate the “time, place, and manner” of speech (here not upheld as regulating place because in home, value of home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Invalid ordinance, violative of 1A</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 Affirmed </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Growth Controls and Exclusion: Can </w:t>
      </w:r>
      <w:r>
        <w:rPr>
          <w:rFonts w:ascii="Times New Roman" w:eastAsia="Times New Roman" w:hAnsi="Times New Roman" w:cs="Times New Roman"/>
          <w:sz w:val="20"/>
          <w:szCs w:val="20"/>
        </w:rPr>
        <w:t>a community exclude newcomers? Two Concepts:</w:t>
      </w:r>
    </w:p>
    <w:p w:rsidR="00E46D95" w:rsidRDefault="006F495B">
      <w:pPr>
        <w:numPr>
          <w:ilvl w:val="2"/>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Growth Control Ordinances</w:t>
      </w:r>
      <w:r>
        <w:rPr>
          <w:rFonts w:ascii="Times New Roman" w:eastAsia="Times New Roman" w:hAnsi="Times New Roman" w:cs="Times New Roman"/>
          <w:sz w:val="20"/>
          <w:szCs w:val="20"/>
        </w:rPr>
        <w:t xml:space="preserve"> – make it more difficult for residents to move into a community by restricting the number of housing units available (e.g. a growth control moratorium adopt for legitimate, non-discrimi</w:t>
      </w:r>
      <w:r>
        <w:rPr>
          <w:rFonts w:ascii="Times New Roman" w:eastAsia="Times New Roman" w:hAnsi="Times New Roman" w:cs="Times New Roman"/>
          <w:sz w:val="20"/>
          <w:szCs w:val="20"/>
        </w:rPr>
        <w:t xml:space="preserve">natory reasons, see </w:t>
      </w:r>
      <w:r>
        <w:rPr>
          <w:rFonts w:ascii="Times New Roman" w:eastAsia="Times New Roman" w:hAnsi="Times New Roman" w:cs="Times New Roman"/>
          <w:i/>
          <w:sz w:val="20"/>
          <w:szCs w:val="20"/>
        </w:rPr>
        <w:t>Associated Home Builders of the Greater Eastbay, Inc. v. City of Livermore</w:t>
      </w:r>
      <w:r>
        <w:rPr>
          <w:rFonts w:ascii="Times New Roman" w:eastAsia="Times New Roman" w:hAnsi="Times New Roman" w:cs="Times New Roman"/>
          <w:sz w:val="20"/>
          <w:szCs w:val="20"/>
        </w:rPr>
        <w:t>)</w:t>
      </w:r>
    </w:p>
    <w:p w:rsidR="00E46D95" w:rsidRDefault="006F495B">
      <w:pPr>
        <w:numPr>
          <w:ilvl w:val="2"/>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Exclusionary Zoning</w:t>
      </w:r>
      <w:r>
        <w:rPr>
          <w:rFonts w:ascii="Times New Roman" w:eastAsia="Times New Roman" w:hAnsi="Times New Roman" w:cs="Times New Roman"/>
          <w:sz w:val="20"/>
          <w:szCs w:val="20"/>
        </w:rPr>
        <w:t xml:space="preserve"> – land regulation that has the effect of excluding minority or low-income groups from a community </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temporary moratorium on development wil</w:t>
      </w:r>
      <w:r>
        <w:rPr>
          <w:rFonts w:ascii="Times New Roman" w:eastAsia="Times New Roman" w:hAnsi="Times New Roman" w:cs="Times New Roman"/>
          <w:sz w:val="20"/>
          <w:szCs w:val="20"/>
        </w:rPr>
        <w:t>l be upheld when supported by a rational basis. Increasingly courts are limiting the ability of local gov’ts to adopt land use regulations which have the effect of excluding minorities or the poor</w:t>
      </w:r>
    </w:p>
    <w:p w:rsidR="00E46D95" w:rsidRDefault="006F495B">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Associated Home of Builders of the Greater Eastbay, Inc. v.</w:t>
      </w:r>
      <w:r>
        <w:rPr>
          <w:rFonts w:ascii="Times New Roman" w:eastAsia="Times New Roman" w:hAnsi="Times New Roman" w:cs="Times New Roman"/>
          <w:i/>
          <w:color w:val="FF0000"/>
          <w:sz w:val="20"/>
          <w:szCs w:val="20"/>
          <w:shd w:val="clear" w:color="auto" w:fill="FFF2CC"/>
        </w:rPr>
        <w:t xml:space="preserve"> City of Livermore</w:t>
      </w:r>
      <w:r>
        <w:rPr>
          <w:rFonts w:ascii="Times New Roman" w:eastAsia="Times New Roman" w:hAnsi="Times New Roman" w:cs="Times New Roman"/>
          <w:color w:val="FF0000"/>
          <w:sz w:val="20"/>
          <w:szCs w:val="20"/>
          <w:shd w:val="clear" w:color="auto" w:fill="FFF2CC"/>
        </w:rPr>
        <w:t xml:space="preserve"> (Supreme Court of California, 1976)</w:t>
      </w:r>
      <w:r>
        <w:rPr>
          <w:rFonts w:ascii="Times New Roman" w:eastAsia="Times New Roman" w:hAnsi="Times New Roman" w:cs="Times New Roman"/>
          <w:color w:val="FF0000"/>
          <w:sz w:val="20"/>
          <w:szCs w:val="20"/>
        </w:rPr>
        <w:t xml:space="preserve"> –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Question of validity of an initiative ordinance (democratically elected by city, F) enacted by voters of the City which prohibits issuance of further residential building permits until local educational, sewage disposal, and water supply facilities comp</w:t>
      </w:r>
      <w:r>
        <w:rPr>
          <w:rFonts w:ascii="Times New Roman" w:eastAsia="Times New Roman" w:hAnsi="Times New Roman" w:cs="Times New Roman"/>
          <w:color w:val="FF0000"/>
          <w:sz w:val="20"/>
          <w:szCs w:val="20"/>
        </w:rPr>
        <w:t>ly with specified standards?</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 growth until get act together (alike a moratorium), no specified future date where issuance of further residential buildings will restart</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COA/PH: Suit brought by those interested in residential construction (contractors, sub</w:t>
      </w:r>
      <w:r>
        <w:rPr>
          <w:rFonts w:ascii="Times New Roman" w:eastAsia="Times New Roman" w:hAnsi="Times New Roman" w:cs="Times New Roman"/>
          <w:color w:val="FF0000"/>
          <w:sz w:val="20"/>
          <w:szCs w:val="20"/>
        </w:rPr>
        <w:t xml:space="preserve">dividers) to enjoin ordinance’s enforcement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RULE(S): (pg. 848-851), three-step analysis</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Standard of review deferential to the city (want planned development not no development)</w:t>
      </w:r>
    </w:p>
    <w:p w:rsidR="00E46D95" w:rsidRDefault="006F495B">
      <w:pPr>
        <w:numPr>
          <w:ilvl w:val="4"/>
          <w:numId w:val="2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Euclid</w:t>
      </w:r>
      <w:r>
        <w:rPr>
          <w:rFonts w:ascii="Times New Roman" w:eastAsia="Times New Roman" w:hAnsi="Times New Roman" w:cs="Times New Roman"/>
          <w:color w:val="FF0000"/>
          <w:sz w:val="20"/>
          <w:szCs w:val="20"/>
        </w:rPr>
        <w:t xml:space="preserve"> standard (low bar, therefore ordinance upheld (H)); democracy deficit, those not living there who may want to move there (i.e. those affected) couldn’t vote on ordinance (reflected in Mosk dissent)</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Significance of change in CA code (no longer a presumptio</w:t>
      </w:r>
      <w:r>
        <w:rPr>
          <w:rFonts w:ascii="Times New Roman" w:eastAsia="Times New Roman" w:hAnsi="Times New Roman" w:cs="Times New Roman"/>
          <w:color w:val="FF0000"/>
          <w:sz w:val="20"/>
          <w:szCs w:val="20"/>
        </w:rPr>
        <w:t>n of constitutionality(?))</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Ordinance valid</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(Mosk) ^, ordinance itself has effects beyond the people who voted for it – those that want to move can’t move, should be entitled to right to move to that area (though can buy existing house but can’t buy n</w:t>
      </w:r>
      <w:r>
        <w:rPr>
          <w:rFonts w:ascii="Times New Roman" w:eastAsia="Times New Roman" w:hAnsi="Times New Roman" w:cs="Times New Roman"/>
          <w:color w:val="FF0000"/>
          <w:sz w:val="20"/>
          <w:szCs w:val="20"/>
        </w:rPr>
        <w:t>ew development); exclusionary nature of ordinance</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 only can people not buy new houses but this ordinance will increase property values and property that can buy won’t be affordable</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Democracy issue greatest (about moving, not just travel), outsiders’ opi</w:t>
      </w:r>
      <w:r>
        <w:rPr>
          <w:rFonts w:ascii="Times New Roman" w:eastAsia="Times New Roman" w:hAnsi="Times New Roman" w:cs="Times New Roman"/>
          <w:color w:val="FF0000"/>
          <w:sz w:val="20"/>
          <w:szCs w:val="20"/>
        </w:rPr>
        <w:t xml:space="preserve">nions not effected and arguably spillover effects on entire Bay area </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Aftermath: CA Supreme Court later review amendments to CA code and said that at least in the context of an initiative, amendments did not apply (applies only to gov’t enacted ordinances,</w:t>
      </w:r>
      <w:r>
        <w:rPr>
          <w:rFonts w:ascii="Times New Roman" w:eastAsia="Times New Roman" w:hAnsi="Times New Roman" w:cs="Times New Roman"/>
          <w:color w:val="FF0000"/>
          <w:sz w:val="20"/>
          <w:szCs w:val="20"/>
        </w:rPr>
        <w:t xml:space="preserve"> not voter enacted)</w:t>
      </w:r>
    </w:p>
    <w:p w:rsidR="00E46D95" w:rsidRDefault="006F495B">
      <w:pPr>
        <w:numPr>
          <w:ilvl w:val="3"/>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f, Aftermath (pg. 854): Livermore (town) ended its moratorium in 1976 and permitted a 2% increase (not no growth) (hasn’t reduced the population, people may be moving into old developments) and established an “urban growth boundary</w:t>
      </w:r>
      <w:r>
        <w:rPr>
          <w:rFonts w:ascii="Times New Roman" w:eastAsia="Times New Roman" w:hAnsi="Times New Roman" w:cs="Times New Roman"/>
          <w:color w:val="FF0000"/>
          <w:sz w:val="20"/>
          <w:szCs w:val="20"/>
        </w:rPr>
        <w:t xml:space="preserve">” (alike Oregon, justification (because controversial) to protect ag/forest land outside urban growth boundaries) </w:t>
      </w:r>
    </w:p>
    <w:p w:rsidR="00E46D95" w:rsidRDefault="006F495B">
      <w:pPr>
        <w:numPr>
          <w:ilvl w:val="4"/>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Similar to OR, hasn’t prevented increase in pop, restricted it to certain areas  </w:t>
      </w:r>
    </w:p>
    <w:p w:rsidR="00E46D95" w:rsidRDefault="006F495B">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 Land Use</w:t>
      </w:r>
    </w:p>
    <w:p w:rsidR="00E46D95" w:rsidRDefault="006F495B">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Zoning</w:t>
      </w:r>
    </w:p>
    <w:p w:rsidR="00E46D95" w:rsidRDefault="006F495B">
      <w:pPr>
        <w:numPr>
          <w:ilvl w:val="2"/>
          <w:numId w:val="2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Background: Begins to evolve in 1914</w:t>
      </w:r>
      <w:r>
        <w:rPr>
          <w:rFonts w:ascii="Times New Roman" w:eastAsia="Times New Roman" w:hAnsi="Times New Roman" w:cs="Times New Roman"/>
          <w:color w:val="FF00FF"/>
          <w:sz w:val="20"/>
          <w:szCs w:val="20"/>
        </w:rPr>
        <w:t xml:space="preserve"> when NY state enacts zoning authorization for localities, in concert with happenings in NYC – subway, overcrowding (nature of quality of life in NYC)</w:t>
      </w:r>
    </w:p>
    <w:p w:rsidR="00E46D95" w:rsidRDefault="006F495B">
      <w:pPr>
        <w:numPr>
          <w:ilvl w:val="3"/>
          <w:numId w:val="2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First comprehensive zoning ordinance of 1916 (NY), prompted imitators</w:t>
      </w:r>
    </w:p>
    <w:p w:rsidR="00E46D95" w:rsidRDefault="006F495B">
      <w:pPr>
        <w:numPr>
          <w:ilvl w:val="3"/>
          <w:numId w:val="2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1920s federal gov’t (Commerce) created model zoning statute (also model comprehensive planning statute, not adopted by as many), within 5Ys half states had adopted something similar </w:t>
      </w:r>
    </w:p>
    <w:p w:rsidR="00E46D95" w:rsidRDefault="006F495B">
      <w:pPr>
        <w:numPr>
          <w:ilvl w:val="3"/>
          <w:numId w:val="21"/>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Example of “cooperative federalism” – state gov’ts not required to do any</w:t>
      </w:r>
      <w:r>
        <w:rPr>
          <w:rFonts w:ascii="Times New Roman" w:eastAsia="Times New Roman" w:hAnsi="Times New Roman" w:cs="Times New Roman"/>
          <w:color w:val="FF00FF"/>
          <w:sz w:val="20"/>
          <w:szCs w:val="20"/>
        </w:rPr>
        <w:t>thing, federal gov’t providing ideas and many states adopting something similar</w:t>
      </w:r>
    </w:p>
    <w:p w:rsidR="00E46D95" w:rsidRDefault="00E46D95">
      <w:pPr>
        <w:ind w:left="144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An Introduction to Environmental Law</w:t>
      </w:r>
    </w:p>
    <w:p w:rsidR="00E46D95" w:rsidRDefault="006F495B">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 to Environmental Law</w:t>
      </w:r>
    </w:p>
    <w:p w:rsidR="00E46D95" w:rsidRDefault="006F495B">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Intersection of environmental and property law – many environmental law doctrines affect how</w:t>
      </w:r>
      <w:r>
        <w:rPr>
          <w:rFonts w:ascii="Times New Roman" w:eastAsia="Times New Roman" w:hAnsi="Times New Roman" w:cs="Times New Roman"/>
          <w:sz w:val="20"/>
          <w:szCs w:val="20"/>
        </w:rPr>
        <w:t xml:space="preserve"> property can be used; and property law concepts are sometimes applied to solve environmental problems </w:t>
      </w:r>
    </w:p>
    <w:p w:rsidR="00E46D95" w:rsidRDefault="006F495B">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series of federal environmental statutes, aimed at e.g. pesticides, air, water, toxics, endangered species, wilderness areas, etc., taken together cre</w:t>
      </w:r>
      <w:r>
        <w:rPr>
          <w:rFonts w:ascii="Times New Roman" w:eastAsia="Times New Roman" w:hAnsi="Times New Roman" w:cs="Times New Roman"/>
          <w:sz w:val="20"/>
          <w:szCs w:val="20"/>
        </w:rPr>
        <w:t xml:space="preserve">ate a comprehensive federal regulatory framework that sometimes intersects with state laws governing property </w:t>
      </w:r>
    </w:p>
    <w:p w:rsidR="00E46D95" w:rsidRDefault="006F495B">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Property and Ecology</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as a Commodity (dominant view in American property law) v. An Ecological View of Property (the right of an owner to change the natural character of his land is not absolute)</w:t>
      </w:r>
    </w:p>
    <w:p w:rsidR="00E46D95" w:rsidRDefault="006F495B">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Sax: Two fundamentally different views of property rights</w:t>
      </w:r>
    </w:p>
    <w:p w:rsidR="00E46D95" w:rsidRDefault="006F495B">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in the “transf</w:t>
      </w:r>
      <w:r>
        <w:rPr>
          <w:rFonts w:ascii="Times New Roman" w:eastAsia="Times New Roman" w:hAnsi="Times New Roman" w:cs="Times New Roman"/>
          <w:sz w:val="20"/>
          <w:szCs w:val="20"/>
        </w:rPr>
        <w:t>ormative economy” – the conventional perspective of private property; builds on the image of property as a discrete entity that can be made one’s own by working it and transforming it into a human artifact; this perspective treats undeveloped land as essen</w:t>
      </w:r>
      <w:r>
        <w:rPr>
          <w:rFonts w:ascii="Times New Roman" w:eastAsia="Times New Roman" w:hAnsi="Times New Roman" w:cs="Times New Roman"/>
          <w:sz w:val="20"/>
          <w:szCs w:val="20"/>
        </w:rPr>
        <w:t>tially inert, in a passive state waiting to be put to use</w:t>
      </w:r>
    </w:p>
    <w:p w:rsidR="00E46D95" w:rsidRDefault="006F495B">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in the “economy of nature” – land is not a passive entity waiting to be transformed by its landowner nor is the world confined of distinct tracts of land, separate pieces independent of each ot</w:t>
      </w:r>
      <w:r>
        <w:rPr>
          <w:rFonts w:ascii="Times New Roman" w:eastAsia="Times New Roman" w:hAnsi="Times New Roman" w:cs="Times New Roman"/>
          <w:sz w:val="20"/>
          <w:szCs w:val="20"/>
        </w:rPr>
        <w:t>her. Rather land, under this perspective, consists of systems defined by their function, not by man-made boundaries; land is already at work performing important services in its unaltered state. Transformation diminishes the functioning of this economy and</w:t>
      </w:r>
      <w:r>
        <w:rPr>
          <w:rFonts w:ascii="Times New Roman" w:eastAsia="Times New Roman" w:hAnsi="Times New Roman" w:cs="Times New Roman"/>
          <w:sz w:val="20"/>
          <w:szCs w:val="20"/>
        </w:rPr>
        <w:t xml:space="preserve"> is at odds with it</w:t>
      </w:r>
    </w:p>
    <w:p w:rsidR="00E46D95" w:rsidRDefault="006F495B">
      <w:pPr>
        <w:numPr>
          <w:ilvl w:val="5"/>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this view, the landowner’s desire to do anything at all creates a problem because any development affects the delicate ecosystem which the untouched land supports; thereby the notion that land is solely the owner’s property to develo</w:t>
      </w:r>
      <w:r>
        <w:rPr>
          <w:rFonts w:ascii="Times New Roman" w:eastAsia="Times New Roman" w:hAnsi="Times New Roman" w:cs="Times New Roman"/>
          <w:sz w:val="20"/>
          <w:szCs w:val="20"/>
        </w:rPr>
        <w:t>p as the owner pleases is unacceptable</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Just v. Marinette County </w:t>
      </w:r>
      <w:r>
        <w:rPr>
          <w:rFonts w:ascii="Times New Roman" w:eastAsia="Times New Roman" w:hAnsi="Times New Roman" w:cs="Times New Roman"/>
          <w:color w:val="FF0000"/>
          <w:sz w:val="20"/>
          <w:szCs w:val="20"/>
          <w:shd w:val="clear" w:color="auto" w:fill="FFF2CC"/>
        </w:rPr>
        <w:t>(Supreme Court of Wisconsin, 1972)</w:t>
      </w:r>
      <w:r>
        <w:rPr>
          <w:rFonts w:ascii="Times New Roman" w:eastAsia="Times New Roman" w:hAnsi="Times New Roman" w:cs="Times New Roman"/>
          <w:color w:val="FF0000"/>
          <w:sz w:val="20"/>
          <w:szCs w:val="20"/>
        </w:rPr>
        <w:t xml:space="preserve"> –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’s land rezoned (with pressure from the state) as conservancy district with restrictions including no building,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violated ordinance by placing fill material on the land without a permit and sued the county (local gov’t)</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COA: County lacked power to </w:t>
      </w:r>
      <w:r>
        <w:rPr>
          <w:rFonts w:ascii="Times New Roman" w:eastAsia="Times New Roman" w:hAnsi="Times New Roman" w:cs="Times New Roman"/>
          <w:color w:val="FF0000"/>
          <w:sz w:val="20"/>
          <w:szCs w:val="20"/>
        </w:rPr>
        <w:t>restrict their land use but in the very least ordinance was a “taking” in violation of 5A Due Process (remedy: Just compensation)</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unreasonable exercise of police power (often thought related to nuisance, i.e. don’t have to wait for nuisance to happen</w:t>
      </w:r>
      <w:r>
        <w:rPr>
          <w:rFonts w:ascii="Times New Roman" w:eastAsia="Times New Roman" w:hAnsi="Times New Roman" w:cs="Times New Roman"/>
          <w:color w:val="FF0000"/>
          <w:sz w:val="20"/>
          <w:szCs w:val="20"/>
        </w:rPr>
        <w:t xml:space="preserve"> can prevent through police power)</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Owner of land has no absolute and unlimited right to change the essential </w:t>
      </w:r>
      <w:r>
        <w:rPr>
          <w:rFonts w:ascii="Times New Roman" w:eastAsia="Times New Roman" w:hAnsi="Times New Roman" w:cs="Times New Roman"/>
          <w:color w:val="FF0000"/>
          <w:sz w:val="20"/>
          <w:szCs w:val="20"/>
          <w:u w:val="single"/>
        </w:rPr>
        <w:t>natural character of his land</w:t>
      </w:r>
      <w:r>
        <w:rPr>
          <w:rFonts w:ascii="Times New Roman" w:eastAsia="Times New Roman" w:hAnsi="Times New Roman" w:cs="Times New Roman"/>
          <w:color w:val="FF0000"/>
          <w:sz w:val="20"/>
          <w:szCs w:val="20"/>
        </w:rPr>
        <w:t xml:space="preserve"> so as to use it for a purpose for which it was unsuited in its natural state and which injures the rights of other</w:t>
      </w:r>
      <w:r>
        <w:rPr>
          <w:rFonts w:ascii="Times New Roman" w:eastAsia="Times New Roman" w:hAnsi="Times New Roman" w:cs="Times New Roman"/>
          <w:color w:val="FF0000"/>
          <w:sz w:val="20"/>
          <w:szCs w:val="20"/>
        </w:rPr>
        <w:t>s (zoning/police power consistent with the natural character/use of the land) – the changing of wetlands and swamps to the damage of the general public by upsetting the natural environmental and natural relationship is not a reasonable use of that land whi</w:t>
      </w:r>
      <w:r>
        <w:rPr>
          <w:rFonts w:ascii="Times New Roman" w:eastAsia="Times New Roman" w:hAnsi="Times New Roman" w:cs="Times New Roman"/>
          <w:color w:val="FF0000"/>
          <w:sz w:val="20"/>
          <w:szCs w:val="20"/>
        </w:rPr>
        <w:t>ch is protected from police power regulation</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Idea of the public trust (land owners shouldn’t pay, per nuisance, to prevent public harm, should be protected by police powers)</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Pushing public nuisance from pollution doctrine to more or an ecological doctrin</w:t>
      </w:r>
      <w:r>
        <w:rPr>
          <w:rFonts w:ascii="Cardo" w:eastAsia="Cardo" w:hAnsi="Cardo" w:cs="Cardo"/>
          <w:color w:val="FF0000"/>
          <w:sz w:val="20"/>
          <w:szCs w:val="20"/>
        </w:rPr>
        <w:t>e (destroying by converting from natural use, problem because interferes with ecosystem)</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Sax Perspective and Analysis: Contrasts economical with ecological view of land (ideas reflected in </w:t>
      </w:r>
      <w:r>
        <w:rPr>
          <w:rFonts w:ascii="Times New Roman" w:eastAsia="Times New Roman" w:hAnsi="Times New Roman" w:cs="Times New Roman"/>
          <w:i/>
          <w:color w:val="FF0000"/>
          <w:sz w:val="20"/>
          <w:szCs w:val="20"/>
        </w:rPr>
        <w:t>Just</w:t>
      </w:r>
      <w:r>
        <w:rPr>
          <w:rFonts w:ascii="Times New Roman" w:eastAsia="Times New Roman" w:hAnsi="Times New Roman" w:cs="Times New Roman"/>
          <w:color w:val="FF0000"/>
          <w:sz w:val="20"/>
          <w:szCs w:val="20"/>
        </w:rPr>
        <w:t>) – “The notion that land is solely the owner’s property, to de</w:t>
      </w:r>
      <w:r>
        <w:rPr>
          <w:rFonts w:ascii="Times New Roman" w:eastAsia="Times New Roman" w:hAnsi="Times New Roman" w:cs="Times New Roman"/>
          <w:color w:val="FF0000"/>
          <w:sz w:val="20"/>
          <w:szCs w:val="20"/>
        </w:rPr>
        <w:t xml:space="preserve">velop as the owner pleases, is unacceptable.” </w:t>
      </w:r>
    </w:p>
    <w:p w:rsidR="00E46D95" w:rsidRDefault="006F495B">
      <w:pPr>
        <w:numPr>
          <w:ilvl w:val="4"/>
          <w:numId w:val="16"/>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Just</w:t>
      </w:r>
      <w:r>
        <w:rPr>
          <w:rFonts w:ascii="Times New Roman" w:eastAsia="Times New Roman" w:hAnsi="Times New Roman" w:cs="Times New Roman"/>
          <w:color w:val="FF0000"/>
          <w:sz w:val="20"/>
          <w:szCs w:val="20"/>
        </w:rPr>
        <w:t xml:space="preserve"> – anthropocentric view (conservation is in the best interest of humanity)</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Sax – goes further, biocentric view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c, Byrne A Green Theory of Property: Proposes a set of standards that people must abide</w:t>
      </w:r>
      <w:r>
        <w:rPr>
          <w:rFonts w:ascii="Times New Roman" w:eastAsia="Times New Roman" w:hAnsi="Times New Roman" w:cs="Times New Roman"/>
          <w:color w:val="FF0000"/>
          <w:sz w:val="20"/>
          <w:szCs w:val="20"/>
        </w:rPr>
        <w:t xml:space="preserve"> by to build – permits required for anything impairing land, permits distributed only when “compelling human need” (placing burden on landowner rather than gov’t, not the case traditionally)</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Environmental regulation aims to protect ecosystem services which</w:t>
      </w:r>
      <w:r>
        <w:rPr>
          <w:rFonts w:ascii="Times New Roman" w:eastAsia="Times New Roman" w:hAnsi="Times New Roman" w:cs="Times New Roman"/>
          <w:color w:val="FF0000"/>
          <w:sz w:val="20"/>
          <w:szCs w:val="20"/>
        </w:rPr>
        <w:t xml:space="preserve"> might be lost </w:t>
      </w:r>
    </w:p>
    <w:p w:rsidR="00E46D95" w:rsidRDefault="006F495B">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Water and Wetlands – traditionally subject to more gov’t oversight than other types of property; navigable waters and their shorelines have long been protected by various legal doctrines developed to support the “transformative economy”; ov</w:t>
      </w:r>
      <w:r>
        <w:rPr>
          <w:rFonts w:ascii="Times New Roman" w:eastAsia="Times New Roman" w:hAnsi="Times New Roman" w:cs="Times New Roman"/>
          <w:sz w:val="20"/>
          <w:szCs w:val="20"/>
        </w:rPr>
        <w:t xml:space="preserve">ertime these doctrines have enlarged to serve environmental goals as well </w:t>
      </w:r>
    </w:p>
    <w:p w:rsidR="00E46D95" w:rsidRDefault="006F495B">
      <w:pPr>
        <w:numPr>
          <w:ilvl w:val="1"/>
          <w:numId w:val="1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Public Trust Doctrine</w:t>
      </w:r>
      <w:r>
        <w:rPr>
          <w:rFonts w:ascii="Times New Roman" w:eastAsia="Times New Roman" w:hAnsi="Times New Roman" w:cs="Times New Roman"/>
          <w:sz w:val="20"/>
          <w:szCs w:val="20"/>
        </w:rPr>
        <w:t xml:space="preserve"> – navigable waters and related lands are held in trust by federal and state governments for the benefit of the public. The traditional uses of public trust lands are navigation, commerce, and fisheries. Some states have expanded the doctrine to serve new </w:t>
      </w:r>
      <w:r>
        <w:rPr>
          <w:rFonts w:ascii="Times New Roman" w:eastAsia="Times New Roman" w:hAnsi="Times New Roman" w:cs="Times New Roman"/>
          <w:sz w:val="20"/>
          <w:szCs w:val="20"/>
        </w:rPr>
        <w:t xml:space="preserve">purposes. </w:t>
      </w:r>
    </w:p>
    <w:p w:rsidR="00E46D95" w:rsidRDefault="006F495B">
      <w:pPr>
        <w:numPr>
          <w:ilvl w:val="1"/>
          <w:numId w:val="1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Clean Water Act</w:t>
      </w:r>
      <w:r>
        <w:rPr>
          <w:rFonts w:ascii="Times New Roman" w:eastAsia="Times New Roman" w:hAnsi="Times New Roman" w:cs="Times New Roman"/>
          <w:sz w:val="20"/>
          <w:szCs w:val="20"/>
        </w:rPr>
        <w:t xml:space="preserve"> (CWA) – assigned to the US Army Corps of Engineers the responsibility of regulating the discharge of pollutants into navigable waters, including adjacent wetlands (a violation of the Act); adjacent wetlands are included within th</w:t>
      </w:r>
      <w:r>
        <w:rPr>
          <w:rFonts w:ascii="Times New Roman" w:eastAsia="Times New Roman" w:hAnsi="Times New Roman" w:cs="Times New Roman"/>
          <w:sz w:val="20"/>
          <w:szCs w:val="20"/>
        </w:rPr>
        <w:t xml:space="preserve">e meaning of navigable waters </w:t>
      </w:r>
    </w:p>
    <w:p w:rsidR="00E46D95" w:rsidRDefault="006F495B">
      <w:pPr>
        <w:numPr>
          <w:ilvl w:val="1"/>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National Audubon Society v. Superior Court</w:t>
      </w:r>
      <w:r>
        <w:rPr>
          <w:rFonts w:ascii="Times New Roman" w:eastAsia="Times New Roman" w:hAnsi="Times New Roman" w:cs="Times New Roman"/>
          <w:color w:val="FF0000"/>
          <w:sz w:val="20"/>
          <w:szCs w:val="20"/>
          <w:shd w:val="clear" w:color="auto" w:fill="FFF2CC"/>
        </w:rPr>
        <w:t xml:space="preserve"> (Supreme Court of California, 1983)</w:t>
      </w:r>
      <w:r>
        <w:rPr>
          <w:rFonts w:ascii="Times New Roman" w:eastAsia="Times New Roman" w:hAnsi="Times New Roman" w:cs="Times New Roman"/>
          <w:color w:val="FF0000"/>
          <w:sz w:val="20"/>
          <w:szCs w:val="20"/>
        </w:rPr>
        <w:t xml:space="preserve"> –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Mono Lake case, ultimately a clash over water doctrine in California (public trust v. appropriative rights); LA had diverted 4 of 5 streams </w:t>
      </w:r>
      <w:r>
        <w:rPr>
          <w:rFonts w:ascii="Times New Roman" w:eastAsia="Times New Roman" w:hAnsi="Times New Roman" w:cs="Times New Roman"/>
          <w:color w:val="FF0000"/>
          <w:sz w:val="20"/>
          <w:szCs w:val="20"/>
        </w:rPr>
        <w:t>running into lake, dramatically dropping water level(s), exposing birds to predators, etc.; question of navigability (applicability of the public trust – up until now had been applied to wetlands/rivers, not to lakes/apportionment of water rights)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Publ</w:t>
      </w:r>
      <w:r>
        <w:rPr>
          <w:rFonts w:ascii="Times New Roman" w:eastAsia="Times New Roman" w:hAnsi="Times New Roman" w:cs="Times New Roman"/>
          <w:color w:val="FF0000"/>
          <w:sz w:val="20"/>
          <w:szCs w:val="20"/>
        </w:rPr>
        <w:t xml:space="preserve">ic trust doctrine protects this lake and state of CA can reevaluate permit granted to LA → not just ability to reevaluate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duty to protect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Public trust doctrine doesn’t apply, only applies to navigable waters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Cites </w:t>
      </w:r>
      <w:r>
        <w:rPr>
          <w:rFonts w:ascii="Times New Roman" w:eastAsia="Times New Roman" w:hAnsi="Times New Roman" w:cs="Times New Roman"/>
          <w:i/>
          <w:color w:val="FF0000"/>
          <w:sz w:val="20"/>
          <w:szCs w:val="20"/>
        </w:rPr>
        <w:t>People v. Gold Run</w:t>
      </w:r>
      <w:r>
        <w:rPr>
          <w:rFonts w:ascii="Times New Roman" w:eastAsia="Times New Roman" w:hAnsi="Times New Roman" w:cs="Times New Roman"/>
          <w:color w:val="FF0000"/>
          <w:sz w:val="20"/>
          <w:szCs w:val="20"/>
        </w:rPr>
        <w:t xml:space="preserve"> – public trust applies to water bodies not navigable but may regulate navigable water bodies (streams) affecting non-navigable bodies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Who’s first in time? People of CA, public trust duty implicated when CA became a part of the United States if not before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State violated public trust by not recognizing the public trust </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Private water rights diminished – state has ability </w:t>
      </w:r>
      <w:r>
        <w:rPr>
          <w:rFonts w:ascii="Times New Roman" w:eastAsia="Times New Roman" w:hAnsi="Times New Roman" w:cs="Times New Roman"/>
          <w:i/>
          <w:color w:val="FF0000"/>
          <w:sz w:val="20"/>
          <w:szCs w:val="20"/>
        </w:rPr>
        <w:t>and duty</w:t>
      </w:r>
      <w:r>
        <w:rPr>
          <w:rFonts w:ascii="Times New Roman" w:eastAsia="Times New Roman" w:hAnsi="Times New Roman" w:cs="Times New Roman"/>
          <w:color w:val="FF0000"/>
          <w:sz w:val="20"/>
          <w:szCs w:val="20"/>
        </w:rPr>
        <w:t xml:space="preserve"> and protect Mono Lake; (counter to Δ) no vested rights that run against the sovereign (^ CA public trust actually first in t</w:t>
      </w:r>
      <w:r>
        <w:rPr>
          <w:rFonts w:ascii="Times New Roman" w:eastAsia="Times New Roman" w:hAnsi="Times New Roman" w:cs="Times New Roman"/>
          <w:color w:val="FF0000"/>
          <w:sz w:val="20"/>
          <w:szCs w:val="20"/>
        </w:rPr>
        <w:t>ime, just haven’t been thinking about public trust in past)</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Hypos (pg. 868): (1) Some states (i.e. SC) say public trust moves with the water, some would still bar; (2) cutting edge, burden on the state – comes down to what is meant by effects and can you p</w:t>
      </w:r>
      <w:r>
        <w:rPr>
          <w:rFonts w:ascii="Times New Roman" w:eastAsia="Times New Roman" w:hAnsi="Times New Roman" w:cs="Times New Roman"/>
          <w:color w:val="FF0000"/>
          <w:sz w:val="20"/>
          <w:szCs w:val="20"/>
        </w:rPr>
        <w:t>rove such effect</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Aftermath: Mostly restored, however, waterline has been decreasing for reasons unrelated to case/streams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Also air quality dimension to case, lower water expose salt deposits which blew around and affected air quality  </w:t>
      </w:r>
    </w:p>
    <w:p w:rsidR="00E46D95" w:rsidRDefault="006F495B">
      <w:pPr>
        <w:numPr>
          <w:ilvl w:val="1"/>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Borden Ranch Partnership v. U.S. Army Corps of Engineers </w:t>
      </w:r>
      <w:r>
        <w:rPr>
          <w:rFonts w:ascii="Times New Roman" w:eastAsia="Times New Roman" w:hAnsi="Times New Roman" w:cs="Times New Roman"/>
          <w:color w:val="FF0000"/>
          <w:sz w:val="20"/>
          <w:szCs w:val="20"/>
          <w:shd w:val="clear" w:color="auto" w:fill="FFF2CC"/>
        </w:rPr>
        <w:t>(United States Court of Appeals, Ninth Circuit, 2002)</w:t>
      </w:r>
      <w:r>
        <w:rPr>
          <w:rFonts w:ascii="Times New Roman" w:eastAsia="Times New Roman" w:hAnsi="Times New Roman" w:cs="Times New Roman"/>
          <w:color w:val="FF0000"/>
          <w:sz w:val="20"/>
          <w:szCs w:val="20"/>
        </w:rPr>
        <w:t xml:space="preserve"> –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Federal role in environmental regulation (first two state regulation)</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Real estate developers purchased quasi-wetlands (dry half-year, wet h</w:t>
      </w:r>
      <w:r>
        <w:rPr>
          <w:rFonts w:ascii="Times New Roman" w:eastAsia="Times New Roman" w:hAnsi="Times New Roman" w:cs="Times New Roman"/>
          <w:color w:val="FF0000"/>
          <w:sz w:val="20"/>
          <w:szCs w:val="20"/>
        </w:rPr>
        <w:t>alf-year), developers begins deep rigging (to fill wetlands, affecting wetlands/aquifer)</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PH: Δ: EPA says need permit,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Believes doesn’t need permit – goes back and forth in administrative law realm (and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continues rigging),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files suit against EPA </w:t>
      </w:r>
      <w:r>
        <w:rPr>
          <w:rFonts w:ascii="Times New Roman" w:eastAsia="Times New Roman" w:hAnsi="Times New Roman" w:cs="Times New Roman"/>
          <w:color w:val="FF0000"/>
          <w:sz w:val="20"/>
          <w:szCs w:val="20"/>
        </w:rPr>
        <w:t>and Army Corps of Engineers challenging their authority</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needs permit to “discharge a pollutant” under the CWA?</w:t>
      </w:r>
      <w:r>
        <w:rPr>
          <w:rFonts w:ascii="Times New Roman" w:eastAsia="Times New Roman" w:hAnsi="Times New Roman" w:cs="Times New Roman"/>
          <w:color w:val="FF0000"/>
          <w:sz w:val="20"/>
          <w:szCs w:val="20"/>
        </w:rPr>
        <w:tab/>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CWA: If discharge pollutant into navigable waters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Not a pollutant because just taking soil and mixing it around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Δ/H: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“pol</w:t>
      </w:r>
      <w:r>
        <w:rPr>
          <w:rFonts w:ascii="Times New Roman" w:eastAsia="Times New Roman" w:hAnsi="Times New Roman" w:cs="Times New Roman"/>
          <w:color w:val="FF0000"/>
          <w:sz w:val="20"/>
          <w:szCs w:val="20"/>
        </w:rPr>
        <w:t>lutant” in definition includes rock, sand, ..., or dirt</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Not a discharge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Δ/H: “Addition may be reasonably understood to include “redeposit”</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Farming exception</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Δ/H:No, governed by recapture provision</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CWA exception for normal farming activities, bu</w:t>
      </w:r>
      <w:r>
        <w:rPr>
          <w:rFonts w:ascii="Times New Roman" w:eastAsia="Times New Roman" w:hAnsi="Times New Roman" w:cs="Times New Roman"/>
          <w:color w:val="FF0000"/>
          <w:sz w:val="20"/>
          <w:szCs w:val="20"/>
        </w:rPr>
        <w:t>t provision within exception that must be same use (i.e. can plant a different crop but can’t change use, i.e. from wetland to farming), here new use affecting flow/circulation of waters, reducing or impairing their use and does require a permit</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Difference</w:t>
      </w:r>
      <w:r>
        <w:rPr>
          <w:rFonts w:ascii="Times New Roman" w:eastAsia="Times New Roman" w:hAnsi="Times New Roman" w:cs="Times New Roman"/>
          <w:color w:val="FF0000"/>
          <w:sz w:val="20"/>
          <w:szCs w:val="20"/>
        </w:rPr>
        <w:t xml:space="preserve"> between state and federal regulation: State regulation plenary; federal regulation limited under the commerce clause (must show relation to commerce – SCOTUS has not said can’t construe waters as broadly as have been under admin law)</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But</w:t>
      </w:r>
      <w:r>
        <w:rPr>
          <w:rFonts w:ascii="Times New Roman" w:eastAsia="Times New Roman" w:hAnsi="Times New Roman" w:cs="Times New Roman"/>
          <w:b/>
          <w:color w:val="FF0000"/>
          <w:sz w:val="20"/>
          <w:szCs w:val="20"/>
        </w:rPr>
        <w:t xml:space="preserve"> </w:t>
      </w:r>
      <w:r>
        <w:rPr>
          <w:rFonts w:ascii="Times New Roman" w:eastAsia="Times New Roman" w:hAnsi="Times New Roman" w:cs="Times New Roman"/>
          <w:color w:val="FF0000"/>
          <w:sz w:val="20"/>
          <w:szCs w:val="20"/>
        </w:rPr>
        <w:t xml:space="preserve">Note d, </w:t>
      </w:r>
      <w:r>
        <w:rPr>
          <w:rFonts w:ascii="Times New Roman" w:eastAsia="Times New Roman" w:hAnsi="Times New Roman" w:cs="Times New Roman"/>
          <w:i/>
          <w:color w:val="FF0000"/>
          <w:sz w:val="20"/>
          <w:szCs w:val="20"/>
        </w:rPr>
        <w:t>Rapanos</w:t>
      </w:r>
      <w:r>
        <w:rPr>
          <w:rFonts w:ascii="Times New Roman" w:eastAsia="Times New Roman" w:hAnsi="Times New Roman" w:cs="Times New Roman"/>
          <w:color w:val="FF0000"/>
          <w:sz w:val="20"/>
          <w:szCs w:val="20"/>
        </w:rPr>
        <w:t xml:space="preserve"> d</w:t>
      </w:r>
      <w:r>
        <w:rPr>
          <w:rFonts w:ascii="Times New Roman" w:eastAsia="Times New Roman" w:hAnsi="Times New Roman" w:cs="Times New Roman"/>
          <w:color w:val="FF0000"/>
          <w:sz w:val="20"/>
          <w:szCs w:val="20"/>
        </w:rPr>
        <w:t>ecision narrows the applicability of the CWA to wetlands – one-line 4-4 vote issued by SCOTUS affirming 9th Circuit, Justice Kennedy concurred saying need significant nexus relationship to the water in order to have JD</w:t>
      </w:r>
    </w:p>
    <w:p w:rsidR="00E46D95" w:rsidRDefault="006F495B">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Land Surface</w:t>
      </w:r>
    </w:p>
    <w:p w:rsidR="00E46D95" w:rsidRDefault="006F495B">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Comprehensive Environmental Response, Compensation, and Liability Act of 1980 </w:t>
      </w:r>
      <w:r>
        <w:rPr>
          <w:rFonts w:ascii="Times New Roman" w:eastAsia="Times New Roman" w:hAnsi="Times New Roman" w:cs="Times New Roman"/>
          <w:sz w:val="20"/>
          <w:szCs w:val="20"/>
        </w:rPr>
        <w:t>(CERCLA) – the main federal statute governing the cleanup of sites contaminated with hazardous wastes with the goal of protecting the public and the environment by forcing the pr</w:t>
      </w:r>
      <w:r>
        <w:rPr>
          <w:rFonts w:ascii="Times New Roman" w:eastAsia="Times New Roman" w:hAnsi="Times New Roman" w:cs="Times New Roman"/>
          <w:sz w:val="20"/>
          <w:szCs w:val="20"/>
        </w:rPr>
        <w:t xml:space="preserve">ompt cleanup of hazardous waste sites; imposes strict liability on four categories of </w:t>
      </w:r>
      <w:r>
        <w:rPr>
          <w:rFonts w:ascii="Times New Roman" w:eastAsia="Times New Roman" w:hAnsi="Times New Roman" w:cs="Times New Roman"/>
          <w:i/>
          <w:sz w:val="20"/>
          <w:szCs w:val="20"/>
        </w:rPr>
        <w:t>Potentially Responsible Parties</w:t>
      </w:r>
      <w:r>
        <w:rPr>
          <w:rFonts w:ascii="Times New Roman" w:eastAsia="Times New Roman" w:hAnsi="Times New Roman" w:cs="Times New Roman"/>
          <w:sz w:val="20"/>
          <w:szCs w:val="20"/>
        </w:rPr>
        <w:t xml:space="preserve"> (PRPs) (however a person holding a nonpossessory interest in the land, e.g. an easement, is not deemed an owner under the statute)</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Current</w:t>
      </w:r>
      <w:r>
        <w:rPr>
          <w:rFonts w:ascii="Times New Roman" w:eastAsia="Times New Roman" w:hAnsi="Times New Roman" w:cs="Times New Roman"/>
          <w:sz w:val="20"/>
          <w:szCs w:val="20"/>
        </w:rPr>
        <w:t xml:space="preserve"> owners and operators</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Owners and operators at time of disposal</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Persons who arrange for the disposal or treatment of wastes </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Waste transporters who select the disposal or treatment site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 xml:space="preserve">United States v. Monsanto Co. </w:t>
      </w:r>
      <w:r>
        <w:rPr>
          <w:rFonts w:ascii="Times New Roman" w:eastAsia="Times New Roman" w:hAnsi="Times New Roman" w:cs="Times New Roman"/>
          <w:color w:val="FF0000"/>
          <w:sz w:val="20"/>
          <w:szCs w:val="20"/>
          <w:shd w:val="clear" w:color="auto" w:fill="FFF2CC"/>
        </w:rPr>
        <w:t>(United States Court of Appeals, Fourth Circuit, 1988)</w:t>
      </w:r>
      <w:r>
        <w:rPr>
          <w:rFonts w:ascii="Times New Roman" w:eastAsia="Times New Roman" w:hAnsi="Times New Roman" w:cs="Times New Roman"/>
          <w:color w:val="FF0000"/>
          <w:sz w:val="20"/>
          <w:szCs w:val="20"/>
        </w:rPr>
        <w:t xml:space="preserve"> –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Pay attention to site owners,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Federal gov’t</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Regulation: CERCLA calls for cleanup of hazardous waste (i.e. if burying waste, most concerned with groundwater especially because not easy to reme</w:t>
      </w:r>
      <w:r>
        <w:rPr>
          <w:rFonts w:ascii="Times New Roman" w:eastAsia="Times New Roman" w:hAnsi="Times New Roman" w:cs="Times New Roman"/>
          <w:color w:val="FF0000"/>
          <w:sz w:val="20"/>
          <w:szCs w:val="20"/>
        </w:rPr>
        <w:t>diate), CERCLA does involve some public money (upfront?) but CERCLA creates new liability scheme</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CERCLA liability scheme – strict liability, everyone is jointly and severally liable, meaning all held liable for paying back entire cost of cleanup</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Gov’t (lik</w:t>
      </w:r>
      <w:r>
        <w:rPr>
          <w:rFonts w:ascii="Times New Roman" w:eastAsia="Times New Roman" w:hAnsi="Times New Roman" w:cs="Times New Roman"/>
          <w:color w:val="FF0000"/>
          <w:sz w:val="20"/>
          <w:szCs w:val="20"/>
        </w:rPr>
        <w:t>e LLs) doesn’t care who’s responsible, files suit against one PRP, wins/gets money, let’s them suss it out with other PRPs in court</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Site owners (fee owners) lease property to generator defendants (company that then formed a chemical company – recycling </w:t>
      </w:r>
      <w:r>
        <w:rPr>
          <w:rFonts w:ascii="Times New Roman" w:eastAsia="Times New Roman" w:hAnsi="Times New Roman" w:cs="Times New Roman"/>
          <w:color w:val="FF0000"/>
          <w:sz w:val="20"/>
          <w:szCs w:val="20"/>
        </w:rPr>
        <w:t>disposal) who deposited drums of hazardous waste on the property</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Site owners liable according to CERCLA, despite ignorance, because scope of liability under statute includes occupiers </w:t>
      </w:r>
      <w:r>
        <w:rPr>
          <w:rFonts w:ascii="Times New Roman" w:eastAsia="Times New Roman" w:hAnsi="Times New Roman" w:cs="Times New Roman"/>
          <w:i/>
          <w:color w:val="FF0000"/>
          <w:sz w:val="20"/>
          <w:szCs w:val="20"/>
        </w:rPr>
        <w:t xml:space="preserve">and </w:t>
      </w:r>
      <w:r>
        <w:rPr>
          <w:rFonts w:ascii="Times New Roman" w:eastAsia="Times New Roman" w:hAnsi="Times New Roman" w:cs="Times New Roman"/>
          <w:color w:val="FF0000"/>
          <w:sz w:val="20"/>
          <w:szCs w:val="20"/>
        </w:rPr>
        <w:t xml:space="preserve">owners </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Though site owners kind of knew what was going on – inquiry </w:t>
      </w:r>
      <w:r>
        <w:rPr>
          <w:rFonts w:ascii="Times New Roman" w:eastAsia="Times New Roman" w:hAnsi="Times New Roman" w:cs="Times New Roman"/>
          <w:color w:val="FF0000"/>
          <w:sz w:val="20"/>
          <w:szCs w:val="20"/>
        </w:rPr>
        <w:t xml:space="preserve">notice (cashing checks from company, maybe should have inquired what was going on on the site)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CERCLA doesn’t care about that type of fault liability (again just needs one PRP)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Claims innocent third party </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Could not make third party defense because in a contractual relationship with generators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must take precautionary action (and didn’t do)</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Site owners and generators strictly liable jointly and severally (long chain of liability, against gov’t doesn</w:t>
      </w:r>
      <w:r>
        <w:rPr>
          <w:rFonts w:ascii="Times New Roman" w:eastAsia="Times New Roman" w:hAnsi="Times New Roman" w:cs="Times New Roman"/>
          <w:color w:val="FF0000"/>
          <w:sz w:val="20"/>
          <w:szCs w:val="20"/>
        </w:rPr>
        <w:t xml:space="preserve">’t care) </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Note: No bar on retroactive civil legislation (only criminal, i.e. ex post facto bar), so CERCLA ok</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Aftermath: Cost of groundwater remediation at $2.7M (plus suit award) and still working</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Policy Discussion: Why are the site owners considered st</w:t>
      </w:r>
      <w:r>
        <w:rPr>
          <w:rFonts w:ascii="Times New Roman" w:eastAsia="Times New Roman" w:hAnsi="Times New Roman" w:cs="Times New Roman"/>
          <w:color w:val="FF0000"/>
          <w:sz w:val="20"/>
          <w:szCs w:val="20"/>
        </w:rPr>
        <w:t>rictly liable under CERCLA? Obligation based on status, i.e. status liability (alike “privity of estate,” obligated simply because assignee)</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Can abandon an easement, you can’t abandon a fee(?) (if you could, this is the kind of fee you’d want to aban</w:t>
      </w:r>
      <w:r>
        <w:rPr>
          <w:rFonts w:ascii="Times New Roman" w:eastAsia="Times New Roman" w:hAnsi="Times New Roman" w:cs="Times New Roman"/>
          <w:color w:val="FF0000"/>
          <w:sz w:val="20"/>
          <w:szCs w:val="20"/>
        </w:rPr>
        <w:t>don, obligations, need to pay property value)</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Rents likely going up in industry (insurance) because of CERCLA and potential liability </w:t>
      </w:r>
    </w:p>
    <w:p w:rsidR="00E46D95" w:rsidRDefault="006F495B">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The Endangered Species Act </w:t>
      </w:r>
      <w:r>
        <w:rPr>
          <w:rFonts w:ascii="Times New Roman" w:eastAsia="Times New Roman" w:hAnsi="Times New Roman" w:cs="Times New Roman"/>
          <w:sz w:val="20"/>
          <w:szCs w:val="20"/>
        </w:rPr>
        <w:t xml:space="preserve">(ESA) – protects species that are officially determined to be endangered or threatened by (1) </w:t>
      </w:r>
      <w:r>
        <w:rPr>
          <w:rFonts w:ascii="Times New Roman" w:eastAsia="Times New Roman" w:hAnsi="Times New Roman" w:cs="Times New Roman"/>
          <w:sz w:val="20"/>
          <w:szCs w:val="20"/>
        </w:rPr>
        <w:t>requiring each federal agency to ensure that its activities do not “jeopardize the continued existence” of any protected species “or result in the destruction or adverse modification of habitat of such species which is determined to be critical” and (2) ma</w:t>
      </w:r>
      <w:r>
        <w:rPr>
          <w:rFonts w:ascii="Times New Roman" w:eastAsia="Times New Roman" w:hAnsi="Times New Roman" w:cs="Times New Roman"/>
          <w:sz w:val="20"/>
          <w:szCs w:val="20"/>
        </w:rPr>
        <w:t xml:space="preserve">king it illegal to “take any such species within the US”; modifying the habitat of a protected species may be an illegal “take” under the Act. Habitat conservation plans are used to avoid this problem.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Babbitt v. Sweet Home Chapter of Communities for a Gr</w:t>
      </w:r>
      <w:r>
        <w:rPr>
          <w:rFonts w:ascii="Times New Roman" w:eastAsia="Times New Roman" w:hAnsi="Times New Roman" w:cs="Times New Roman"/>
          <w:i/>
          <w:color w:val="FF0000"/>
          <w:sz w:val="20"/>
          <w:szCs w:val="20"/>
          <w:shd w:val="clear" w:color="auto" w:fill="FFF2CC"/>
        </w:rPr>
        <w:t>eater Oregon</w:t>
      </w:r>
      <w:r>
        <w:rPr>
          <w:rFonts w:ascii="Times New Roman" w:eastAsia="Times New Roman" w:hAnsi="Times New Roman" w:cs="Times New Roman"/>
          <w:color w:val="FF0000"/>
          <w:sz w:val="20"/>
          <w:szCs w:val="20"/>
          <w:shd w:val="clear" w:color="auto" w:fill="FFF2CC"/>
        </w:rPr>
        <w:t xml:space="preserve"> (SCOTUS, 1995)</w:t>
      </w:r>
      <w:r>
        <w:rPr>
          <w:rFonts w:ascii="Times New Roman" w:eastAsia="Times New Roman" w:hAnsi="Times New Roman" w:cs="Times New Roman"/>
          <w:color w:val="FF0000"/>
          <w:sz w:val="20"/>
          <w:szCs w:val="20"/>
        </w:rPr>
        <w:t xml:space="preserve"> –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Public Land Law </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Respondents are small landowners, logging companies, and families dependent on the forest products industries in the PNW, brought suit against DOI and FWS challenging (seeking injunction) validity of regul</w:t>
      </w:r>
      <w:r>
        <w:rPr>
          <w:rFonts w:ascii="Times New Roman" w:eastAsia="Times New Roman" w:hAnsi="Times New Roman" w:cs="Times New Roman"/>
          <w:color w:val="FF0000"/>
          <w:sz w:val="20"/>
          <w:szCs w:val="20"/>
        </w:rPr>
        <w:t xml:space="preserve">ation defining “harm” in the ESA, particularly the inclusion of habitat modification and degradation in the definition </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Regulation challenged on face to application to red-cockaded woodpecker and the northern spotted owl</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Statutory Language: “Take” defined </w:t>
      </w:r>
      <w:r>
        <w:rPr>
          <w:rFonts w:ascii="Times New Roman" w:eastAsia="Times New Roman" w:hAnsi="Times New Roman" w:cs="Times New Roman"/>
          <w:color w:val="FF0000"/>
          <w:sz w:val="20"/>
          <w:szCs w:val="20"/>
        </w:rPr>
        <w:t>by (pg. 886) a whole bunch of things including “harm”; statute didn’t define “harm” so FWS enacts regulation defining it (pg. 886) – an act which actually kills or injures wildlife</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6-3 declared valid</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Court must give discretion to the agency (will be upheld if reasonable) because when Congress entrusts Secretary with broad discretion; Secretary reasonably construed the intent of COngress when he defined “harm” to include “significant habitat modifica</w:t>
      </w:r>
      <w:r>
        <w:rPr>
          <w:rFonts w:ascii="Times New Roman" w:eastAsia="Times New Roman" w:hAnsi="Times New Roman" w:cs="Times New Roman"/>
          <w:color w:val="FF0000"/>
          <w:sz w:val="20"/>
          <w:szCs w:val="20"/>
        </w:rPr>
        <w:t>tion or degradation that actually kills or injures wildlife.”</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 (O’Conner)</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(Scalia)</w:t>
      </w:r>
    </w:p>
    <w:p w:rsidR="00E46D95" w:rsidRDefault="006F495B">
      <w:pPr>
        <w:numPr>
          <w:ilvl w:val="3"/>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Policy discussion, reasons for protecting forests: Back to Sax and Byrne from beginning of the chapter/section; trees serve as carbon markets (anthro values), prevents </w:t>
      </w:r>
      <w:r>
        <w:rPr>
          <w:rFonts w:ascii="Times New Roman" w:eastAsia="Times New Roman" w:hAnsi="Times New Roman" w:cs="Times New Roman"/>
          <w:color w:val="FF0000"/>
          <w:sz w:val="20"/>
          <w:szCs w:val="20"/>
        </w:rPr>
        <w:t>flooding, prevents landslides, species/ecosystems</w:t>
      </w:r>
    </w:p>
    <w:p w:rsidR="00E46D95" w:rsidRDefault="006F495B">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Atmosphere</w:t>
      </w:r>
    </w:p>
    <w:p w:rsidR="00E46D95" w:rsidRDefault="006F495B">
      <w:pPr>
        <w:numPr>
          <w:ilvl w:val="1"/>
          <w:numId w:val="1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Climate Change</w:t>
      </w:r>
      <w:r>
        <w:rPr>
          <w:rFonts w:ascii="Times New Roman" w:eastAsia="Times New Roman" w:hAnsi="Times New Roman" w:cs="Times New Roman"/>
          <w:sz w:val="20"/>
          <w:szCs w:val="20"/>
        </w:rPr>
        <w:t xml:space="preserve"> – will affect the evolution of American property law while, in turn, property concepts may help to combat climate change</w:t>
      </w:r>
    </w:p>
    <w:p w:rsidR="00E46D95" w:rsidRDefault="006F495B">
      <w:pPr>
        <w:numPr>
          <w:ilvl w:val="1"/>
          <w:numId w:val="1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Massachusetts v. Environmental Protection Agency</w:t>
      </w:r>
      <w:r>
        <w:rPr>
          <w:rFonts w:ascii="Times New Roman" w:eastAsia="Times New Roman" w:hAnsi="Times New Roman" w:cs="Times New Roman"/>
          <w:sz w:val="20"/>
          <w:szCs w:val="20"/>
        </w:rPr>
        <w:t xml:space="preserve"> (SCOTUS, 2</w:t>
      </w:r>
      <w:r>
        <w:rPr>
          <w:rFonts w:ascii="Times New Roman" w:eastAsia="Times New Roman" w:hAnsi="Times New Roman" w:cs="Times New Roman"/>
          <w:sz w:val="20"/>
          <w:szCs w:val="20"/>
        </w:rPr>
        <w:t>007)</w:t>
      </w:r>
    </w:p>
    <w:p w:rsidR="00E46D95" w:rsidRDefault="006F495B">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 Massachusetts had demonstrated standing because the “rising seas have already begun to swallow Massachusetts’ coastal land” and the EPA did have the authority to regulate greenhouse gases under the </w:t>
      </w:r>
      <w:r>
        <w:rPr>
          <w:rFonts w:ascii="Times New Roman" w:eastAsia="Times New Roman" w:hAnsi="Times New Roman" w:cs="Times New Roman"/>
          <w:i/>
          <w:sz w:val="20"/>
          <w:szCs w:val="20"/>
        </w:rPr>
        <w:t>Clean Air Act</w:t>
      </w:r>
      <w:r>
        <w:rPr>
          <w:rFonts w:ascii="Times New Roman" w:eastAsia="Times New Roman" w:hAnsi="Times New Roman" w:cs="Times New Roman"/>
          <w:sz w:val="20"/>
          <w:szCs w:val="20"/>
        </w:rPr>
        <w:t xml:space="preserve"> (CAA) and its refusal to regulate wa</w:t>
      </w:r>
      <w:r>
        <w:rPr>
          <w:rFonts w:ascii="Times New Roman" w:eastAsia="Times New Roman" w:hAnsi="Times New Roman" w:cs="Times New Roman"/>
          <w:sz w:val="20"/>
          <w:szCs w:val="20"/>
        </w:rPr>
        <w:t xml:space="preserve">s unjustified  </w:t>
      </w:r>
    </w:p>
    <w:p w:rsidR="00E46D95" w:rsidRDefault="006F495B">
      <w:pPr>
        <w:numPr>
          <w:ilvl w:val="1"/>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American Electric Power Co., Inc. v. Connecticut</w:t>
      </w:r>
      <w:r>
        <w:rPr>
          <w:rFonts w:ascii="Times New Roman" w:eastAsia="Times New Roman" w:hAnsi="Times New Roman" w:cs="Times New Roman"/>
          <w:color w:val="FF0000"/>
          <w:sz w:val="20"/>
          <w:szCs w:val="20"/>
          <w:shd w:val="clear" w:color="auto" w:fill="FFF2CC"/>
        </w:rPr>
        <w:t xml:space="preserve"> (SCOTUS, 2011)</w:t>
      </w:r>
      <w:r>
        <w:rPr>
          <w:rFonts w:ascii="Times New Roman" w:eastAsia="Times New Roman" w:hAnsi="Times New Roman" w:cs="Times New Roman"/>
          <w:color w:val="FF0000"/>
          <w:sz w:val="20"/>
          <w:szCs w:val="20"/>
        </w:rPr>
        <w:t xml:space="preserve"> –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Massachusetts v. EPA</w:t>
      </w:r>
      <w:r>
        <w:rPr>
          <w:rFonts w:ascii="Times New Roman" w:eastAsia="Times New Roman" w:hAnsi="Times New Roman" w:cs="Times New Roman"/>
          <w:color w:val="FF0000"/>
          <w:sz w:val="20"/>
          <w:szCs w:val="20"/>
        </w:rPr>
        <w:t xml:space="preserve"> (2007): Supreme Court upheld both standing of MA to challenging EPA’s refusal to regulate GHGs and that EPA was wrong in not having authority to r</w:t>
      </w:r>
      <w:r>
        <w:rPr>
          <w:rFonts w:ascii="Times New Roman" w:eastAsia="Times New Roman" w:hAnsi="Times New Roman" w:cs="Times New Roman"/>
          <w:color w:val="FF0000"/>
          <w:sz w:val="20"/>
          <w:szCs w:val="20"/>
        </w:rPr>
        <w:t>egulate GHGs</w:t>
      </w:r>
    </w:p>
    <w:p w:rsidR="00E46D95" w:rsidRDefault="006F495B">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ab/>
        <w:t xml:space="preserve">→ Clean Power Plan (started with </w:t>
      </w:r>
      <w:r>
        <w:rPr>
          <w:rFonts w:ascii="Times New Roman" w:eastAsia="Times New Roman" w:hAnsi="Times New Roman" w:cs="Times New Roman"/>
          <w:i/>
          <w:color w:val="FF0000"/>
          <w:sz w:val="20"/>
          <w:szCs w:val="20"/>
        </w:rPr>
        <w:t>Mass. v. EPA</w:t>
      </w:r>
      <w:r>
        <w:rPr>
          <w:rFonts w:ascii="Times New Roman" w:eastAsia="Times New Roman" w:hAnsi="Times New Roman" w:cs="Times New Roman"/>
          <w:color w:val="FF0000"/>
          <w:sz w:val="20"/>
          <w:szCs w:val="20"/>
        </w:rPr>
        <w:t>, stalled in DC Cir.)</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Suing 4 private power companies in public nuisance; claim that unregulated CO2 emissions constitute a public nuisance (substantial (not </w:t>
      </w:r>
      <w:r>
        <w:rPr>
          <w:rFonts w:ascii="Times New Roman" w:eastAsia="Times New Roman" w:hAnsi="Times New Roman" w:cs="Times New Roman"/>
          <w:i/>
          <w:color w:val="FF0000"/>
          <w:sz w:val="20"/>
          <w:szCs w:val="20"/>
        </w:rPr>
        <w:t>de minimus</w:t>
      </w:r>
      <w:r>
        <w:rPr>
          <w:rFonts w:ascii="Times New Roman" w:eastAsia="Times New Roman" w:hAnsi="Times New Roman" w:cs="Times New Roman"/>
          <w:color w:val="FF0000"/>
          <w:sz w:val="20"/>
          <w:szCs w:val="20"/>
        </w:rPr>
        <w:t xml:space="preserve">) and unreasonable) </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s, several states, the city of NY, and three private trusts, can maintain federal common law public nuisance claims against CO2 emitters, 4 private power companies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Δ: Meeting EPA’s pollution permits (no regulation of GHGs)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w:t>
      </w:r>
      <w:r>
        <w:rPr>
          <w:rFonts w:ascii="Times New Roman" w:eastAsia="Times New Roman" w:hAnsi="Times New Roman" w:cs="Times New Roman"/>
          <w:i/>
          <w:color w:val="FF0000"/>
          <w:sz w:val="20"/>
          <w:szCs w:val="20"/>
        </w:rPr>
        <w:t xml:space="preserve">Mass. v. EPA </w:t>
      </w:r>
      <w:r>
        <w:rPr>
          <w:rFonts w:ascii="Times New Roman" w:eastAsia="Times New Roman" w:hAnsi="Times New Roman" w:cs="Times New Roman"/>
          <w:color w:val="FF0000"/>
          <w:sz w:val="20"/>
          <w:szCs w:val="20"/>
        </w:rPr>
        <w:t>disp</w:t>
      </w:r>
      <w:r>
        <w:rPr>
          <w:rFonts w:ascii="Times New Roman" w:eastAsia="Times New Roman" w:hAnsi="Times New Roman" w:cs="Times New Roman"/>
          <w:color w:val="FF0000"/>
          <w:sz w:val="20"/>
          <w:szCs w:val="20"/>
        </w:rPr>
        <w:t xml:space="preserve">laces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’s claims </w:t>
      </w:r>
    </w:p>
    <w:p w:rsidR="00E46D95" w:rsidRDefault="006F495B">
      <w:pPr>
        <w:numPr>
          <w:ilvl w:val="3"/>
          <w:numId w:val="16"/>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Can’t have displacement until they’ve regulated GHG under that decision (plan in process)</w:t>
      </w:r>
    </w:p>
    <w:p w:rsidR="00E46D95" w:rsidRDefault="006F495B">
      <w:pPr>
        <w:numPr>
          <w:ilvl w:val="4"/>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Ginsberg, M: Came from CAA itself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did only after </w:t>
      </w:r>
      <w:r>
        <w:rPr>
          <w:rFonts w:ascii="Times New Roman" w:eastAsia="Times New Roman" w:hAnsi="Times New Roman" w:cs="Times New Roman"/>
          <w:i/>
          <w:color w:val="FF0000"/>
          <w:sz w:val="20"/>
          <w:szCs w:val="20"/>
        </w:rPr>
        <w:t>Mass. v. EPA</w:t>
      </w:r>
      <w:r>
        <w:rPr>
          <w:rFonts w:ascii="Times New Roman" w:eastAsia="Times New Roman" w:hAnsi="Times New Roman" w:cs="Times New Roman"/>
          <w:color w:val="FF0000"/>
          <w:sz w:val="20"/>
          <w:szCs w:val="20"/>
        </w:rPr>
        <w:t>’s finding that it falls within that definition)</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Demonstrates a sta</w:t>
      </w:r>
      <w:r>
        <w:rPr>
          <w:rFonts w:ascii="Cardo" w:eastAsia="Cardo" w:hAnsi="Cardo" w:cs="Cardo"/>
          <w:color w:val="FF0000"/>
          <w:sz w:val="20"/>
          <w:szCs w:val="20"/>
        </w:rPr>
        <w:t>tute’s ability to redefine property rights; consider how climate change may change/affect property law, i.e. wetlands, restrict developments/zoning changes</w:t>
      </w:r>
    </w:p>
    <w:p w:rsidR="00E46D95" w:rsidRDefault="006F495B">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Court does not specifically endorse human-created (anthropocentric) climate change</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12</w:t>
      </w:r>
      <w:r>
        <w:rPr>
          <w:rFonts w:ascii="Times New Roman" w:eastAsia="Times New Roman" w:hAnsi="Times New Roman" w:cs="Times New Roman"/>
          <w:sz w:val="24"/>
          <w:szCs w:val="24"/>
        </w:rPr>
        <w:t>: Eminent Domain</w:t>
      </w:r>
    </w:p>
    <w:p w:rsidR="00E46D95" w:rsidRDefault="006F495B">
      <w:pPr>
        <w:numPr>
          <w:ilvl w:val="0"/>
          <w:numId w:val="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Eminent Domain</w:t>
      </w:r>
      <w:r>
        <w:rPr>
          <w:rFonts w:ascii="Times New Roman" w:eastAsia="Times New Roman" w:hAnsi="Times New Roman" w:cs="Times New Roman"/>
          <w:sz w:val="20"/>
          <w:szCs w:val="20"/>
        </w:rPr>
        <w:t xml:space="preserve"> – the gov’t’s power to take over property (usually over the owner’s objection); allows federal, state, and local gov’ts to take property from a private owner who refuses to sell voluntarily </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Without such a power, an owner could flatly refuse to convey property needed for the general welfare of society or could demand an exorbitant purchase price far above the fair market value of the property</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framers viewed this power as an </w:t>
      </w:r>
      <w:r>
        <w:rPr>
          <w:rFonts w:ascii="Times New Roman" w:eastAsia="Times New Roman" w:hAnsi="Times New Roman" w:cs="Times New Roman"/>
          <w:i/>
          <w:sz w:val="20"/>
          <w:szCs w:val="20"/>
        </w:rPr>
        <w:t>inherent</w:t>
      </w:r>
      <w:r>
        <w:rPr>
          <w:rFonts w:ascii="Times New Roman" w:eastAsia="Times New Roman" w:hAnsi="Times New Roman" w:cs="Times New Roman"/>
          <w:sz w:val="20"/>
          <w:szCs w:val="20"/>
        </w:rPr>
        <w:t xml:space="preserve"> attrib</w:t>
      </w:r>
      <w:r>
        <w:rPr>
          <w:rFonts w:ascii="Times New Roman" w:eastAsia="Times New Roman" w:hAnsi="Times New Roman" w:cs="Times New Roman"/>
          <w:sz w:val="20"/>
          <w:szCs w:val="20"/>
        </w:rPr>
        <w:t xml:space="preserve">ute of sovereignty but recognized the tension between a citizen’s right to own property and the gov’t’s interest in acquiring it for the public good, so the framers imposed </w:t>
      </w:r>
      <w:r>
        <w:rPr>
          <w:rFonts w:ascii="Times New Roman" w:eastAsia="Times New Roman" w:hAnsi="Times New Roman" w:cs="Times New Roman"/>
          <w:i/>
          <w:sz w:val="20"/>
          <w:szCs w:val="20"/>
        </w:rPr>
        <w:t>limits</w:t>
      </w:r>
      <w:r>
        <w:rPr>
          <w:rFonts w:ascii="Times New Roman" w:eastAsia="Times New Roman" w:hAnsi="Times New Roman" w:cs="Times New Roman"/>
          <w:sz w:val="20"/>
          <w:szCs w:val="20"/>
        </w:rPr>
        <w:t xml:space="preserve"> contained in the </w:t>
      </w:r>
      <w:r>
        <w:rPr>
          <w:rFonts w:ascii="Times New Roman" w:eastAsia="Times New Roman" w:hAnsi="Times New Roman" w:cs="Times New Roman"/>
          <w:i/>
          <w:sz w:val="20"/>
          <w:szCs w:val="20"/>
        </w:rPr>
        <w:t>Takings Clause</w:t>
      </w:r>
      <w:r>
        <w:rPr>
          <w:rFonts w:ascii="Times New Roman" w:eastAsia="Times New Roman" w:hAnsi="Times New Roman" w:cs="Times New Roman"/>
          <w:sz w:val="20"/>
          <w:szCs w:val="20"/>
        </w:rPr>
        <w:t xml:space="preserve"> of the Fifth Amendment</w:t>
      </w:r>
    </w:p>
    <w:p w:rsidR="00E46D95" w:rsidRDefault="006F495B">
      <w:pPr>
        <w:numPr>
          <w:ilvl w:val="2"/>
          <w:numId w:val="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Takings Clause</w:t>
      </w:r>
      <w:r>
        <w:rPr>
          <w:rFonts w:ascii="Times New Roman" w:eastAsia="Times New Roman" w:hAnsi="Times New Roman" w:cs="Times New Roman"/>
          <w:sz w:val="20"/>
          <w:szCs w:val="20"/>
        </w:rPr>
        <w:t xml:space="preserve">: “Nor </w:t>
      </w:r>
      <w:r>
        <w:rPr>
          <w:rFonts w:ascii="Times New Roman" w:eastAsia="Times New Roman" w:hAnsi="Times New Roman" w:cs="Times New Roman"/>
          <w:sz w:val="20"/>
          <w:szCs w:val="20"/>
        </w:rPr>
        <w:t>shall private property be taken for public use without just compensation”</w:t>
      </w:r>
    </w:p>
    <w:p w:rsidR="00E46D95" w:rsidRDefault="006F495B">
      <w:pPr>
        <w:numPr>
          <w:ilvl w:val="2"/>
          <w:numId w:val="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Limits</w:t>
      </w:r>
      <w:r>
        <w:rPr>
          <w:rFonts w:ascii="Times New Roman" w:eastAsia="Times New Roman" w:hAnsi="Times New Roman" w:cs="Times New Roman"/>
          <w:sz w:val="20"/>
          <w:szCs w:val="20"/>
        </w:rPr>
        <w:t>; the Takings Clause provides two restrictions on the gov’t’s power of eminent domain</w:t>
      </w:r>
    </w:p>
    <w:p w:rsidR="00E46D95" w:rsidRDefault="006F495B">
      <w:pPr>
        <w:numPr>
          <w:ilvl w:val="3"/>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gov’t may take property only for a “public use” </w:t>
      </w:r>
      <w:r>
        <w:rPr>
          <w:rFonts w:ascii="Times New Roman" w:eastAsia="Times New Roman" w:hAnsi="Times New Roman" w:cs="Times New Roman"/>
          <w:i/>
          <w:sz w:val="20"/>
          <w:szCs w:val="20"/>
        </w:rPr>
        <w:t>and</w:t>
      </w:r>
    </w:p>
    <w:p w:rsidR="00E46D95" w:rsidRDefault="006F495B">
      <w:pPr>
        <w:numPr>
          <w:ilvl w:val="3"/>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private owner must receive jus</w:t>
      </w:r>
      <w:r>
        <w:rPr>
          <w:rFonts w:ascii="Times New Roman" w:eastAsia="Times New Roman" w:hAnsi="Times New Roman" w:cs="Times New Roman"/>
          <w:sz w:val="20"/>
          <w:szCs w:val="20"/>
        </w:rPr>
        <w:t>t compensation</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Fourteenth Amendment extended the provisions of the Fifth Amendment to state and local governments; similarly, virtually every state constitution contains a provision similar to the federal Takings Clause </w:t>
      </w:r>
    </w:p>
    <w:p w:rsidR="00E46D95" w:rsidRDefault="006F495B">
      <w:pPr>
        <w:numPr>
          <w:ilvl w:val="0"/>
          <w:numId w:val="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Condemnation </w:t>
      </w:r>
      <w:r>
        <w:rPr>
          <w:rFonts w:ascii="Times New Roman" w:eastAsia="Times New Roman" w:hAnsi="Times New Roman" w:cs="Times New Roman"/>
          <w:sz w:val="20"/>
          <w:szCs w:val="20"/>
        </w:rPr>
        <w:t xml:space="preserve">– the </w:t>
      </w:r>
      <w:r>
        <w:rPr>
          <w:rFonts w:ascii="Times New Roman" w:eastAsia="Times New Roman" w:hAnsi="Times New Roman" w:cs="Times New Roman"/>
          <w:i/>
          <w:sz w:val="20"/>
          <w:szCs w:val="20"/>
        </w:rPr>
        <w:t>process</w:t>
      </w:r>
      <w:r>
        <w:rPr>
          <w:rFonts w:ascii="Times New Roman" w:eastAsia="Times New Roman" w:hAnsi="Times New Roman" w:cs="Times New Roman"/>
          <w:sz w:val="20"/>
          <w:szCs w:val="20"/>
        </w:rPr>
        <w:t xml:space="preserve"> of u</w:t>
      </w:r>
      <w:r>
        <w:rPr>
          <w:rFonts w:ascii="Times New Roman" w:eastAsia="Times New Roman" w:hAnsi="Times New Roman" w:cs="Times New Roman"/>
          <w:sz w:val="20"/>
          <w:szCs w:val="20"/>
        </w:rPr>
        <w:t xml:space="preserve">sing eminent domain to take property </w:t>
      </w:r>
    </w:p>
    <w:p w:rsidR="00E46D95" w:rsidRDefault="006F495B">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Defining </w:t>
      </w:r>
      <w:r>
        <w:rPr>
          <w:rFonts w:ascii="Times New Roman" w:eastAsia="Times New Roman" w:hAnsi="Times New Roman" w:cs="Times New Roman"/>
          <w:i/>
          <w:sz w:val="20"/>
          <w:szCs w:val="20"/>
        </w:rPr>
        <w:t>Public Use</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Easily satisfied when gov’t takes land that will physically be used by the public or by gov’t employees</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Local gov’ts increasingly use eminent domain to clear slums, redistribute land, attract busine</w:t>
      </w:r>
      <w:r>
        <w:rPr>
          <w:rFonts w:ascii="Times New Roman" w:eastAsia="Times New Roman" w:hAnsi="Times New Roman" w:cs="Times New Roman"/>
          <w:sz w:val="20"/>
          <w:szCs w:val="20"/>
        </w:rPr>
        <w:t>sses, create jobs, and revitalize distressed urban centers, in effect, forcing one private owner to transfer her land to another private owner – whether this meets the public use test is an issue of considerable importance and complexity; SCOTUS has held t</w:t>
      </w:r>
      <w:r>
        <w:rPr>
          <w:rFonts w:ascii="Times New Roman" w:eastAsia="Times New Roman" w:hAnsi="Times New Roman" w:cs="Times New Roman"/>
          <w:sz w:val="20"/>
          <w:szCs w:val="20"/>
        </w:rPr>
        <w:t>hat the requirement is satisfied if a taking serves a public purpose</w:t>
      </w:r>
    </w:p>
    <w:p w:rsidR="00E46D95" w:rsidRDefault="006F495B">
      <w:pPr>
        <w:numPr>
          <w:ilvl w:val="1"/>
          <w:numId w:val="6"/>
        </w:numPr>
        <w:contextualSpacing/>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highlight w:val="yellow"/>
        </w:rPr>
        <w:t xml:space="preserve">The Evolution of “Public Use” Over Time </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Hawaii Housing Authority v. Midkiff</w:t>
      </w:r>
      <w:r>
        <w:rPr>
          <w:rFonts w:ascii="Times New Roman" w:eastAsia="Times New Roman" w:hAnsi="Times New Roman" w:cs="Times New Roman"/>
          <w:color w:val="FF0000"/>
          <w:sz w:val="20"/>
          <w:szCs w:val="20"/>
          <w:shd w:val="clear" w:color="auto" w:fill="FFF2CC"/>
        </w:rPr>
        <w:t xml:space="preserve"> (SCOTUS, 1984)</w:t>
      </w:r>
      <w:r>
        <w:rPr>
          <w:rFonts w:ascii="Times New Roman" w:eastAsia="Times New Roman" w:hAnsi="Times New Roman" w:cs="Times New Roman"/>
          <w:color w:val="FF0000"/>
          <w:sz w:val="20"/>
          <w:szCs w:val="20"/>
        </w:rPr>
        <w:t xml:space="preserve"> –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Berman v. Parker</w:t>
      </w:r>
      <w:r>
        <w:rPr>
          <w:rFonts w:ascii="Times New Roman" w:eastAsia="Times New Roman" w:hAnsi="Times New Roman" w:cs="Times New Roman"/>
          <w:color w:val="FF0000"/>
          <w:sz w:val="20"/>
          <w:szCs w:val="20"/>
        </w:rPr>
        <w:t>: (F) Slum clearance in DC, Berman owned a small grocery store,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/COA) his grocery store not in decay, not public use and beyond authority of condemnation power, (H) wrong, slum clearance is a public purpose because </w:t>
      </w:r>
      <w:r>
        <w:rPr>
          <w:rFonts w:ascii="Times New Roman" w:eastAsia="Times New Roman" w:hAnsi="Times New Roman" w:cs="Times New Roman"/>
          <w:i/>
          <w:color w:val="FF0000"/>
          <w:sz w:val="20"/>
          <w:szCs w:val="20"/>
        </w:rPr>
        <w:t>rationally related</w:t>
      </w:r>
      <w:r>
        <w:rPr>
          <w:rFonts w:ascii="Cardo" w:eastAsia="Cardo" w:hAnsi="Cardo" w:cs="Cardo"/>
          <w:color w:val="FF0000"/>
          <w:sz w:val="20"/>
          <w:szCs w:val="20"/>
        </w:rPr>
        <w:t xml:space="preserve"> (RULE) to health/sa</w:t>
      </w:r>
      <w:r>
        <w:rPr>
          <w:rFonts w:ascii="Cardo" w:eastAsia="Cardo" w:hAnsi="Cardo" w:cs="Cardo"/>
          <w:color w:val="FF0000"/>
          <w:sz w:val="20"/>
          <w:szCs w:val="20"/>
        </w:rPr>
        <w:t xml:space="preserve">fety/welfare → first “public use” case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In 1960s most private land in Hawaii was owned by a handful of individuals (oligopoly; many lessors, few lessees); state legislature enacted Hawaiian Land Reform Act of 1967 (being lobbied) </w:t>
      </w:r>
    </w:p>
    <w:p w:rsidR="00E46D95" w:rsidRDefault="006F495B">
      <w:pPr>
        <w:numPr>
          <w:ilvl w:val="3"/>
          <w:numId w:val="6"/>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HLRA: Created mechanis</w:t>
      </w:r>
      <w:r>
        <w:rPr>
          <w:rFonts w:ascii="Cardo" w:eastAsia="Cardo" w:hAnsi="Cardo" w:cs="Cardo"/>
          <w:color w:val="FF0000"/>
          <w:sz w:val="20"/>
          <w:szCs w:val="20"/>
        </w:rPr>
        <w:t xml:space="preserve">m for condemning residential tracts for transferring ownership of the condemned fees simple to existing lessees → taking fees from oligopoly, merge it, giving to lessees and they become fee simple owners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Public purpose? (i.e. disbursement of ownership)</w:t>
      </w:r>
      <w:r>
        <w:rPr>
          <w:rFonts w:ascii="Times New Roman" w:eastAsia="Times New Roman" w:hAnsi="Times New Roman" w:cs="Times New Roman"/>
          <w:color w:val="FF0000"/>
          <w:sz w:val="20"/>
          <w:szCs w:val="20"/>
        </w:rPr>
        <w:t xml:space="preserve">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Not a public use (public ownership for limited time prior to transfer to lessees) – taking private land for a </w:t>
      </w:r>
      <w:r>
        <w:rPr>
          <w:rFonts w:ascii="Times New Roman" w:eastAsia="Times New Roman" w:hAnsi="Times New Roman" w:cs="Times New Roman"/>
          <w:i/>
          <w:color w:val="FF0000"/>
          <w:sz w:val="20"/>
          <w:szCs w:val="20"/>
        </w:rPr>
        <w:t>private</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use</w:t>
      </w:r>
      <w:r>
        <w:rPr>
          <w:rFonts w:ascii="Times New Roman" w:eastAsia="Times New Roman" w:hAnsi="Times New Roman" w:cs="Times New Roman"/>
          <w:color w:val="FF0000"/>
          <w:sz w:val="20"/>
          <w:szCs w:val="20"/>
        </w:rPr>
        <w:t>, not what the 5A called for</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A legitimate public purpose thereby Constitutional (particular to situation – where courts take f</w:t>
      </w:r>
      <w:r>
        <w:rPr>
          <w:rFonts w:ascii="Times New Roman" w:eastAsia="Times New Roman" w:hAnsi="Times New Roman" w:cs="Times New Roman"/>
          <w:color w:val="FF0000"/>
          <w:sz w:val="20"/>
          <w:szCs w:val="20"/>
        </w:rPr>
        <w:t>rom oligopoly and transfer fees to lessees to disburse concentrated ownership of lands constitutes a “public use”)</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w:t>
      </w:r>
      <w:r>
        <w:rPr>
          <w:rFonts w:ascii="Times New Roman" w:eastAsia="Times New Roman" w:hAnsi="Times New Roman" w:cs="Times New Roman"/>
          <w:color w:val="FF0000"/>
          <w:sz w:val="20"/>
          <w:szCs w:val="20"/>
          <w:u w:val="single"/>
        </w:rPr>
        <w:t>Public use requirement is continuous with the scope of a sovereign’s police powers</w:t>
      </w:r>
      <w:r>
        <w:rPr>
          <w:rFonts w:ascii="Times New Roman" w:eastAsia="Times New Roman" w:hAnsi="Times New Roman" w:cs="Times New Roman"/>
          <w:color w:val="FF0000"/>
          <w:sz w:val="20"/>
          <w:szCs w:val="20"/>
        </w:rPr>
        <w:t xml:space="preserve"> (health/safety/welfare of community)</w:t>
      </w:r>
    </w:p>
    <w:p w:rsidR="00E46D95" w:rsidRDefault="006F495B">
      <w:pPr>
        <w:numPr>
          <w:ilvl w:val="3"/>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Legislature </w:t>
      </w:r>
      <w:r>
        <w:rPr>
          <w:rFonts w:ascii="Times New Roman" w:eastAsia="Times New Roman" w:hAnsi="Times New Roman" w:cs="Times New Roman"/>
          <w:i/>
          <w:color w:val="FF0000"/>
          <w:sz w:val="20"/>
          <w:szCs w:val="20"/>
        </w:rPr>
        <w:t>ration</w:t>
      </w:r>
      <w:r>
        <w:rPr>
          <w:rFonts w:ascii="Times New Roman" w:eastAsia="Times New Roman" w:hAnsi="Times New Roman" w:cs="Times New Roman"/>
          <w:i/>
          <w:color w:val="FF0000"/>
          <w:sz w:val="20"/>
          <w:szCs w:val="20"/>
        </w:rPr>
        <w:t>ally could have believed</w:t>
      </w:r>
      <w:r>
        <w:rPr>
          <w:rFonts w:ascii="Times New Roman" w:eastAsia="Times New Roman" w:hAnsi="Times New Roman" w:cs="Times New Roman"/>
          <w:color w:val="FF0000"/>
          <w:sz w:val="20"/>
          <w:szCs w:val="20"/>
        </w:rPr>
        <w:t xml:space="preserve"> that the Act would promote its objective (not whether </w:t>
      </w:r>
      <w:r>
        <w:rPr>
          <w:rFonts w:ascii="Times New Roman" w:eastAsia="Times New Roman" w:hAnsi="Times New Roman" w:cs="Times New Roman"/>
          <w:i/>
          <w:color w:val="FF0000"/>
          <w:sz w:val="20"/>
          <w:szCs w:val="20"/>
        </w:rPr>
        <w:t>does</w:t>
      </w:r>
      <w:r>
        <w:rPr>
          <w:rFonts w:ascii="Times New Roman" w:eastAsia="Times New Roman" w:hAnsi="Times New Roman" w:cs="Times New Roman"/>
          <w:color w:val="FF0000"/>
          <w:sz w:val="20"/>
          <w:szCs w:val="20"/>
        </w:rPr>
        <w:t xml:space="preserve"> accomplish</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color w:val="FF0000"/>
          <w:sz w:val="20"/>
          <w:szCs w:val="20"/>
        </w:rPr>
        <w:t xml:space="preserve">but whether </w:t>
      </w:r>
      <w:r>
        <w:rPr>
          <w:rFonts w:ascii="Times New Roman" w:eastAsia="Times New Roman" w:hAnsi="Times New Roman" w:cs="Times New Roman"/>
          <w:i/>
          <w:color w:val="FF0000"/>
          <w:sz w:val="20"/>
          <w:szCs w:val="20"/>
        </w:rPr>
        <w:t xml:space="preserve">rationally could have believed </w:t>
      </w:r>
      <w:r>
        <w:rPr>
          <w:rFonts w:ascii="Times New Roman" w:eastAsia="Times New Roman" w:hAnsi="Times New Roman" w:cs="Times New Roman"/>
          <w:color w:val="FF0000"/>
          <w:sz w:val="20"/>
          <w:szCs w:val="20"/>
        </w:rPr>
        <w:t>would accomplish)</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J: Reverse and remand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Can you condemn intellectual property? (i.e. Oakland Raiders hypo) CA S</w:t>
      </w:r>
      <w:r>
        <w:rPr>
          <w:rFonts w:ascii="Times New Roman" w:eastAsia="Times New Roman" w:hAnsi="Times New Roman" w:cs="Times New Roman"/>
          <w:color w:val="FF0000"/>
          <w:sz w:val="20"/>
          <w:szCs w:val="20"/>
        </w:rPr>
        <w:t>upreme Court: Oakland could condemn team for public use because noneconomic value to being a professional football city (under state equivalent of public use doctrine)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able to move because of interference with interstate commerce) – hard to show econo</w:t>
      </w:r>
      <w:r>
        <w:rPr>
          <w:rFonts w:ascii="Times New Roman" w:eastAsia="Times New Roman" w:hAnsi="Times New Roman" w:cs="Times New Roman"/>
          <w:color w:val="FF0000"/>
          <w:sz w:val="20"/>
          <w:szCs w:val="20"/>
        </w:rPr>
        <w:t>mic value with teams</w:t>
      </w:r>
    </w:p>
    <w:p w:rsidR="00E46D95" w:rsidRDefault="006F495B">
      <w:pPr>
        <w:numPr>
          <w:ilvl w:val="3"/>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Brooklyn Nets Barclay Center as “public use”</w:t>
      </w:r>
    </w:p>
    <w:p w:rsidR="00E46D95" w:rsidRDefault="006F495B">
      <w:pPr>
        <w:ind w:left="2160"/>
        <w:rPr>
          <w:rFonts w:ascii="Times New Roman" w:eastAsia="Times New Roman" w:hAnsi="Times New Roman" w:cs="Times New Roman"/>
          <w:sz w:val="20"/>
          <w:szCs w:val="20"/>
          <w:highlight w:val="yellow"/>
        </w:rPr>
      </w:pPr>
      <w:r>
        <w:rPr>
          <w:rFonts w:ascii="Cardo" w:eastAsia="Cardo" w:hAnsi="Cardo" w:cs="Cardo"/>
          <w:color w:val="FF0000"/>
          <w:sz w:val="20"/>
          <w:szCs w:val="20"/>
        </w:rPr>
        <w:t xml:space="preserve">→ Public lands could have been razed and turned into fee simples, however public lands mostly undeveloped/undevelopable </w:t>
      </w:r>
    </w:p>
    <w:p w:rsidR="00E46D95" w:rsidRDefault="006F495B">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Scope of Public Use</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Development – SCOTUS has held that taking private property for the primary purpose of economic redevelopment pursuant to a comprehensive plan satisfies the public use requirement</w:t>
      </w:r>
    </w:p>
    <w:p w:rsidR="00E46D95" w:rsidRDefault="006F495B">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Laws – a state may interpret its state constitution as requiri</w:t>
      </w:r>
      <w:r>
        <w:rPr>
          <w:rFonts w:ascii="Times New Roman" w:eastAsia="Times New Roman" w:hAnsi="Times New Roman" w:cs="Times New Roman"/>
          <w:sz w:val="20"/>
          <w:szCs w:val="20"/>
        </w:rPr>
        <w:t>ng a more narrow definition of “public use” than is used to interpret the federal Takings Clause or a state may enact legislation that provides property owners with more protection against condemnation than the Takings Clause requires; as such, some states</w:t>
      </w:r>
      <w:r>
        <w:rPr>
          <w:rFonts w:ascii="Times New Roman" w:eastAsia="Times New Roman" w:hAnsi="Times New Roman" w:cs="Times New Roman"/>
          <w:sz w:val="20"/>
          <w:szCs w:val="20"/>
        </w:rPr>
        <w:t xml:space="preserve"> do not allow condemnation of private land for economic development</w:t>
      </w:r>
    </w:p>
    <w:p w:rsidR="00E46D95" w:rsidRDefault="006F495B">
      <w:pPr>
        <w:numPr>
          <w:ilvl w:val="1"/>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Kelo v. City of New London</w:t>
      </w:r>
      <w:r>
        <w:rPr>
          <w:rFonts w:ascii="Times New Roman" w:eastAsia="Times New Roman" w:hAnsi="Times New Roman" w:cs="Times New Roman"/>
          <w:color w:val="FF0000"/>
          <w:sz w:val="20"/>
          <w:szCs w:val="20"/>
          <w:shd w:val="clear" w:color="auto" w:fill="FFF2CC"/>
        </w:rPr>
        <w:t xml:space="preserve"> (SCOTUS, 2005)</w:t>
      </w:r>
      <w:r>
        <w:rPr>
          <w:rFonts w:ascii="Times New Roman" w:eastAsia="Times New Roman" w:hAnsi="Times New Roman" w:cs="Times New Roman"/>
          <w:color w:val="FF0000"/>
          <w:sz w:val="20"/>
          <w:szCs w:val="20"/>
        </w:rPr>
        <w:t xml:space="preserve"> – </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Economically distressed CT town, </w:t>
      </w:r>
      <w:r>
        <w:rPr>
          <w:rFonts w:ascii="Times New Roman" w:eastAsia="Times New Roman" w:hAnsi="Times New Roman" w:cs="Times New Roman"/>
          <w:i/>
          <w:color w:val="FF0000"/>
          <w:sz w:val="20"/>
          <w:szCs w:val="20"/>
        </w:rPr>
        <w:t>Pfizer</w:t>
      </w:r>
      <w:r>
        <w:rPr>
          <w:rFonts w:ascii="Times New Roman" w:eastAsia="Times New Roman" w:hAnsi="Times New Roman" w:cs="Times New Roman"/>
          <w:color w:val="FF0000"/>
          <w:sz w:val="20"/>
          <w:szCs w:val="20"/>
        </w:rPr>
        <w:t xml:space="preserve"> to build research facility, city creates development plan around plant hoping to revitalize econ dis</w:t>
      </w:r>
      <w:r>
        <w:rPr>
          <w:rFonts w:ascii="Times New Roman" w:eastAsia="Times New Roman" w:hAnsi="Times New Roman" w:cs="Times New Roman"/>
          <w:color w:val="FF0000"/>
          <w:sz w:val="20"/>
          <w:szCs w:val="20"/>
        </w:rPr>
        <w:t>tressed community local gov’t (operating under state authority) would condemn; that plan created by the city (publicly approved – ratified by public bodies, public hearings held; not backroom deal) emphasized by Stevens M and Kennedy C</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I: Whether a city’s </w:t>
      </w:r>
      <w:r>
        <w:rPr>
          <w:rFonts w:ascii="Times New Roman" w:eastAsia="Times New Roman" w:hAnsi="Times New Roman" w:cs="Times New Roman"/>
          <w:color w:val="FF0000"/>
          <w:sz w:val="20"/>
          <w:szCs w:val="20"/>
        </w:rPr>
        <w:t>decision to take property for the purpose of economic development satisfies the “public use” requirement of the 5A?</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not a slum (convinced O’Connor)</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Publicly approved plan aimed at big problem (recession), whatever we say here can be further prot</w:t>
      </w:r>
      <w:r>
        <w:rPr>
          <w:rFonts w:ascii="Times New Roman" w:eastAsia="Times New Roman" w:hAnsi="Times New Roman" w:cs="Times New Roman"/>
          <w:color w:val="FF0000"/>
          <w:sz w:val="20"/>
          <w:szCs w:val="20"/>
        </w:rPr>
        <w:t>ected by state gov’ts</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Public use</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C: (Kennedy)</w:t>
      </w:r>
      <w:r>
        <w:rPr>
          <w:rFonts w:ascii="Times New Roman" w:eastAsia="Times New Roman" w:hAnsi="Times New Roman" w:cs="Times New Roman"/>
          <w:color w:val="FF0000"/>
          <w:sz w:val="20"/>
          <w:szCs w:val="20"/>
        </w:rPr>
        <w:t xml:space="preserve"> (deciding so may be argued in other cases) </w:t>
      </w:r>
      <w:r>
        <w:rPr>
          <w:rFonts w:ascii="Times New Roman" w:eastAsia="Times New Roman" w:hAnsi="Times New Roman" w:cs="Times New Roman"/>
          <w:color w:val="FF0000"/>
          <w:sz w:val="20"/>
          <w:szCs w:val="20"/>
          <w:u w:val="single"/>
        </w:rPr>
        <w:t>Comprehensive plan important but not all there is</w:t>
      </w:r>
      <w:r>
        <w:rPr>
          <w:rFonts w:ascii="Times New Roman" w:eastAsia="Times New Roman" w:hAnsi="Times New Roman" w:cs="Times New Roman"/>
          <w:color w:val="FF0000"/>
          <w:sz w:val="20"/>
          <w:szCs w:val="20"/>
        </w:rPr>
        <w:t>, doesn’t want beneficiaries to be identified in advance (wants stricter scrutiny rule but have here so ok – typica</w:t>
      </w:r>
      <w:r>
        <w:rPr>
          <w:rFonts w:ascii="Times New Roman" w:eastAsia="Times New Roman" w:hAnsi="Times New Roman" w:cs="Times New Roman"/>
          <w:color w:val="FF0000"/>
          <w:sz w:val="20"/>
          <w:szCs w:val="20"/>
        </w:rPr>
        <w:t xml:space="preserve">l J. Kennedy, “here, but not everywhere”), </w:t>
      </w:r>
      <w:r>
        <w:rPr>
          <w:rFonts w:ascii="Times New Roman" w:eastAsia="Times New Roman" w:hAnsi="Times New Roman" w:cs="Times New Roman"/>
          <w:color w:val="FF0000"/>
          <w:sz w:val="20"/>
          <w:szCs w:val="20"/>
          <w:u w:val="single"/>
        </w:rPr>
        <w:t>important that wasn’t a backroom deal between gov’t and developers</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(O’Connor) Worried about transfer of private to private (in </w:t>
      </w:r>
      <w:r>
        <w:rPr>
          <w:rFonts w:ascii="Times New Roman" w:eastAsia="Times New Roman" w:hAnsi="Times New Roman" w:cs="Times New Roman"/>
          <w:i/>
          <w:color w:val="FF0000"/>
          <w:sz w:val="20"/>
          <w:szCs w:val="20"/>
        </w:rPr>
        <w:t>Hawaiian</w:t>
      </w:r>
      <w:r>
        <w:rPr>
          <w:rFonts w:ascii="Times New Roman" w:eastAsia="Times New Roman" w:hAnsi="Times New Roman" w:cs="Times New Roman"/>
          <w:color w:val="FF0000"/>
          <w:sz w:val="20"/>
          <w:szCs w:val="20"/>
        </w:rPr>
        <w:t xml:space="preserve"> case the wealthy lost; the smaller the gov’t the easier to control, once i</w:t>
      </w:r>
      <w:r>
        <w:rPr>
          <w:rFonts w:ascii="Times New Roman" w:eastAsia="Times New Roman" w:hAnsi="Times New Roman" w:cs="Times New Roman"/>
          <w:color w:val="FF0000"/>
          <w:sz w:val="20"/>
          <w:szCs w:val="20"/>
        </w:rPr>
        <w:t>n city more significant that must make sure not corrupt backroom deals)</w:t>
      </w:r>
    </w:p>
    <w:p w:rsidR="00E46D95" w:rsidRDefault="006F495B">
      <w:pPr>
        <w:numPr>
          <w:ilvl w:val="3"/>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Also distinguishes </w:t>
      </w:r>
      <w:r>
        <w:rPr>
          <w:rFonts w:ascii="Times New Roman" w:eastAsia="Times New Roman" w:hAnsi="Times New Roman" w:cs="Times New Roman"/>
          <w:i/>
          <w:color w:val="FF0000"/>
          <w:sz w:val="20"/>
          <w:szCs w:val="20"/>
        </w:rPr>
        <w:t>Berman</w:t>
      </w:r>
      <w:r>
        <w:rPr>
          <w:rFonts w:ascii="Times New Roman" w:eastAsia="Times New Roman" w:hAnsi="Times New Roman" w:cs="Times New Roman"/>
          <w:color w:val="FF0000"/>
          <w:sz w:val="20"/>
          <w:szCs w:val="20"/>
        </w:rPr>
        <w:t xml:space="preserve"> slum (focused on nature of Kelo’s house, nice house) and </w:t>
      </w:r>
      <w:r>
        <w:rPr>
          <w:rFonts w:ascii="Times New Roman" w:eastAsia="Times New Roman" w:hAnsi="Times New Roman" w:cs="Times New Roman"/>
          <w:i/>
          <w:color w:val="FF0000"/>
          <w:sz w:val="20"/>
          <w:szCs w:val="20"/>
        </w:rPr>
        <w:t>Hawaiian</w:t>
      </w:r>
      <w:r>
        <w:rPr>
          <w:rFonts w:ascii="Times New Roman" w:eastAsia="Times New Roman" w:hAnsi="Times New Roman" w:cs="Times New Roman"/>
          <w:color w:val="FF0000"/>
          <w:sz w:val="20"/>
          <w:szCs w:val="20"/>
        </w:rPr>
        <w:t xml:space="preserve"> land oligopoly – must have public harm before condemnation and don’t have it here (though Δ would say economic recession is public harm)</w:t>
      </w:r>
    </w:p>
    <w:p w:rsidR="00E46D95" w:rsidRDefault="006F495B">
      <w:pPr>
        <w:numPr>
          <w:ilvl w:val="2"/>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Harm/benefit distinction by book editors; GM hypo #3 (based on famous case), (H) was a public use but cutback in</w:t>
      </w:r>
      <w:r>
        <w:rPr>
          <w:rFonts w:ascii="Times New Roman" w:eastAsia="Times New Roman" w:hAnsi="Times New Roman" w:cs="Times New Roman"/>
          <w:color w:val="FF0000"/>
          <w:sz w:val="20"/>
          <w:szCs w:val="20"/>
        </w:rPr>
        <w:t xml:space="preserve"> later decisions </w:t>
      </w:r>
    </w:p>
    <w:p w:rsidR="00E46D95" w:rsidRDefault="006F495B">
      <w:pPr>
        <w:numPr>
          <w:ilvl w:val="1"/>
          <w:numId w:val="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Process of effectuating eminent domain is condemnation</w:t>
      </w:r>
    </w:p>
    <w:p w:rsidR="00E46D95" w:rsidRDefault="006F495B">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Just Compensation </w:t>
      </w:r>
      <w:r>
        <w:rPr>
          <w:rFonts w:ascii="Times New Roman" w:eastAsia="Times New Roman" w:hAnsi="Times New Roman" w:cs="Times New Roman"/>
          <w:sz w:val="20"/>
          <w:szCs w:val="20"/>
        </w:rPr>
        <w:t xml:space="preserve">– generally, fair market value, the amount that a willing buyer would pay a willing seller on the open market. An inherent problem in calculating this value is that </w:t>
      </w:r>
      <w:r>
        <w:rPr>
          <w:rFonts w:ascii="Times New Roman" w:eastAsia="Times New Roman" w:hAnsi="Times New Roman" w:cs="Times New Roman"/>
          <w:sz w:val="20"/>
          <w:szCs w:val="20"/>
        </w:rPr>
        <w:t>in a condemnation action, the government seeks to buy from an unwilling seller</w:t>
      </w:r>
    </w:p>
    <w:p w:rsidR="00E46D95" w:rsidRDefault="006F495B">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Eminent Domain </w:t>
      </w:r>
      <w:r>
        <w:rPr>
          <w:rFonts w:ascii="Times New Roman" w:eastAsia="Times New Roman" w:hAnsi="Times New Roman" w:cs="Times New Roman"/>
          <w:color w:val="FF00FF"/>
          <w:sz w:val="20"/>
          <w:szCs w:val="20"/>
        </w:rPr>
        <w:t>(power)</w:t>
      </w:r>
      <w:r>
        <w:rPr>
          <w:rFonts w:ascii="Times New Roman" w:eastAsia="Times New Roman" w:hAnsi="Times New Roman" w:cs="Times New Roman"/>
          <w:sz w:val="20"/>
          <w:szCs w:val="20"/>
        </w:rPr>
        <w:t xml:space="preserve">/Condemnation </w:t>
      </w:r>
      <w:r>
        <w:rPr>
          <w:rFonts w:ascii="Times New Roman" w:eastAsia="Times New Roman" w:hAnsi="Times New Roman" w:cs="Times New Roman"/>
          <w:color w:val="FF00FF"/>
          <w:sz w:val="20"/>
          <w:szCs w:val="20"/>
        </w:rPr>
        <w:t>(procedure)</w:t>
      </w:r>
    </w:p>
    <w:p w:rsidR="00E46D95" w:rsidRDefault="006F495B">
      <w:pPr>
        <w:numPr>
          <w:ilvl w:val="1"/>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Limited by the language of the 5A, which applies to the states due to the 14A (for many years did not apply to states meaning 5A </w:t>
      </w:r>
      <w:r>
        <w:rPr>
          <w:rFonts w:ascii="Times New Roman" w:eastAsia="Times New Roman" w:hAnsi="Times New Roman" w:cs="Times New Roman"/>
          <w:color w:val="FF00FF"/>
          <w:sz w:val="20"/>
          <w:szCs w:val="20"/>
        </w:rPr>
        <w:t>essentially meant nothing)</w:t>
      </w:r>
    </w:p>
    <w:p w:rsidR="00E46D95" w:rsidRDefault="006F495B">
      <w:pPr>
        <w:numPr>
          <w:ilvl w:val="1"/>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Cases here about overt taking of property for public use (what is public use?) (No time to argue in this class over “just compensation”; next class turn to what is a “taking”)</w:t>
      </w:r>
    </w:p>
    <w:p w:rsidR="00E46D95" w:rsidRDefault="006F495B">
      <w:pPr>
        <w:numPr>
          <w:ilvl w:val="2"/>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Also consider that state constitutions may have langu</w:t>
      </w:r>
      <w:r>
        <w:rPr>
          <w:rFonts w:ascii="Times New Roman" w:eastAsia="Times New Roman" w:hAnsi="Times New Roman" w:cs="Times New Roman"/>
          <w:color w:val="FF00FF"/>
          <w:sz w:val="20"/>
          <w:szCs w:val="20"/>
        </w:rPr>
        <w:t>age (and many do) saying “and may not take for private use” (states more protected than the federal gov’t); here considering federal Constitution</w:t>
      </w:r>
    </w:p>
    <w:p w:rsidR="00E46D95" w:rsidRDefault="006F495B">
      <w:pPr>
        <w:numPr>
          <w:ilvl w:val="1"/>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Language of 5A “nor shall private property be taken without just compensation,” notice that 5A did not create </w:t>
      </w:r>
      <w:r>
        <w:rPr>
          <w:rFonts w:ascii="Times New Roman" w:eastAsia="Times New Roman" w:hAnsi="Times New Roman" w:cs="Times New Roman"/>
          <w:color w:val="FF00FF"/>
          <w:sz w:val="20"/>
          <w:szCs w:val="20"/>
        </w:rPr>
        <w:t>right to condemnation, recognition of existing right (condemnation back in country’s founding)</w:t>
      </w:r>
      <w:r>
        <w:rPr>
          <w:rFonts w:ascii="Times New Roman" w:eastAsia="Times New Roman" w:hAnsi="Times New Roman" w:cs="Times New Roman"/>
          <w:color w:val="FF00FF"/>
          <w:sz w:val="20"/>
          <w:szCs w:val="20"/>
        </w:rPr>
        <w:tab/>
      </w:r>
    </w:p>
    <w:p w:rsidR="00E46D95" w:rsidRDefault="006F495B">
      <w:pPr>
        <w:numPr>
          <w:ilvl w:val="2"/>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No indication as to what “public use,” “taking,” or “just compensation” are – interpreted judicially (may also be interpreted by the legislature, legislatures g</w:t>
      </w:r>
      <w:r>
        <w:rPr>
          <w:rFonts w:ascii="Times New Roman" w:eastAsia="Times New Roman" w:hAnsi="Times New Roman" w:cs="Times New Roman"/>
          <w:color w:val="FF00FF"/>
          <w:sz w:val="20"/>
          <w:szCs w:val="20"/>
        </w:rPr>
        <w:t>iven discretion (historically not the case))</w:t>
      </w:r>
    </w:p>
    <w:p w:rsidR="00E46D95" w:rsidRDefault="006F495B">
      <w:pPr>
        <w:numPr>
          <w:ilvl w:val="1"/>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If state condemns your land you’re an unwilling </w:t>
      </w:r>
      <w:r>
        <w:rPr>
          <w:rFonts w:ascii="Times New Roman" w:eastAsia="Times New Roman" w:hAnsi="Times New Roman" w:cs="Times New Roman"/>
          <w:i/>
          <w:color w:val="FF00FF"/>
          <w:sz w:val="20"/>
          <w:szCs w:val="20"/>
        </w:rPr>
        <w:t>seller</w:t>
      </w:r>
      <w:r>
        <w:rPr>
          <w:rFonts w:ascii="Times New Roman" w:eastAsia="Times New Roman" w:hAnsi="Times New Roman" w:cs="Times New Roman"/>
          <w:color w:val="FF00FF"/>
          <w:sz w:val="20"/>
          <w:szCs w:val="20"/>
        </w:rPr>
        <w:t xml:space="preserve"> (not a situation where the gov’t gets something for nothing, must pay “just compensation”)</w:t>
      </w:r>
    </w:p>
    <w:p w:rsidR="00E46D95" w:rsidRDefault="006F495B">
      <w:pPr>
        <w:numPr>
          <w:ilvl w:val="1"/>
          <w:numId w:val="6"/>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Condemnation authority aimed at combatting hold out monopoly powe</w:t>
      </w:r>
      <w:r>
        <w:rPr>
          <w:rFonts w:ascii="Times New Roman" w:eastAsia="Times New Roman" w:hAnsi="Times New Roman" w:cs="Times New Roman"/>
          <w:color w:val="FF00FF"/>
          <w:sz w:val="20"/>
          <w:szCs w:val="20"/>
        </w:rPr>
        <w:t>r (where fewer holdouts, more like a monopoly)</w:t>
      </w:r>
    </w:p>
    <w:p w:rsidR="00E46D95" w:rsidRDefault="00E46D95">
      <w:pPr>
        <w:ind w:left="720"/>
        <w:rPr>
          <w:rFonts w:ascii="Times New Roman" w:eastAsia="Times New Roman" w:hAnsi="Times New Roman" w:cs="Times New Roman"/>
          <w:color w:val="FF0000"/>
          <w:sz w:val="20"/>
          <w:szCs w:val="20"/>
        </w:rPr>
      </w:pPr>
    </w:p>
    <w:p w:rsidR="00E46D95" w:rsidRDefault="006F495B">
      <w:pPr>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Chapter 13: Takings </w:t>
      </w:r>
    </w:p>
    <w:p w:rsidR="00E46D95" w:rsidRDefault="006F495B">
      <w:pPr>
        <w:numPr>
          <w:ilvl w:val="0"/>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Regulatory Taking</w:t>
      </w:r>
      <w:r>
        <w:rPr>
          <w:rFonts w:ascii="Times New Roman" w:eastAsia="Times New Roman" w:hAnsi="Times New Roman" w:cs="Times New Roman"/>
          <w:sz w:val="20"/>
          <w:szCs w:val="20"/>
        </w:rPr>
        <w:t xml:space="preserve"> – a regulation that restricts an owner’s right so much that it becomes the functional </w:t>
      </w:r>
      <w:r>
        <w:rPr>
          <w:rFonts w:ascii="Times New Roman" w:eastAsia="Times New Roman" w:hAnsi="Times New Roman" w:cs="Times New Roman"/>
          <w:i/>
          <w:sz w:val="20"/>
          <w:szCs w:val="20"/>
        </w:rPr>
        <w:t>equivalent</w:t>
      </w:r>
      <w:r>
        <w:rPr>
          <w:rFonts w:ascii="Times New Roman" w:eastAsia="Times New Roman" w:hAnsi="Times New Roman" w:cs="Times New Roman"/>
          <w:sz w:val="20"/>
          <w:szCs w:val="20"/>
        </w:rPr>
        <w:t xml:space="preserve"> of a seizure; while the gov’t may regulate an owner’s use of her property under the police power, a regulation that goes “too far” is an unconstitutional taking; the Takings Clause is designed to prevent gov’t from forcing certain owners to bear public bu</w:t>
      </w:r>
      <w:r>
        <w:rPr>
          <w:rFonts w:ascii="Times New Roman" w:eastAsia="Times New Roman" w:hAnsi="Times New Roman" w:cs="Times New Roman"/>
          <w:sz w:val="20"/>
          <w:szCs w:val="20"/>
        </w:rPr>
        <w:t>rdens which in fairness and justice should be shared by the public as a whole</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Foundation Era – traditionally, the Takings Clause applied only when the gov’t physically seized private property; if it merely regulated the use of property under the police pow</w:t>
      </w:r>
      <w:r>
        <w:rPr>
          <w:rFonts w:ascii="Times New Roman" w:eastAsia="Times New Roman" w:hAnsi="Times New Roman" w:cs="Times New Roman"/>
          <w:sz w:val="20"/>
          <w:szCs w:val="20"/>
        </w:rPr>
        <w:t>er to prevent harm to the public, no “taking” occurred; a series of lawsuits in the late 19th century first challenged the validity of regulations under the Takings Clause:</w:t>
      </w:r>
    </w:p>
    <w:p w:rsidR="00E46D95" w:rsidRDefault="006F495B">
      <w:pPr>
        <w:numPr>
          <w:ilvl w:val="1"/>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Mugler v. Kansas</w:t>
      </w:r>
      <w:r>
        <w:rPr>
          <w:rFonts w:ascii="Times New Roman" w:eastAsia="Times New Roman" w:hAnsi="Times New Roman" w:cs="Times New Roman"/>
          <w:sz w:val="20"/>
          <w:szCs w:val="20"/>
        </w:rPr>
        <w:t xml:space="preserve"> – where a state statute prohibited the manufacture of alcohol forc</w:t>
      </w:r>
      <w:r>
        <w:rPr>
          <w:rFonts w:ascii="Times New Roman" w:eastAsia="Times New Roman" w:hAnsi="Times New Roman" w:cs="Times New Roman"/>
          <w:sz w:val="20"/>
          <w:szCs w:val="20"/>
        </w:rPr>
        <w:t>ing plaintiff’s brewery out of business and leaving his property with little value for any other purpose the court ruled that the statute was not a taking, reasoning that an owner was not entitled to “inflict injury” upon the public by “noxious use” of his</w:t>
      </w:r>
      <w:r>
        <w:rPr>
          <w:rFonts w:ascii="Times New Roman" w:eastAsia="Times New Roman" w:hAnsi="Times New Roman" w:cs="Times New Roman"/>
          <w:sz w:val="20"/>
          <w:szCs w:val="20"/>
        </w:rPr>
        <w:t xml:space="preserve"> property </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prohibition simply upon the use of property for purposes injurious to the health, morals, or safety of the community, cannot be deemed a taking”</w:t>
      </w:r>
    </w:p>
    <w:p w:rsidR="00E46D95" w:rsidRDefault="006F495B">
      <w:pPr>
        <w:numPr>
          <w:ilvl w:val="1"/>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Hadacheck v. Sebastian</w:t>
      </w:r>
      <w:r>
        <w:rPr>
          <w:rFonts w:ascii="Times New Roman" w:eastAsia="Times New Roman" w:hAnsi="Times New Roman" w:cs="Times New Roman"/>
          <w:sz w:val="20"/>
          <w:szCs w:val="20"/>
        </w:rPr>
        <w:t xml:space="preserve"> – where a LA ordinance prohibited the manufacture of bricks within city li</w:t>
      </w:r>
      <w:r>
        <w:rPr>
          <w:rFonts w:ascii="Times New Roman" w:eastAsia="Times New Roman" w:hAnsi="Times New Roman" w:cs="Times New Roman"/>
          <w:sz w:val="20"/>
          <w:szCs w:val="20"/>
        </w:rPr>
        <w:t>mits significantly reducing the value of plaintiff’s property the Court upheld the ordinance as an appropriate measure to protect the public as the plaintiff’s brick factory emitted fumes, smoke, and soot which sickened nearby residents</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Police power was “o</w:t>
      </w:r>
      <w:r>
        <w:rPr>
          <w:rFonts w:ascii="Times New Roman" w:eastAsia="Times New Roman" w:hAnsi="Times New Roman" w:cs="Times New Roman"/>
          <w:sz w:val="20"/>
          <w:szCs w:val="20"/>
        </w:rPr>
        <w:t xml:space="preserve">ne of the most essential powers of gov’t – one that is the least limitable” </w:t>
      </w:r>
    </w:p>
    <w:p w:rsidR="00E46D95" w:rsidRDefault="006F495B">
      <w:pPr>
        <w:numPr>
          <w:ilvl w:val="1"/>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The </w:t>
      </w:r>
      <w:r>
        <w:rPr>
          <w:rFonts w:ascii="Times New Roman" w:eastAsia="Times New Roman" w:hAnsi="Times New Roman" w:cs="Times New Roman"/>
          <w:sz w:val="20"/>
          <w:szCs w:val="20"/>
        </w:rPr>
        <w:t xml:space="preserve">Mugler-Hadacheck </w:t>
      </w:r>
      <w:r>
        <w:rPr>
          <w:rFonts w:ascii="Times New Roman" w:eastAsia="Times New Roman" w:hAnsi="Times New Roman" w:cs="Times New Roman"/>
          <w:i/>
          <w:sz w:val="20"/>
          <w:szCs w:val="20"/>
        </w:rPr>
        <w:t>Approach</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noxious use</w:t>
      </w:r>
      <w:r>
        <w:rPr>
          <w:rFonts w:ascii="Times New Roman" w:eastAsia="Times New Roman" w:hAnsi="Times New Roman" w:cs="Times New Roman"/>
          <w:sz w:val="20"/>
          <w:szCs w:val="20"/>
        </w:rPr>
        <w:t>” or “</w:t>
      </w:r>
      <w:r>
        <w:rPr>
          <w:rFonts w:ascii="Times New Roman" w:eastAsia="Times New Roman" w:hAnsi="Times New Roman" w:cs="Times New Roman"/>
          <w:i/>
          <w:sz w:val="20"/>
          <w:szCs w:val="20"/>
        </w:rPr>
        <w:t>nuisance test</w:t>
      </w:r>
      <w:r>
        <w:rPr>
          <w:rFonts w:ascii="Times New Roman" w:eastAsia="Times New Roman" w:hAnsi="Times New Roman" w:cs="Times New Roman"/>
          <w:sz w:val="20"/>
          <w:szCs w:val="20"/>
        </w:rPr>
        <w:t xml:space="preserve">”) – a regulation adopted under the police power to protect the public health, safety, or welfare was not a “taking” </w:t>
      </w:r>
      <w:r>
        <w:rPr>
          <w:rFonts w:ascii="Times New Roman" w:eastAsia="Times New Roman" w:hAnsi="Times New Roman" w:cs="Times New Roman"/>
          <w:sz w:val="20"/>
          <w:szCs w:val="20"/>
        </w:rPr>
        <w:t xml:space="preserve">as defined by the Fifth Amendment, even if it reduced the value of property </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New Doctrine – </w:t>
      </w:r>
      <w:r>
        <w:rPr>
          <w:rFonts w:ascii="Times New Roman" w:eastAsia="Times New Roman" w:hAnsi="Times New Roman" w:cs="Times New Roman"/>
          <w:i/>
          <w:sz w:val="20"/>
          <w:szCs w:val="20"/>
        </w:rPr>
        <w:t>regulatory takings doctrine</w:t>
      </w:r>
      <w:r>
        <w:rPr>
          <w:rFonts w:ascii="Times New Roman" w:eastAsia="Times New Roman" w:hAnsi="Times New Roman" w:cs="Times New Roman"/>
          <w:sz w:val="20"/>
          <w:szCs w:val="20"/>
        </w:rPr>
        <w:t xml:space="preserve"> was first recognized in 1922 in </w:t>
      </w:r>
      <w:r>
        <w:rPr>
          <w:rFonts w:ascii="Times New Roman" w:eastAsia="Times New Roman" w:hAnsi="Times New Roman" w:cs="Times New Roman"/>
          <w:i/>
          <w:sz w:val="20"/>
          <w:szCs w:val="20"/>
        </w:rPr>
        <w:t>Pennsylvania Coal Co. v. Mahon</w:t>
      </w:r>
      <w:r>
        <w:rPr>
          <w:rFonts w:ascii="Times New Roman" w:eastAsia="Times New Roman" w:hAnsi="Times New Roman" w:cs="Times New Roman"/>
          <w:sz w:val="20"/>
          <w:szCs w:val="20"/>
        </w:rPr>
        <w:t>; the legal standard has since been superseded but it is an oft-cited im</w:t>
      </w:r>
      <w:r>
        <w:rPr>
          <w:rFonts w:ascii="Times New Roman" w:eastAsia="Times New Roman" w:hAnsi="Times New Roman" w:cs="Times New Roman"/>
          <w:sz w:val="20"/>
          <w:szCs w:val="20"/>
        </w:rPr>
        <w:t>portant step in the evolution of regulatory takings jurisprudence</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Pennsylvania Coal Co. v. Mahon</w:t>
      </w:r>
      <w:r>
        <w:rPr>
          <w:rFonts w:ascii="Times New Roman" w:eastAsia="Times New Roman" w:hAnsi="Times New Roman" w:cs="Times New Roman"/>
          <w:color w:val="FF0000"/>
          <w:sz w:val="20"/>
          <w:szCs w:val="20"/>
          <w:shd w:val="clear" w:color="auto" w:fill="FFF2CC"/>
        </w:rPr>
        <w:t xml:space="preserve"> (SCOTUS, 1922)</w:t>
      </w:r>
      <w:r>
        <w:rPr>
          <w:rFonts w:ascii="Times New Roman" w:eastAsia="Times New Roman" w:hAnsi="Times New Roman" w:cs="Times New Roman"/>
          <w:color w:val="FF0000"/>
          <w:sz w:val="20"/>
          <w:szCs w:val="20"/>
        </w:rPr>
        <w:t xml:space="preserve"> –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First case/recognition of regulation(s) falling within takings clause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Holmes and Brandeis discuss issues that are still being debating today</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Coal company granted land to father-in-law of P, conveyed the surface but reserved the right to mine coal underneath the ground (PA recognizes three distinct estates in land (v. 2): The surface, mineral estate, support estate), house subsiding (sinking</w:t>
      </w:r>
      <w:r>
        <w:rPr>
          <w:rFonts w:ascii="Times New Roman" w:eastAsia="Times New Roman" w:hAnsi="Times New Roman" w:cs="Times New Roman"/>
          <w:color w:val="FF0000"/>
          <w:sz w:val="20"/>
          <w:szCs w:val="20"/>
        </w:rPr>
        <w:t>) due to coal mining beneath the house (deed didn’t say anything about subsidence)</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Subsidence big problem in all of PA at the time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COA: Whatever were the rights of the coal company, they were taken away by the Kohler Act (forbids mining in such way as t</w:t>
      </w:r>
      <w:r>
        <w:rPr>
          <w:rFonts w:ascii="Times New Roman" w:eastAsia="Times New Roman" w:hAnsi="Times New Roman" w:cs="Times New Roman"/>
          <w:color w:val="FF0000"/>
          <w:sz w:val="20"/>
          <w:szCs w:val="20"/>
        </w:rPr>
        <w:t xml:space="preserve">o cause subsidence) </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Kohler Act not to stop mining but to stop subsidence – goal to protect the support estate, need pillars beneath the residences</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A “taking?” What property is “taken?” </w:t>
      </w:r>
      <w:r>
        <w:rPr>
          <w:rFonts w:ascii="Times New Roman" w:eastAsia="Times New Roman" w:hAnsi="Times New Roman" w:cs="Times New Roman"/>
          <w:color w:val="FF0000"/>
          <w:sz w:val="20"/>
          <w:szCs w:val="20"/>
          <w:u w:val="single"/>
        </w:rPr>
        <w:t>The reserved support estate (Kohler Act seizing property they’ve retai</w:t>
      </w:r>
      <w:r>
        <w:rPr>
          <w:rFonts w:ascii="Times New Roman" w:eastAsia="Times New Roman" w:hAnsi="Times New Roman" w:cs="Times New Roman"/>
          <w:color w:val="FF0000"/>
          <w:sz w:val="20"/>
          <w:szCs w:val="20"/>
          <w:u w:val="single"/>
        </w:rPr>
        <w:t>ned, the reserved estate) – shouldn’t have to provide the support estate (Δ)</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TEST: Whether unreasonable exercise of police power – look to extent of the diminution (property value)</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Pg. 929 “The general rule at least is that while property may be regulated </w:t>
      </w:r>
      <w:r>
        <w:rPr>
          <w:rFonts w:ascii="Times New Roman" w:eastAsia="Times New Roman" w:hAnsi="Times New Roman" w:cs="Times New Roman"/>
          <w:color w:val="FF0000"/>
          <w:sz w:val="20"/>
          <w:szCs w:val="20"/>
        </w:rPr>
        <w:t>to a certain extent, if regulation goes too far it will be recognized as a taking.” “too far test” – birth of regulatory takings, but few sidebar explanations (then taken on case-by-case basis)</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8 to 1 taking (functional equivalent of condemnation, just </w:t>
      </w:r>
      <w:r>
        <w:rPr>
          <w:rFonts w:ascii="Times New Roman" w:eastAsia="Times New Roman" w:hAnsi="Times New Roman" w:cs="Times New Roman"/>
          <w:color w:val="FF0000"/>
          <w:sz w:val="20"/>
          <w:szCs w:val="20"/>
        </w:rPr>
        <w:t>compensation permitted) – the act cannot be sustained as an exercise of the police power so far as it affects the mining of coal under streets or cities in places where the right to mine such coal has been reserved</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Policy Discussion: Why too far? (R) Mahon</w:t>
      </w:r>
      <w:r>
        <w:rPr>
          <w:rFonts w:ascii="Times New Roman" w:eastAsia="Times New Roman" w:hAnsi="Times New Roman" w:cs="Times New Roman"/>
          <w:color w:val="FF0000"/>
          <w:sz w:val="20"/>
          <w:szCs w:val="20"/>
        </w:rPr>
        <w:t>s should have had the foresight to also acquire the subsurface rights – aware that Kohler Act upsetting a private deal; significant diminution of value and just one house (cost-benefit analysis), M says notice would cure the issue (ways to go about so that</w:t>
      </w:r>
      <w:r>
        <w:rPr>
          <w:rFonts w:ascii="Times New Roman" w:eastAsia="Times New Roman" w:hAnsi="Times New Roman" w:cs="Times New Roman"/>
          <w:color w:val="FF0000"/>
          <w:sz w:val="20"/>
          <w:szCs w:val="20"/>
        </w:rPr>
        <w:t xml:space="preserve"> Mahons don’t die) (arguable)</w:t>
      </w:r>
    </w:p>
    <w:p w:rsidR="00E46D95" w:rsidRDefault="006F495B">
      <w:pPr>
        <w:numPr>
          <w:ilvl w:val="4"/>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M: Very narrow view of property at issue here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Plymouth Coal Co. v. Pennsylvania</w:t>
      </w:r>
      <w:r>
        <w:rPr>
          <w:rFonts w:ascii="Times New Roman" w:eastAsia="Times New Roman" w:hAnsi="Times New Roman" w:cs="Times New Roman"/>
          <w:color w:val="FF0000"/>
          <w:sz w:val="20"/>
          <w:szCs w:val="20"/>
        </w:rPr>
        <w:t xml:space="preserve"> (pg. 929) regulation upheld requiring a pillar, M distinguishes because there securing the safety of employee, calls r</w:t>
      </w:r>
      <w:r>
        <w:rPr>
          <w:rFonts w:ascii="Times New Roman" w:eastAsia="Times New Roman" w:hAnsi="Times New Roman" w:cs="Times New Roman"/>
          <w:i/>
          <w:color w:val="FF0000"/>
          <w:sz w:val="20"/>
          <w:szCs w:val="20"/>
        </w:rPr>
        <w:t>eciprocity of advantag</w:t>
      </w:r>
      <w:r>
        <w:rPr>
          <w:rFonts w:ascii="Times New Roman" w:eastAsia="Times New Roman" w:hAnsi="Times New Roman" w:cs="Times New Roman"/>
          <w:i/>
          <w:color w:val="FF0000"/>
          <w:sz w:val="20"/>
          <w:szCs w:val="20"/>
        </w:rPr>
        <w:t xml:space="preserve">e </w:t>
      </w:r>
      <w:r>
        <w:rPr>
          <w:rFonts w:ascii="Times New Roman" w:eastAsia="Times New Roman" w:hAnsi="Times New Roman" w:cs="Times New Roman"/>
          <w:color w:val="FF0000"/>
          <w:sz w:val="20"/>
          <w:szCs w:val="20"/>
        </w:rPr>
        <w:t>– getting some benefits from the restriction (says no reciprocity of advantage here, further distinguishing)</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(Brandeis) Argues for </w:t>
      </w:r>
      <w:r>
        <w:rPr>
          <w:rFonts w:ascii="Times New Roman" w:eastAsia="Times New Roman" w:hAnsi="Times New Roman" w:cs="Times New Roman"/>
          <w:i/>
          <w:color w:val="FF0000"/>
          <w:sz w:val="20"/>
          <w:szCs w:val="20"/>
        </w:rPr>
        <w:t xml:space="preserve">Mugler-Hadacheck </w:t>
      </w:r>
      <w:r>
        <w:rPr>
          <w:rFonts w:ascii="Times New Roman" w:eastAsia="Times New Roman" w:hAnsi="Times New Roman" w:cs="Times New Roman"/>
          <w:color w:val="FF0000"/>
          <w:sz w:val="20"/>
          <w:szCs w:val="20"/>
        </w:rPr>
        <w:t>approach, subsidence of houses produces noxious use (argues as bad as alcohol sales and brick productio</w:t>
      </w:r>
      <w:r>
        <w:rPr>
          <w:rFonts w:ascii="Times New Roman" w:eastAsia="Times New Roman" w:hAnsi="Times New Roman" w:cs="Times New Roman"/>
          <w:color w:val="FF0000"/>
          <w:sz w:val="20"/>
          <w:szCs w:val="20"/>
        </w:rPr>
        <w:t>n) – enough, don’t need new rule</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“just one house” approach: Pg. 931 – “If we consider value of coal left in place, should consider value of whole property (rights on owner as against the public)...” Landowners want narrow (one-property) Holmesian view o</w:t>
      </w:r>
      <w:r>
        <w:rPr>
          <w:rFonts w:ascii="Times New Roman" w:eastAsia="Times New Roman" w:hAnsi="Times New Roman" w:cs="Times New Roman"/>
          <w:color w:val="FF0000"/>
          <w:sz w:val="20"/>
          <w:szCs w:val="20"/>
        </w:rPr>
        <w:t xml:space="preserve">f property, but Brandeis says look at coal company owning </w:t>
      </w:r>
      <w:r>
        <w:rPr>
          <w:rFonts w:ascii="Times New Roman" w:eastAsia="Times New Roman" w:hAnsi="Times New Roman" w:cs="Times New Roman"/>
          <w:i/>
          <w:color w:val="FF0000"/>
          <w:sz w:val="20"/>
          <w:szCs w:val="20"/>
        </w:rPr>
        <w:t>all of western PA</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“reciprocity of advantage”: Living in a civilized society, reciprocal advantage given by Act to coal miners whose property may collapse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Note: </w:t>
      </w:r>
      <w:r>
        <w:rPr>
          <w:rFonts w:ascii="Times New Roman" w:eastAsia="Times New Roman" w:hAnsi="Times New Roman" w:cs="Times New Roman"/>
          <w:i/>
          <w:color w:val="FF0000"/>
          <w:sz w:val="20"/>
          <w:szCs w:val="20"/>
        </w:rPr>
        <w:t>Keystone Bituminous Coal Ass’n v. DeBenedictis</w:t>
      </w:r>
      <w:r>
        <w:rPr>
          <w:rFonts w:ascii="Times New Roman" w:eastAsia="Times New Roman" w:hAnsi="Times New Roman" w:cs="Times New Roman"/>
          <w:color w:val="FF0000"/>
          <w:sz w:val="20"/>
          <w:szCs w:val="20"/>
        </w:rPr>
        <w:t xml:space="preserve"> (1987) – much like the Kohler Act, 5-4 held no regulatory taking, distinguishes from </w:t>
      </w:r>
      <w:r>
        <w:rPr>
          <w:rFonts w:ascii="Times New Roman" w:eastAsia="Times New Roman" w:hAnsi="Times New Roman" w:cs="Times New Roman"/>
          <w:i/>
          <w:color w:val="FF0000"/>
          <w:sz w:val="20"/>
          <w:szCs w:val="20"/>
        </w:rPr>
        <w:t>Pennsylvania Coal</w:t>
      </w:r>
      <w:r>
        <w:rPr>
          <w:rFonts w:ascii="Times New Roman" w:eastAsia="Times New Roman" w:hAnsi="Times New Roman" w:cs="Times New Roman"/>
          <w:color w:val="FF0000"/>
          <w:sz w:val="20"/>
          <w:szCs w:val="20"/>
        </w:rPr>
        <w:t xml:space="preserve"> in that (1) it had only a minor economic impact on the coal company and (2) removed a significant threat t</w:t>
      </w:r>
      <w:r>
        <w:rPr>
          <w:rFonts w:ascii="Times New Roman" w:eastAsia="Times New Roman" w:hAnsi="Times New Roman" w:cs="Times New Roman"/>
          <w:color w:val="FF0000"/>
          <w:sz w:val="20"/>
          <w:szCs w:val="20"/>
        </w:rPr>
        <w:t>o the general welfare (artfully drafted this way by policymakers)</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Professor Treanor Perspective: Value big consideration in whether a taking</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Consider whether taking in these cases</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 xml:space="preserve"> (public use first in time, on notice (usufructuary right th</w:t>
      </w:r>
      <w:r>
        <w:rPr>
          <w:rFonts w:ascii="Times New Roman" w:eastAsia="Times New Roman" w:hAnsi="Times New Roman" w:cs="Times New Roman"/>
          <w:color w:val="FF0000"/>
          <w:sz w:val="20"/>
          <w:szCs w:val="20"/>
        </w:rPr>
        <w:t xml:space="preserve">ere that had always been there)), </w:t>
      </w:r>
      <w:r>
        <w:rPr>
          <w:rFonts w:ascii="Times New Roman" w:eastAsia="Times New Roman" w:hAnsi="Times New Roman" w:cs="Times New Roman"/>
          <w:i/>
          <w:color w:val="FF0000"/>
          <w:sz w:val="20"/>
          <w:szCs w:val="20"/>
        </w:rPr>
        <w:t>Raleigh Beach</w:t>
      </w:r>
      <w:r>
        <w:rPr>
          <w:rFonts w:ascii="Times New Roman" w:eastAsia="Times New Roman" w:hAnsi="Times New Roman" w:cs="Times New Roman"/>
          <w:color w:val="FF0000"/>
          <w:sz w:val="20"/>
          <w:szCs w:val="20"/>
        </w:rPr>
        <w:t xml:space="preserve"> (same as </w:t>
      </w:r>
      <w:r>
        <w:rPr>
          <w:rFonts w:ascii="Times New Roman" w:eastAsia="Times New Roman" w:hAnsi="Times New Roman" w:cs="Times New Roman"/>
          <w:i/>
          <w:color w:val="FF0000"/>
          <w:sz w:val="20"/>
          <w:szCs w:val="20"/>
        </w:rPr>
        <w:t>Thornton</w:t>
      </w:r>
      <w:r>
        <w:rPr>
          <w:rFonts w:ascii="Times New Roman" w:eastAsia="Times New Roman" w:hAnsi="Times New Roman" w:cs="Times New Roman"/>
          <w:color w:val="FF0000"/>
          <w:sz w:val="20"/>
          <w:szCs w:val="20"/>
        </w:rPr>
        <w:t xml:space="preserve">, but less on notice), </w:t>
      </w:r>
      <w:r>
        <w:rPr>
          <w:rFonts w:ascii="Times New Roman" w:eastAsia="Times New Roman" w:hAnsi="Times New Roman" w:cs="Times New Roman"/>
          <w:i/>
          <w:color w:val="FF0000"/>
          <w:sz w:val="20"/>
          <w:szCs w:val="20"/>
        </w:rPr>
        <w:t>Mono Lake Case</w:t>
      </w:r>
      <w:r>
        <w:rPr>
          <w:rFonts w:ascii="Times New Roman" w:eastAsia="Times New Roman" w:hAnsi="Times New Roman" w:cs="Times New Roman"/>
          <w:color w:val="FF0000"/>
          <w:sz w:val="20"/>
          <w:szCs w:val="20"/>
        </w:rPr>
        <w:t xml:space="preserve"> (can’t have vested rights against the state because the state was first in time when incorporated into the US), </w:t>
      </w:r>
      <w:r>
        <w:rPr>
          <w:rFonts w:ascii="Times New Roman" w:eastAsia="Times New Roman" w:hAnsi="Times New Roman" w:cs="Times New Roman"/>
          <w:i/>
          <w:color w:val="FF0000"/>
          <w:sz w:val="20"/>
          <w:szCs w:val="20"/>
        </w:rPr>
        <w:t>Winters</w:t>
      </w:r>
      <w:r>
        <w:rPr>
          <w:rFonts w:ascii="Times New Roman" w:eastAsia="Times New Roman" w:hAnsi="Times New Roman" w:cs="Times New Roman"/>
          <w:color w:val="FF0000"/>
          <w:sz w:val="20"/>
          <w:szCs w:val="20"/>
        </w:rPr>
        <w:t xml:space="preserve"> (implicit water rights to natives</w:t>
      </w:r>
      <w:r>
        <w:rPr>
          <w:rFonts w:ascii="Times New Roman" w:eastAsia="Times New Roman" w:hAnsi="Times New Roman" w:cs="Times New Roman"/>
          <w:color w:val="FF0000"/>
          <w:sz w:val="20"/>
          <w:szCs w:val="20"/>
        </w:rPr>
        <w:t xml:space="preserve"> (a lot less notice than </w:t>
      </w:r>
      <w:r>
        <w:rPr>
          <w:rFonts w:ascii="Times New Roman" w:eastAsia="Times New Roman" w:hAnsi="Times New Roman" w:cs="Times New Roman"/>
          <w:i/>
          <w:color w:val="FF0000"/>
          <w:sz w:val="20"/>
          <w:szCs w:val="20"/>
        </w:rPr>
        <w:t>Thornton</w:t>
      </w:r>
      <w:r>
        <w:rPr>
          <w:rFonts w:ascii="Times New Roman" w:eastAsia="Times New Roman" w:hAnsi="Times New Roman" w:cs="Times New Roman"/>
          <w:color w:val="FF0000"/>
          <w:sz w:val="20"/>
          <w:szCs w:val="20"/>
        </w:rPr>
        <w:t xml:space="preserve">, more uneasy for first in time) – Natives first in time to land, to water Winters </w:t>
      </w:r>
      <w:r>
        <w:rPr>
          <w:rFonts w:ascii="Times New Roman" w:eastAsia="Times New Roman" w:hAnsi="Times New Roman" w:cs="Times New Roman"/>
          <w:i/>
          <w:color w:val="FF0000"/>
          <w:sz w:val="20"/>
          <w:szCs w:val="20"/>
        </w:rPr>
        <w:t>but</w:t>
      </w:r>
      <w:r>
        <w:rPr>
          <w:rFonts w:ascii="Cardo" w:eastAsia="Cardo" w:hAnsi="Cardo" w:cs="Cardo"/>
          <w:color w:val="FF0000"/>
          <w:sz w:val="20"/>
          <w:szCs w:val="20"/>
        </w:rPr>
        <w:t xml:space="preserve"> implicit right) → No taking in any of these cases</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Note: In CA alone, water rights not vested (</w:t>
      </w:r>
      <w:r>
        <w:rPr>
          <w:rFonts w:ascii="Times New Roman" w:eastAsia="Times New Roman" w:hAnsi="Times New Roman" w:cs="Times New Roman"/>
          <w:i/>
          <w:color w:val="FF0000"/>
          <w:sz w:val="20"/>
          <w:szCs w:val="20"/>
        </w:rPr>
        <w:t>Mono Lake</w:t>
      </w:r>
      <w:r>
        <w:rPr>
          <w:rFonts w:ascii="Times New Roman" w:eastAsia="Times New Roman" w:hAnsi="Times New Roman" w:cs="Times New Roman"/>
          <w:color w:val="FF0000"/>
          <w:sz w:val="20"/>
          <w:szCs w:val="20"/>
        </w:rPr>
        <w:t>), may be reconsidered because balancing test</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Pr>
          <w:rFonts w:ascii="Times New Roman" w:eastAsia="Times New Roman" w:hAnsi="Times New Roman" w:cs="Times New Roman"/>
          <w:i/>
          <w:sz w:val="20"/>
          <w:szCs w:val="20"/>
        </w:rPr>
        <w:t xml:space="preserve">Penn Central </w:t>
      </w:r>
      <w:r>
        <w:rPr>
          <w:rFonts w:ascii="Times New Roman" w:eastAsia="Times New Roman" w:hAnsi="Times New Roman" w:cs="Times New Roman"/>
          <w:sz w:val="20"/>
          <w:szCs w:val="20"/>
        </w:rPr>
        <w:t xml:space="preserve">Standard </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50 years elapsed between </w:t>
      </w:r>
      <w:r>
        <w:rPr>
          <w:rFonts w:ascii="Times New Roman" w:eastAsia="Times New Roman" w:hAnsi="Times New Roman" w:cs="Times New Roman"/>
          <w:i/>
          <w:sz w:val="20"/>
          <w:szCs w:val="20"/>
        </w:rPr>
        <w:t>Pennsylvania Coal</w:t>
      </w:r>
      <w:r>
        <w:rPr>
          <w:rFonts w:ascii="Times New Roman" w:eastAsia="Times New Roman" w:hAnsi="Times New Roman" w:cs="Times New Roman"/>
          <w:sz w:val="20"/>
          <w:szCs w:val="20"/>
        </w:rPr>
        <w:t xml:space="preserve"> and </w:t>
      </w:r>
      <w:r>
        <w:rPr>
          <w:rFonts w:ascii="Times New Roman" w:eastAsia="Times New Roman" w:hAnsi="Times New Roman" w:cs="Times New Roman"/>
          <w:i/>
          <w:sz w:val="20"/>
          <w:szCs w:val="20"/>
        </w:rPr>
        <w:t>Penn Central</w:t>
      </w:r>
      <w:r>
        <w:rPr>
          <w:rFonts w:ascii="Times New Roman" w:eastAsia="Times New Roman" w:hAnsi="Times New Roman" w:cs="Times New Roman"/>
          <w:sz w:val="20"/>
          <w:szCs w:val="20"/>
        </w:rPr>
        <w:t xml:space="preserve">; after </w:t>
      </w:r>
      <w:r>
        <w:rPr>
          <w:rFonts w:ascii="Times New Roman" w:eastAsia="Times New Roman" w:hAnsi="Times New Roman" w:cs="Times New Roman"/>
          <w:i/>
          <w:sz w:val="20"/>
          <w:szCs w:val="20"/>
        </w:rPr>
        <w:t>Pennsylvania Coal</w:t>
      </w:r>
      <w:r>
        <w:rPr>
          <w:rFonts w:ascii="Times New Roman" w:eastAsia="Times New Roman" w:hAnsi="Times New Roman" w:cs="Times New Roman"/>
          <w:sz w:val="20"/>
          <w:szCs w:val="20"/>
        </w:rPr>
        <w:t xml:space="preserve"> it was clear that a regulatory taking could exist in theory but </w:t>
      </w:r>
      <w:r>
        <w:rPr>
          <w:rFonts w:ascii="Times New Roman" w:eastAsia="Times New Roman" w:hAnsi="Times New Roman" w:cs="Times New Roman"/>
          <w:i/>
          <w:sz w:val="20"/>
          <w:szCs w:val="20"/>
        </w:rPr>
        <w:t xml:space="preserve">Pennsylvania Coal </w:t>
      </w:r>
      <w:r>
        <w:rPr>
          <w:rFonts w:ascii="Times New Roman" w:eastAsia="Times New Roman" w:hAnsi="Times New Roman" w:cs="Times New Roman"/>
          <w:sz w:val="20"/>
          <w:szCs w:val="20"/>
        </w:rPr>
        <w:t xml:space="preserve">provided little </w:t>
      </w:r>
      <w:r>
        <w:rPr>
          <w:rFonts w:ascii="Times New Roman" w:eastAsia="Times New Roman" w:hAnsi="Times New Roman" w:cs="Times New Roman"/>
          <w:sz w:val="20"/>
          <w:szCs w:val="20"/>
        </w:rPr>
        <w:t xml:space="preserve">guidance to courts to determine when regulation went “too far” and constituted an unconstitutional taking </w:t>
      </w:r>
    </w:p>
    <w:p w:rsidR="00E46D95" w:rsidRDefault="006F495B">
      <w:pPr>
        <w:numPr>
          <w:ilvl w:val="1"/>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Benefit-Harm Distinction</w:t>
      </w:r>
      <w:r>
        <w:rPr>
          <w:rFonts w:ascii="Times New Roman" w:eastAsia="Times New Roman" w:hAnsi="Times New Roman" w:cs="Times New Roman"/>
          <w:sz w:val="20"/>
          <w:szCs w:val="20"/>
        </w:rPr>
        <w:t xml:space="preserve"> – important concept in those 50 years of takings jurisprudence based on the idea that regulation to protect from public harm</w:t>
      </w:r>
      <w:r>
        <w:rPr>
          <w:rFonts w:ascii="Times New Roman" w:eastAsia="Times New Roman" w:hAnsi="Times New Roman" w:cs="Times New Roman"/>
          <w:sz w:val="20"/>
          <w:szCs w:val="20"/>
        </w:rPr>
        <w:t xml:space="preserve"> was not a taking but that a benefit-conferring regulation might be a taking </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general balancing test used in most taking cases today; considers three factors:</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The economic impact of the regulation on the claimant </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The extent to which the regula</w:t>
      </w:r>
      <w:r>
        <w:rPr>
          <w:rFonts w:ascii="Times New Roman" w:eastAsia="Times New Roman" w:hAnsi="Times New Roman" w:cs="Times New Roman"/>
          <w:sz w:val="20"/>
          <w:szCs w:val="20"/>
        </w:rPr>
        <w:t xml:space="preserve">tion has interfered with the distinct investment-backed expectations </w:t>
      </w:r>
      <w:r>
        <w:rPr>
          <w:rFonts w:ascii="Times New Roman" w:eastAsia="Times New Roman" w:hAnsi="Times New Roman" w:cs="Times New Roman"/>
          <w:i/>
          <w:sz w:val="20"/>
          <w:szCs w:val="20"/>
        </w:rPr>
        <w:t>and</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The character of the gov’t action</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Defining “Property” – in applying </w:t>
      </w:r>
      <w:r>
        <w:rPr>
          <w:rFonts w:ascii="Times New Roman" w:eastAsia="Times New Roman" w:hAnsi="Times New Roman" w:cs="Times New Roman"/>
          <w:i/>
          <w:sz w:val="20"/>
          <w:szCs w:val="20"/>
        </w:rPr>
        <w:t>Penn Central</w:t>
      </w:r>
      <w:r>
        <w:rPr>
          <w:rFonts w:ascii="Times New Roman" w:eastAsia="Times New Roman" w:hAnsi="Times New Roman" w:cs="Times New Roman"/>
          <w:sz w:val="20"/>
          <w:szCs w:val="20"/>
        </w:rPr>
        <w:t xml:space="preserve">, the court considers the </w:t>
      </w:r>
      <w:r>
        <w:rPr>
          <w:rFonts w:ascii="Times New Roman" w:eastAsia="Times New Roman" w:hAnsi="Times New Roman" w:cs="Times New Roman"/>
          <w:i/>
          <w:sz w:val="20"/>
          <w:szCs w:val="20"/>
        </w:rPr>
        <w:t>whole parcel</w:t>
      </w:r>
      <w:r>
        <w:rPr>
          <w:rFonts w:ascii="Times New Roman" w:eastAsia="Times New Roman" w:hAnsi="Times New Roman" w:cs="Times New Roman"/>
          <w:sz w:val="20"/>
          <w:szCs w:val="20"/>
        </w:rPr>
        <w:t>, not simply the portion which is affected by the regulation</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shd w:val="clear" w:color="auto" w:fill="FFF2CC"/>
        </w:rPr>
        <w:t>Penn Central Transportation Co. v. City of New York</w:t>
      </w:r>
      <w:r>
        <w:rPr>
          <w:rFonts w:ascii="Times New Roman" w:eastAsia="Times New Roman" w:hAnsi="Times New Roman" w:cs="Times New Roman"/>
          <w:color w:val="FF0000"/>
          <w:sz w:val="20"/>
          <w:szCs w:val="20"/>
          <w:shd w:val="clear" w:color="auto" w:fill="FFF2CC"/>
        </w:rPr>
        <w:t xml:space="preserve"> (SCOTUS, 1978)</w:t>
      </w:r>
      <w:r>
        <w:rPr>
          <w:rFonts w:ascii="Times New Roman" w:eastAsia="Times New Roman" w:hAnsi="Times New Roman" w:cs="Times New Roman"/>
          <w:color w:val="FF0000"/>
          <w:sz w:val="20"/>
          <w:szCs w:val="20"/>
        </w:rPr>
        <w:t xml:space="preserve"> –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Landmark Preservation Act (reaction to destruction of Penn Station to build MSG), designated, obtained permits (commission determines what is a landmark); want to build highrise above Grand Central Station – two permits denied</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COA: Inability to build</w:t>
      </w:r>
      <w:r>
        <w:rPr>
          <w:rFonts w:ascii="Times New Roman" w:eastAsia="Times New Roman" w:hAnsi="Times New Roman" w:cs="Times New Roman"/>
          <w:color w:val="FF0000"/>
          <w:sz w:val="20"/>
          <w:szCs w:val="20"/>
        </w:rPr>
        <w:t xml:space="preserve"> due to regulation amounts to a taking</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Trial – taking; Appellate division (Supreme Court in NY?) reversed – property not actually taken, still have; has existing public value (most use denied but not all valuable use); TDR (“Transferable Development Ri</w:t>
      </w:r>
      <w:r>
        <w:rPr>
          <w:rFonts w:ascii="Times New Roman" w:eastAsia="Times New Roman" w:hAnsi="Times New Roman" w:cs="Times New Roman"/>
          <w:color w:val="FF0000"/>
          <w:sz w:val="20"/>
          <w:szCs w:val="20"/>
        </w:rPr>
        <w:t>ghts,” rights that will allow you to sell development rights to other properties to exceed the zoning, must be approved by ordinances/commission)</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No taking</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Look at </w:t>
      </w:r>
      <w:r>
        <w:rPr>
          <w:rFonts w:ascii="Times New Roman" w:eastAsia="Times New Roman" w:hAnsi="Times New Roman" w:cs="Times New Roman"/>
          <w:color w:val="FF0000"/>
          <w:sz w:val="20"/>
          <w:szCs w:val="20"/>
          <w:u w:val="single"/>
        </w:rPr>
        <w:t>whole property</w:t>
      </w:r>
      <w:r>
        <w:rPr>
          <w:rFonts w:ascii="Times New Roman" w:eastAsia="Times New Roman" w:hAnsi="Times New Roman" w:cs="Times New Roman"/>
          <w:color w:val="FF0000"/>
          <w:sz w:val="20"/>
          <w:szCs w:val="20"/>
        </w:rPr>
        <w:t xml:space="preserve"> (seemingly following Brandeis dissent in </w:t>
      </w:r>
      <w:r>
        <w:rPr>
          <w:rFonts w:ascii="Times New Roman" w:eastAsia="Times New Roman" w:hAnsi="Times New Roman" w:cs="Times New Roman"/>
          <w:i/>
          <w:color w:val="FF0000"/>
          <w:sz w:val="20"/>
          <w:szCs w:val="20"/>
        </w:rPr>
        <w:t>PA Coal</w:t>
      </w:r>
      <w:r>
        <w:rPr>
          <w:rFonts w:ascii="Times New Roman" w:eastAsia="Times New Roman" w:hAnsi="Times New Roman" w:cs="Times New Roman"/>
          <w:color w:val="FF0000"/>
          <w:sz w:val="20"/>
          <w:szCs w:val="20"/>
        </w:rPr>
        <w:t>), includes airspace as</w:t>
      </w:r>
      <w:r>
        <w:rPr>
          <w:rFonts w:ascii="Times New Roman" w:eastAsia="Times New Roman" w:hAnsi="Times New Roman" w:cs="Times New Roman"/>
          <w:color w:val="FF0000"/>
          <w:sz w:val="20"/>
          <w:szCs w:val="20"/>
        </w:rPr>
        <w:t xml:space="preserve"> well as existing remunerative value (terminals)</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Looking at whole property no diminution of value because existing property value that regulation not affecting at all (existing use more protected) and…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Affirms lower appellate court</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(Rehnquist) Shoul</w:t>
      </w:r>
      <w:r>
        <w:rPr>
          <w:rFonts w:ascii="Times New Roman" w:eastAsia="Times New Roman" w:hAnsi="Times New Roman" w:cs="Times New Roman"/>
          <w:color w:val="FF0000"/>
          <w:sz w:val="20"/>
          <w:szCs w:val="20"/>
        </w:rPr>
        <w:t>d focus on airspace, that’s the property at issue (denial of permit is denial of air rights) (</w:t>
      </w:r>
      <w:r>
        <w:rPr>
          <w:rFonts w:ascii="Times New Roman" w:eastAsia="Times New Roman" w:hAnsi="Times New Roman" w:cs="Times New Roman"/>
          <w:i/>
          <w:color w:val="FF0000"/>
          <w:sz w:val="20"/>
          <w:szCs w:val="20"/>
        </w:rPr>
        <w:t>but</w:t>
      </w:r>
      <w:r>
        <w:rPr>
          <w:rFonts w:ascii="Times New Roman" w:eastAsia="Times New Roman" w:hAnsi="Times New Roman" w:cs="Times New Roman"/>
          <w:color w:val="FF0000"/>
          <w:sz w:val="20"/>
          <w:szCs w:val="20"/>
        </w:rPr>
        <w:t xml:space="preserve"> M follows </w:t>
      </w:r>
      <w:r>
        <w:rPr>
          <w:rFonts w:ascii="Times New Roman" w:eastAsia="Times New Roman" w:hAnsi="Times New Roman" w:cs="Times New Roman"/>
          <w:i/>
          <w:color w:val="FF0000"/>
          <w:sz w:val="20"/>
          <w:szCs w:val="20"/>
        </w:rPr>
        <w:t xml:space="preserve">Keystone Bituminous </w:t>
      </w:r>
      <w:r>
        <w:rPr>
          <w:rFonts w:ascii="Times New Roman" w:eastAsia="Times New Roman" w:hAnsi="Times New Roman" w:cs="Times New Roman"/>
          <w:color w:val="FF0000"/>
          <w:sz w:val="20"/>
          <w:szCs w:val="20"/>
        </w:rPr>
        <w:t>– consider whole property)</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Says permit system operates unfairly because subjective to the opinion of the commission (aesthetic),</w:t>
      </w:r>
      <w:r>
        <w:rPr>
          <w:rFonts w:ascii="Times New Roman" w:eastAsia="Times New Roman" w:hAnsi="Times New Roman" w:cs="Times New Roman"/>
          <w:color w:val="FF0000"/>
          <w:sz w:val="20"/>
          <w:szCs w:val="20"/>
        </w:rPr>
        <w:t xml:space="preserve"> affects business owners who have been designated a historical landmark – singles out certain buildings/property owners meaning no reciprocity of advantage (Brennan’s response, see FN 30 – not singled out because applies to all similarly situated property </w:t>
      </w:r>
      <w:r>
        <w:rPr>
          <w:rFonts w:ascii="Times New Roman" w:eastAsia="Times New Roman" w:hAnsi="Times New Roman" w:cs="Times New Roman"/>
          <w:color w:val="FF0000"/>
          <w:sz w:val="20"/>
          <w:szCs w:val="20"/>
        </w:rPr>
        <w:t>owners, neutral criteria, not like a corrupt deal (</w:t>
      </w:r>
      <w:r>
        <w:rPr>
          <w:rFonts w:ascii="Times New Roman" w:eastAsia="Times New Roman" w:hAnsi="Times New Roman" w:cs="Times New Roman"/>
          <w:color w:val="FF0000"/>
          <w:sz w:val="20"/>
          <w:szCs w:val="20"/>
          <w:u w:val="single"/>
        </w:rPr>
        <w:t xml:space="preserve">city-wide plan, similar to emphasis of plan in </w:t>
      </w:r>
      <w:r>
        <w:rPr>
          <w:rFonts w:ascii="Times New Roman" w:eastAsia="Times New Roman" w:hAnsi="Times New Roman" w:cs="Times New Roman"/>
          <w:i/>
          <w:color w:val="FF0000"/>
          <w:sz w:val="20"/>
          <w:szCs w:val="20"/>
          <w:u w:val="single"/>
        </w:rPr>
        <w:t>Kelo</w:t>
      </w:r>
      <w:r>
        <w:rPr>
          <w:rFonts w:ascii="Times New Roman" w:eastAsia="Times New Roman" w:hAnsi="Times New Roman" w:cs="Times New Roman"/>
          <w:color w:val="FF0000"/>
          <w:sz w:val="20"/>
          <w:szCs w:val="20"/>
        </w:rPr>
        <w:t>))</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Valuable precedential case: Brennan creates three-factor test to determine whether there is a “taking” (1) economic value (impact/effect on the claim</w:t>
      </w:r>
      <w:r>
        <w:rPr>
          <w:rFonts w:ascii="Cardo" w:eastAsia="Cardo" w:hAnsi="Cardo" w:cs="Cardo"/>
          <w:color w:val="FF0000"/>
          <w:sz w:val="20"/>
          <w:szCs w:val="20"/>
        </w:rPr>
        <w:t>ant property owner) (economic effect/whole size of the property – viewed as a fraction, the closer to 1, the more likely a “taking”), (2) extent to which regulation has interfered with distinct, investment backed renovations/expectations (reasonable sunk c</w:t>
      </w:r>
      <w:r>
        <w:rPr>
          <w:rFonts w:ascii="Cardo" w:eastAsia="Cardo" w:hAnsi="Cardo" w:cs="Cardo"/>
          <w:color w:val="FF0000"/>
          <w:sz w:val="20"/>
          <w:szCs w:val="20"/>
        </w:rPr>
        <w:t>osts, reasonable costs incurred on estate and prior to regulatory change (alike easement by estoppel claim)), (3) character of the gov’t action (here, permit system)</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1: Promised an economically valuable use, TDRs allows still for an econ valuable use (APP)</w:t>
      </w:r>
    </w:p>
    <w:p w:rsidR="00E46D95" w:rsidRDefault="006F495B">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Court addresses “whole property” and define(?) </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Claimants have since argued for exceptions to the </w:t>
      </w:r>
      <w:r>
        <w:rPr>
          <w:rFonts w:ascii="Times New Roman" w:eastAsia="Times New Roman" w:hAnsi="Times New Roman" w:cs="Times New Roman"/>
          <w:i/>
          <w:color w:val="FF0000"/>
          <w:sz w:val="20"/>
          <w:szCs w:val="20"/>
        </w:rPr>
        <w:t>Penn Central</w:t>
      </w:r>
      <w:r>
        <w:rPr>
          <w:rFonts w:ascii="Times New Roman" w:eastAsia="Times New Roman" w:hAnsi="Times New Roman" w:cs="Times New Roman"/>
          <w:color w:val="FF0000"/>
          <w:sz w:val="20"/>
          <w:szCs w:val="20"/>
        </w:rPr>
        <w:t xml:space="preserve"> analysis (see cases below, three tests for special categories of potential “takings” – apply in specific situations)</w:t>
      </w:r>
    </w:p>
    <w:p w:rsidR="00E46D95" w:rsidRDefault="006F495B">
      <w:pPr>
        <w:numPr>
          <w:ilvl w:val="1"/>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(1) Permanent Physical Occupation</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Three Categorical Tests, a taking will be found under these tests if a gov’t entity:</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Authorizes a </w:t>
      </w:r>
      <w:r>
        <w:rPr>
          <w:rFonts w:ascii="Times New Roman" w:eastAsia="Times New Roman" w:hAnsi="Times New Roman" w:cs="Times New Roman"/>
          <w:i/>
          <w:sz w:val="20"/>
          <w:szCs w:val="20"/>
        </w:rPr>
        <w:t>perman</w:t>
      </w:r>
      <w:r>
        <w:rPr>
          <w:rFonts w:ascii="Times New Roman" w:eastAsia="Times New Roman" w:hAnsi="Times New Roman" w:cs="Times New Roman"/>
          <w:i/>
          <w:sz w:val="20"/>
          <w:szCs w:val="20"/>
        </w:rPr>
        <w:t>ent physical occupation</w:t>
      </w:r>
      <w:r>
        <w:rPr>
          <w:rFonts w:ascii="Times New Roman" w:eastAsia="Times New Roman" w:hAnsi="Times New Roman" w:cs="Times New Roman"/>
          <w:sz w:val="20"/>
          <w:szCs w:val="20"/>
        </w:rPr>
        <w:t xml:space="preserve"> of land;</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Adopts a regulation that causes the </w:t>
      </w:r>
      <w:r>
        <w:rPr>
          <w:rFonts w:ascii="Times New Roman" w:eastAsia="Times New Roman" w:hAnsi="Times New Roman" w:cs="Times New Roman"/>
          <w:i/>
          <w:sz w:val="20"/>
          <w:szCs w:val="20"/>
        </w:rPr>
        <w:t>loss of all economically beneficial or productive use of land</w:t>
      </w:r>
      <w:r>
        <w:rPr>
          <w:rFonts w:ascii="Times New Roman" w:eastAsia="Times New Roman" w:hAnsi="Times New Roman" w:cs="Times New Roman"/>
          <w:sz w:val="20"/>
          <w:szCs w:val="20"/>
        </w:rPr>
        <w:t xml:space="preserve">, unless justified by </w:t>
      </w:r>
      <w:r>
        <w:rPr>
          <w:rFonts w:ascii="Times New Roman" w:eastAsia="Times New Roman" w:hAnsi="Times New Roman" w:cs="Times New Roman"/>
          <w:i/>
          <w:sz w:val="20"/>
          <w:szCs w:val="20"/>
        </w:rPr>
        <w:t>background principles of property or nuisance 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Demands an </w:t>
      </w:r>
      <w:r>
        <w:rPr>
          <w:rFonts w:ascii="Times New Roman" w:eastAsia="Times New Roman" w:hAnsi="Times New Roman" w:cs="Times New Roman"/>
          <w:i/>
          <w:sz w:val="20"/>
          <w:szCs w:val="20"/>
        </w:rPr>
        <w:t xml:space="preserve">exaction </w:t>
      </w:r>
      <w:r>
        <w:rPr>
          <w:rFonts w:ascii="Times New Roman" w:eastAsia="Times New Roman" w:hAnsi="Times New Roman" w:cs="Times New Roman"/>
          <w:sz w:val="20"/>
          <w:szCs w:val="20"/>
        </w:rPr>
        <w:t xml:space="preserve">that has no essential </w:t>
      </w:r>
      <w:r>
        <w:rPr>
          <w:rFonts w:ascii="Times New Roman" w:eastAsia="Times New Roman" w:hAnsi="Times New Roman" w:cs="Times New Roman"/>
          <w:i/>
          <w:sz w:val="20"/>
          <w:szCs w:val="20"/>
        </w:rPr>
        <w:t>nexus</w:t>
      </w:r>
      <w:r>
        <w:rPr>
          <w:rFonts w:ascii="Times New Roman" w:eastAsia="Times New Roman" w:hAnsi="Times New Roman" w:cs="Times New Roman"/>
          <w:sz w:val="20"/>
          <w:szCs w:val="20"/>
        </w:rPr>
        <w:t xml:space="preserve"> t</w:t>
      </w:r>
      <w:r>
        <w:rPr>
          <w:rFonts w:ascii="Times New Roman" w:eastAsia="Times New Roman" w:hAnsi="Times New Roman" w:cs="Times New Roman"/>
          <w:sz w:val="20"/>
          <w:szCs w:val="20"/>
        </w:rPr>
        <w:t xml:space="preserve">o a legitimate state interest or lacks </w:t>
      </w:r>
      <w:r>
        <w:rPr>
          <w:rFonts w:ascii="Times New Roman" w:eastAsia="Times New Roman" w:hAnsi="Times New Roman" w:cs="Times New Roman"/>
          <w:i/>
          <w:sz w:val="20"/>
          <w:szCs w:val="20"/>
        </w:rPr>
        <w:t xml:space="preserve">rough proportionality </w:t>
      </w:r>
      <w:r>
        <w:rPr>
          <w:rFonts w:ascii="Times New Roman" w:eastAsia="Times New Roman" w:hAnsi="Times New Roman" w:cs="Times New Roman"/>
          <w:sz w:val="20"/>
          <w:szCs w:val="20"/>
        </w:rPr>
        <w:t>to the impacts of the particular project</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Permanent Physical Occupation – a permanent physical occupation authorized by gov’t is a taking regardless of the reason for the gov’t’s action</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Loretto v.</w:t>
      </w:r>
      <w:r>
        <w:rPr>
          <w:rFonts w:ascii="Times New Roman" w:eastAsia="Times New Roman" w:hAnsi="Times New Roman" w:cs="Times New Roman"/>
          <w:i/>
          <w:color w:val="FF0000"/>
          <w:sz w:val="20"/>
          <w:szCs w:val="20"/>
          <w:shd w:val="clear" w:color="auto" w:fill="FFF2CC"/>
        </w:rPr>
        <w:t xml:space="preserve"> Teleprompter Manhattan CATV Corp. </w:t>
      </w:r>
      <w:r>
        <w:rPr>
          <w:rFonts w:ascii="Times New Roman" w:eastAsia="Times New Roman" w:hAnsi="Times New Roman" w:cs="Times New Roman"/>
          <w:color w:val="FF0000"/>
          <w:sz w:val="20"/>
          <w:szCs w:val="20"/>
          <w:shd w:val="clear" w:color="auto" w:fill="FFF2CC"/>
        </w:rPr>
        <w:t>(SCOTUS, 1982)</w:t>
      </w:r>
      <w:r>
        <w:rPr>
          <w:rFonts w:ascii="Times New Roman" w:eastAsia="Times New Roman" w:hAnsi="Times New Roman" w:cs="Times New Roman"/>
          <w:color w:val="FF0000"/>
          <w:sz w:val="20"/>
          <w:szCs w:val="20"/>
        </w:rPr>
        <w:t xml:space="preserve"> –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is a landlord claiming that city regulation to provide for cable (and cable lines) is a trespass (physical invasion, revoking owner’s right to exclude) and a taking without just compensation</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Cable really tiny (minor), hardly visible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a minor but permanent physical occupation of an owner’s property authorized by gov’t constitutes a “taking” of property for which just compensation is due under the 5A and 14A?</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Remedy through adminis</w:t>
      </w:r>
      <w:r>
        <w:rPr>
          <w:rFonts w:ascii="Times New Roman" w:eastAsia="Times New Roman" w:hAnsi="Times New Roman" w:cs="Times New Roman"/>
          <w:color w:val="FF0000"/>
          <w:sz w:val="20"/>
          <w:szCs w:val="20"/>
        </w:rPr>
        <w:t xml:space="preserve">trative process ($1), appealed to trial court which held no taking per </w:t>
      </w:r>
      <w:r>
        <w:rPr>
          <w:rFonts w:ascii="Times New Roman" w:eastAsia="Times New Roman" w:hAnsi="Times New Roman" w:cs="Times New Roman"/>
          <w:i/>
          <w:color w:val="FF0000"/>
          <w:sz w:val="20"/>
          <w:szCs w:val="20"/>
        </w:rPr>
        <w:t xml:space="preserve">Penn Central </w:t>
      </w:r>
      <w:r>
        <w:rPr>
          <w:rFonts w:ascii="Times New Roman" w:eastAsia="Times New Roman" w:hAnsi="Times New Roman" w:cs="Times New Roman"/>
          <w:color w:val="FF0000"/>
          <w:sz w:val="20"/>
          <w:szCs w:val="20"/>
        </w:rPr>
        <w:t>factors, appellate court affirmed, appealed</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RULE (pg. 957): A permanent physical occupation authorized by gov’t is a taking [without regard to the public interests that it </w:t>
      </w:r>
      <w:r>
        <w:rPr>
          <w:rFonts w:ascii="Times New Roman" w:eastAsia="Times New Roman" w:hAnsi="Times New Roman" w:cs="Times New Roman"/>
          <w:color w:val="FF0000"/>
          <w:sz w:val="20"/>
          <w:szCs w:val="20"/>
        </w:rPr>
        <w:t>may serve]</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Penn Central</w:t>
      </w:r>
      <w:r>
        <w:rPr>
          <w:rFonts w:ascii="Times New Roman" w:eastAsia="Times New Roman" w:hAnsi="Times New Roman" w:cs="Times New Roman"/>
          <w:color w:val="FF0000"/>
          <w:sz w:val="20"/>
          <w:szCs w:val="20"/>
        </w:rPr>
        <w:t xml:space="preserve"> balancing factor test not applicable where permanent, physical occupation (instead </w:t>
      </w:r>
      <w:r>
        <w:rPr>
          <w:rFonts w:ascii="Times New Roman" w:eastAsia="Times New Roman" w:hAnsi="Times New Roman" w:cs="Times New Roman"/>
          <w:i/>
          <w:color w:val="FF0000"/>
          <w:sz w:val="20"/>
          <w:szCs w:val="20"/>
        </w:rPr>
        <w:t>per se</w:t>
      </w:r>
      <w:r>
        <w:rPr>
          <w:rFonts w:ascii="Times New Roman" w:eastAsia="Times New Roman" w:hAnsi="Times New Roman" w:cs="Times New Roman"/>
          <w:color w:val="FF0000"/>
          <w:sz w:val="20"/>
          <w:szCs w:val="20"/>
        </w:rPr>
        <w:t xml:space="preserve"> taking, see rule ^)</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u w:val="single"/>
        </w:rPr>
        <w:t>What’s “permanent?”</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Pumpelly</w:t>
      </w:r>
      <w:r>
        <w:rPr>
          <w:rFonts w:ascii="Times New Roman" w:eastAsia="Times New Roman" w:hAnsi="Times New Roman" w:cs="Times New Roman"/>
          <w:color w:val="FF0000"/>
          <w:sz w:val="20"/>
          <w:szCs w:val="20"/>
        </w:rPr>
        <w:t xml:space="preserve"> cited as an example of a </w:t>
      </w:r>
      <w:r>
        <w:rPr>
          <w:rFonts w:ascii="Times New Roman" w:eastAsia="Times New Roman" w:hAnsi="Times New Roman" w:cs="Times New Roman"/>
          <w:i/>
          <w:color w:val="FF0000"/>
          <w:sz w:val="20"/>
          <w:szCs w:val="20"/>
        </w:rPr>
        <w:t xml:space="preserve">permanent </w:t>
      </w:r>
      <w:r>
        <w:rPr>
          <w:rFonts w:ascii="Times New Roman" w:eastAsia="Times New Roman" w:hAnsi="Times New Roman" w:cs="Times New Roman"/>
          <w:color w:val="FF0000"/>
          <w:sz w:val="20"/>
          <w:szCs w:val="20"/>
        </w:rPr>
        <w:t>physical occupation (reservoir inundating claimant’s prope</w:t>
      </w:r>
      <w:r>
        <w:rPr>
          <w:rFonts w:ascii="Times New Roman" w:eastAsia="Times New Roman" w:hAnsi="Times New Roman" w:cs="Times New Roman"/>
          <w:color w:val="FF0000"/>
          <w:sz w:val="20"/>
          <w:szCs w:val="20"/>
        </w:rPr>
        <w:t xml:space="preserve">rty) and </w:t>
      </w:r>
      <w:r>
        <w:rPr>
          <w:rFonts w:ascii="Times New Roman" w:eastAsia="Times New Roman" w:hAnsi="Times New Roman" w:cs="Times New Roman"/>
          <w:i/>
          <w:color w:val="FF0000"/>
          <w:sz w:val="20"/>
          <w:szCs w:val="20"/>
        </w:rPr>
        <w:t>Northern Transportation Co.</w:t>
      </w:r>
      <w:r>
        <w:rPr>
          <w:rFonts w:ascii="Times New Roman" w:eastAsia="Times New Roman" w:hAnsi="Times New Roman" w:cs="Times New Roman"/>
          <w:color w:val="FF0000"/>
          <w:sz w:val="20"/>
          <w:szCs w:val="20"/>
        </w:rPr>
        <w:t xml:space="preserve"> cited as an example of a </w:t>
      </w:r>
      <w:r>
        <w:rPr>
          <w:rFonts w:ascii="Times New Roman" w:eastAsia="Times New Roman" w:hAnsi="Times New Roman" w:cs="Times New Roman"/>
          <w:i/>
          <w:color w:val="FF0000"/>
          <w:sz w:val="20"/>
          <w:szCs w:val="20"/>
        </w:rPr>
        <w:t>temporary</w:t>
      </w:r>
      <w:r>
        <w:rPr>
          <w:rFonts w:ascii="Times New Roman" w:eastAsia="Times New Roman" w:hAnsi="Times New Roman" w:cs="Times New Roman"/>
          <w:color w:val="FF0000"/>
          <w:sz w:val="20"/>
          <w:szCs w:val="20"/>
        </w:rPr>
        <w:t xml:space="preserve"> physical occupation (temporary/impermanent dam)</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 Destroys rights to possess, use, and dispose of property (“bundle of sticks”)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J/H: Reversed and remanded, taking per new special ru</w:t>
      </w:r>
      <w:r>
        <w:rPr>
          <w:rFonts w:ascii="Times New Roman" w:eastAsia="Times New Roman" w:hAnsi="Times New Roman" w:cs="Times New Roman"/>
          <w:color w:val="FF0000"/>
          <w:sz w:val="20"/>
          <w:szCs w:val="20"/>
        </w:rPr>
        <w:t xml:space="preserve">le (exception) for permanent, physical occupations (APP: Here, considered a permanent, physical occupation)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 (Blackmun) “Permanence” vague, applied only to LL-tenants (could have altered property to ownership and regulation wouldn’t apply/be permanent(</w:t>
      </w:r>
      <w:r>
        <w:rPr>
          <w:rFonts w:ascii="Times New Roman" w:eastAsia="Times New Roman" w:hAnsi="Times New Roman" w:cs="Times New Roman"/>
          <w:color w:val="FF0000"/>
          <w:sz w:val="20"/>
          <w:szCs w:val="20"/>
        </w:rPr>
        <w:t>?)); isn’t providing i.e. mailbox, fire sprinklers a permanent, physical occupation (no one contesting these as takings)</w:t>
      </w:r>
    </w:p>
    <w:p w:rsidR="00E46D95" w:rsidRDefault="006F495B">
      <w:pPr>
        <w:numPr>
          <w:ilvl w:val="1"/>
          <w:numId w:val="15"/>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 xml:space="preserve">Arkansas Game and Fish Commission v. US </w:t>
      </w:r>
      <w:r>
        <w:rPr>
          <w:rFonts w:ascii="Times New Roman" w:eastAsia="Times New Roman" w:hAnsi="Times New Roman" w:cs="Times New Roman"/>
          <w:color w:val="FF0000"/>
          <w:sz w:val="20"/>
          <w:szCs w:val="20"/>
        </w:rPr>
        <w:t>(2012) – (F)considered flooding from federal dam, contingent on rainfall and controlled floodin</w:t>
      </w:r>
      <w:r>
        <w:rPr>
          <w:rFonts w:ascii="Times New Roman" w:eastAsia="Times New Roman" w:hAnsi="Times New Roman" w:cs="Times New Roman"/>
          <w:color w:val="FF0000"/>
          <w:sz w:val="20"/>
          <w:szCs w:val="20"/>
        </w:rPr>
        <w:t xml:space="preserve">g, (J) court reversed lower court’s saying can’t call impermanent intrusion a taking, (RULE/H) if not permanent then not a </w:t>
      </w:r>
      <w:r>
        <w:rPr>
          <w:rFonts w:ascii="Times New Roman" w:eastAsia="Times New Roman" w:hAnsi="Times New Roman" w:cs="Times New Roman"/>
          <w:i/>
          <w:color w:val="FF0000"/>
          <w:sz w:val="20"/>
          <w:szCs w:val="20"/>
        </w:rPr>
        <w:t>per se</w:t>
      </w:r>
      <w:r>
        <w:rPr>
          <w:rFonts w:ascii="Times New Roman" w:eastAsia="Times New Roman" w:hAnsi="Times New Roman" w:cs="Times New Roman"/>
          <w:color w:val="FF0000"/>
          <w:sz w:val="20"/>
          <w:szCs w:val="20"/>
        </w:rPr>
        <w:t xml:space="preserve"> taking (not within exception) but does not mean cannot be a taking under </w:t>
      </w:r>
      <w:r>
        <w:rPr>
          <w:rFonts w:ascii="Times New Roman" w:eastAsia="Times New Roman" w:hAnsi="Times New Roman" w:cs="Times New Roman"/>
          <w:i/>
          <w:color w:val="FF0000"/>
          <w:sz w:val="20"/>
          <w:szCs w:val="20"/>
        </w:rPr>
        <w:t xml:space="preserve">Penn Central </w:t>
      </w:r>
      <w:r>
        <w:rPr>
          <w:rFonts w:ascii="Times New Roman" w:eastAsia="Times New Roman" w:hAnsi="Times New Roman" w:cs="Times New Roman"/>
          <w:color w:val="FF0000"/>
          <w:sz w:val="20"/>
          <w:szCs w:val="20"/>
        </w:rPr>
        <w:t>balancing factor test (occupation itself</w:t>
      </w:r>
      <w:r>
        <w:rPr>
          <w:rFonts w:ascii="Times New Roman" w:eastAsia="Times New Roman" w:hAnsi="Times New Roman" w:cs="Times New Roman"/>
          <w:color w:val="FF0000"/>
          <w:sz w:val="20"/>
          <w:szCs w:val="20"/>
        </w:rPr>
        <w:t xml:space="preserve"> to be considered in </w:t>
      </w:r>
      <w:r>
        <w:rPr>
          <w:rFonts w:ascii="Times New Roman" w:eastAsia="Times New Roman" w:hAnsi="Times New Roman" w:cs="Times New Roman"/>
          <w:i/>
          <w:color w:val="FF0000"/>
          <w:sz w:val="20"/>
          <w:szCs w:val="20"/>
        </w:rPr>
        <w:t xml:space="preserve">Penn Central </w:t>
      </w:r>
      <w:r>
        <w:rPr>
          <w:rFonts w:ascii="Times New Roman" w:eastAsia="Times New Roman" w:hAnsi="Times New Roman" w:cs="Times New Roman"/>
          <w:color w:val="FF0000"/>
          <w:sz w:val="20"/>
          <w:szCs w:val="20"/>
        </w:rPr>
        <w:t>test) so [potential] taking (</w:t>
      </w:r>
      <w:r>
        <w:rPr>
          <w:rFonts w:ascii="Times New Roman" w:eastAsia="Times New Roman" w:hAnsi="Times New Roman" w:cs="Times New Roman"/>
          <w:i/>
          <w:color w:val="FF0000"/>
          <w:sz w:val="20"/>
          <w:szCs w:val="20"/>
        </w:rPr>
        <w:t xml:space="preserve">but </w:t>
      </w:r>
      <w:r>
        <w:rPr>
          <w:rFonts w:ascii="Times New Roman" w:eastAsia="Times New Roman" w:hAnsi="Times New Roman" w:cs="Times New Roman"/>
          <w:color w:val="FF0000"/>
          <w:sz w:val="20"/>
          <w:szCs w:val="20"/>
        </w:rPr>
        <w:t>no taking on remand(?))</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Loss of All Economically Beneficial or Productive Use – if a regulation eliminates all economically beneficial or productive use of land, a taking will be found unless the regulation is justified by background principles of state property or nuisance law</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L</w:t>
      </w:r>
      <w:r>
        <w:rPr>
          <w:rFonts w:ascii="Times New Roman" w:eastAsia="Times New Roman" w:hAnsi="Times New Roman" w:cs="Times New Roman"/>
          <w:i/>
          <w:color w:val="FF0000"/>
          <w:sz w:val="20"/>
          <w:szCs w:val="20"/>
          <w:shd w:val="clear" w:color="auto" w:fill="FFF2CC"/>
        </w:rPr>
        <w:t xml:space="preserve">ucas v. South Carolina Coastal Council </w:t>
      </w:r>
      <w:r>
        <w:rPr>
          <w:rFonts w:ascii="Times New Roman" w:eastAsia="Times New Roman" w:hAnsi="Times New Roman" w:cs="Times New Roman"/>
          <w:color w:val="FF0000"/>
          <w:sz w:val="20"/>
          <w:szCs w:val="20"/>
          <w:shd w:val="clear" w:color="auto" w:fill="FFF2CC"/>
        </w:rPr>
        <w:t>(SCOTUS, 1992)</w:t>
      </w:r>
      <w:r>
        <w:rPr>
          <w:rFonts w:ascii="Times New Roman" w:eastAsia="Times New Roman" w:hAnsi="Times New Roman" w:cs="Times New Roman"/>
          <w:color w:val="FF0000"/>
          <w:sz w:val="20"/>
          <w:szCs w:val="20"/>
        </w:rPr>
        <w:t xml:space="preserve"> –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F: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purchased two residential lots, South Carolina then enacted Beachfront Management Act establishing a baseline connecting the landward-most points of erosion during last 40 years, enacted for sa</w:t>
      </w:r>
      <w:r>
        <w:rPr>
          <w:rFonts w:ascii="Times New Roman" w:eastAsia="Times New Roman" w:hAnsi="Times New Roman" w:cs="Times New Roman"/>
          <w:color w:val="FF0000"/>
          <w:sz w:val="20"/>
          <w:szCs w:val="20"/>
        </w:rPr>
        <w:t>fety purposes (re hurricanes), houses had been built all up and down the coast (</w:t>
      </w: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xml:space="preserve"> got there late)</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Effectively stopping use (likely per common law public nuisance under police power regulation)</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Δ: Not a taking because protecting from a public nuisance via </w:t>
      </w:r>
      <w:r>
        <w:rPr>
          <w:rFonts w:ascii="Times New Roman" w:eastAsia="Times New Roman" w:hAnsi="Times New Roman" w:cs="Times New Roman"/>
          <w:color w:val="FF0000"/>
          <w:sz w:val="20"/>
          <w:szCs w:val="20"/>
        </w:rPr>
        <w:t>state police power</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𝝅</w:t>
      </w:r>
      <w:r>
        <w:rPr>
          <w:rFonts w:ascii="Times New Roman" w:eastAsia="Times New Roman" w:hAnsi="Times New Roman" w:cs="Times New Roman"/>
          <w:color w:val="FF0000"/>
          <w:sz w:val="20"/>
          <w:szCs w:val="20"/>
        </w:rPr>
        <w:t>: LIkely arguing that singling out developers (no “reciprocity of advantage”(?))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PH: Trial court ruled a taking requiring just compensation (encroaching on right to use? Not quite but loses development stick in the property bundle almost entirely), Supreme Court reversed, holding Act proper and valid required no compensation</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w:t>
      </w:r>
      <w:r>
        <w:rPr>
          <w:rFonts w:ascii="Times New Roman" w:eastAsia="Times New Roman" w:hAnsi="Times New Roman" w:cs="Times New Roman"/>
          <w:color w:val="FF0000"/>
          <w:sz w:val="20"/>
          <w:szCs w:val="20"/>
        </w:rPr>
        <w:t xml:space="preserve"> the Act’s dramatic effect on the economic value of Lucas’s lots accomplished a taking of private property under the 5A and 14A requiring the payment of “just compensation?”</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RULE: Two discrete categories of regulatory action as compensable without case-spe</w:t>
      </w:r>
      <w:r>
        <w:rPr>
          <w:rFonts w:ascii="Times New Roman" w:eastAsia="Times New Roman" w:hAnsi="Times New Roman" w:cs="Times New Roman"/>
          <w:color w:val="FF0000"/>
          <w:sz w:val="20"/>
          <w:szCs w:val="20"/>
        </w:rPr>
        <w:t xml:space="preserve">cific inquiry into the public interest advanced in support of the restraint: (1) permanent, physical occupation, (2) </w:t>
      </w:r>
      <w:r>
        <w:rPr>
          <w:rFonts w:ascii="Times New Roman" w:eastAsia="Times New Roman" w:hAnsi="Times New Roman" w:cs="Times New Roman"/>
          <w:color w:val="FF0000"/>
          <w:sz w:val="20"/>
          <w:szCs w:val="20"/>
          <w:u w:val="single"/>
        </w:rPr>
        <w:t>where regulation denies all economically beneficial or productive use of land</w:t>
      </w:r>
      <w:r>
        <w:rPr>
          <w:rFonts w:ascii="Times New Roman" w:eastAsia="Times New Roman" w:hAnsi="Times New Roman" w:cs="Times New Roman"/>
          <w:color w:val="FF0000"/>
          <w:sz w:val="20"/>
          <w:szCs w:val="20"/>
        </w:rPr>
        <w:t xml:space="preserve"> (creates second category)</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To 2: (pg. 969) Must also proscribe</w:t>
      </w:r>
      <w:r>
        <w:rPr>
          <w:rFonts w:ascii="Times New Roman" w:eastAsia="Times New Roman" w:hAnsi="Times New Roman" w:cs="Times New Roman"/>
          <w:color w:val="FF0000"/>
          <w:sz w:val="20"/>
          <w:szCs w:val="20"/>
        </w:rPr>
        <w:t xml:space="preserve"> a productive use that was previously permissible under relevant property and nuisance principles – can’t legislate new stuff, but can legislate on those </w:t>
      </w:r>
      <w:r>
        <w:rPr>
          <w:rFonts w:ascii="Times New Roman" w:eastAsia="Times New Roman" w:hAnsi="Times New Roman" w:cs="Times New Roman"/>
          <w:color w:val="FF0000"/>
          <w:sz w:val="20"/>
          <w:szCs w:val="20"/>
          <w:u w:val="single"/>
        </w:rPr>
        <w:t>background nuisance/property principles</w:t>
      </w:r>
      <w:r>
        <w:rPr>
          <w:rFonts w:ascii="Times New Roman" w:eastAsia="Times New Roman" w:hAnsi="Times New Roman" w:cs="Times New Roman"/>
          <w:color w:val="FF0000"/>
          <w:sz w:val="20"/>
          <w:szCs w:val="20"/>
        </w:rPr>
        <w:t xml:space="preserve"> already enforced by the courts </w:t>
      </w:r>
    </w:p>
    <w:p w:rsidR="00E46D95" w:rsidRDefault="006F495B">
      <w:pPr>
        <w:numPr>
          <w:ilvl w:val="4"/>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No taking even if economic wip</w:t>
      </w:r>
      <w:r>
        <w:rPr>
          <w:rFonts w:ascii="Times New Roman" w:eastAsia="Times New Roman" w:hAnsi="Times New Roman" w:cs="Times New Roman"/>
          <w:color w:val="FF0000"/>
          <w:sz w:val="20"/>
          <w:szCs w:val="20"/>
        </w:rPr>
        <w:t xml:space="preserve">eout if enforceable under nuisance/property background principles (state may have been able to argue customary rights per </w:t>
      </w:r>
      <w:r>
        <w:rPr>
          <w:rFonts w:ascii="Times New Roman" w:eastAsia="Times New Roman" w:hAnsi="Times New Roman" w:cs="Times New Roman"/>
          <w:i/>
          <w:color w:val="FF0000"/>
          <w:sz w:val="20"/>
          <w:szCs w:val="20"/>
        </w:rPr>
        <w:t>Thornton v. Hay</w:t>
      </w:r>
      <w:r>
        <w:rPr>
          <w:rFonts w:ascii="Times New Roman" w:eastAsia="Times New Roman" w:hAnsi="Times New Roman" w:cs="Times New Roman"/>
          <w:color w:val="FF0000"/>
          <w:sz w:val="20"/>
          <w:szCs w:val="20"/>
        </w:rPr>
        <w:t>, public trust per</w:t>
      </w:r>
      <w:r>
        <w:rPr>
          <w:rFonts w:ascii="Times New Roman" w:eastAsia="Times New Roman" w:hAnsi="Times New Roman" w:cs="Times New Roman"/>
          <w:i/>
          <w:color w:val="FF0000"/>
          <w:sz w:val="20"/>
          <w:szCs w:val="20"/>
        </w:rPr>
        <w:t xml:space="preserve"> Mono Lake</w:t>
      </w:r>
      <w:r>
        <w:rPr>
          <w:rFonts w:ascii="Times New Roman" w:eastAsia="Times New Roman" w:hAnsi="Times New Roman" w:cs="Times New Roman"/>
          <w:color w:val="FF0000"/>
          <w:sz w:val="20"/>
          <w:szCs w:val="20"/>
        </w:rPr>
        <w:t xml:space="preserve">, notice per </w:t>
      </w:r>
      <w:r>
        <w:rPr>
          <w:rFonts w:ascii="Times New Roman" w:eastAsia="Times New Roman" w:hAnsi="Times New Roman" w:cs="Times New Roman"/>
          <w:i/>
          <w:color w:val="FF0000"/>
          <w:sz w:val="20"/>
          <w:szCs w:val="20"/>
        </w:rPr>
        <w:t>Winters</w:t>
      </w:r>
      <w:r>
        <w:rPr>
          <w:rFonts w:ascii="Times New Roman" w:eastAsia="Times New Roman" w:hAnsi="Times New Roman" w:cs="Times New Roman"/>
          <w:color w:val="FF0000"/>
          <w:sz w:val="20"/>
          <w:szCs w:val="20"/>
        </w:rPr>
        <w:t>, and probably others; background principles could come from both judic</w:t>
      </w:r>
      <w:r>
        <w:rPr>
          <w:rFonts w:ascii="Times New Roman" w:eastAsia="Times New Roman" w:hAnsi="Times New Roman" w:cs="Times New Roman"/>
          <w:color w:val="FF0000"/>
          <w:sz w:val="20"/>
          <w:szCs w:val="20"/>
        </w:rPr>
        <w:t>ial and statutory articulation)</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On “noxious use” (FN 7) – better understood as being part of regulatory scheme for public welfare and against all similarly situated (no singling out) → unreliable because beneficial use/harm distinction easily manipulated (</w:t>
      </w:r>
      <w:r>
        <w:rPr>
          <w:rFonts w:ascii="Cardo" w:eastAsia="Cardo" w:hAnsi="Cardo" w:cs="Cardo"/>
          <w:color w:val="FF0000"/>
          <w:sz w:val="20"/>
          <w:szCs w:val="20"/>
        </w:rPr>
        <w:t>same thing, can be construed either way) (pg. 968)</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H: Taking unless state can identify background principles of nuisance and property law that prohibit the uses he now intends in the circumstances in which the property is presently found</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 Reversed and remanded</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C: (Kennedy) (not included in case) Taking but doesn’t think legislators are incapable of declaring nuisances because always have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(Blackmun)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 (Stevens) </w:t>
      </w:r>
    </w:p>
    <w:p w:rsidR="00E46D95" w:rsidRDefault="006F495B">
      <w:pPr>
        <w:ind w:left="3600"/>
        <w:rPr>
          <w:rFonts w:ascii="Times New Roman" w:eastAsia="Times New Roman" w:hAnsi="Times New Roman" w:cs="Times New Roman"/>
          <w:sz w:val="20"/>
          <w:szCs w:val="20"/>
        </w:rPr>
      </w:pPr>
      <w:r>
        <w:rPr>
          <w:rFonts w:ascii="Cardo" w:eastAsia="Cardo" w:hAnsi="Cardo" w:cs="Cardo"/>
          <w:color w:val="FF0000"/>
          <w:sz w:val="20"/>
          <w:szCs w:val="20"/>
        </w:rPr>
        <w:t>→ So few complete economic wipeouts and even if may be able to justify u</w:t>
      </w:r>
      <w:r>
        <w:rPr>
          <w:rFonts w:ascii="Cardo" w:eastAsia="Cardo" w:hAnsi="Cardo" w:cs="Cardo"/>
          <w:color w:val="FF0000"/>
          <w:sz w:val="20"/>
          <w:szCs w:val="20"/>
        </w:rPr>
        <w:t>nder background principles of nuisance/property law (big, unintended exception)</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 xml:space="preserve">Tahoe-Sierra Preservation Council, Inc. v. Tahoe Regional Planning Agency </w:t>
      </w:r>
      <w:r>
        <w:rPr>
          <w:rFonts w:ascii="Times New Roman" w:eastAsia="Times New Roman" w:hAnsi="Times New Roman" w:cs="Times New Roman"/>
          <w:color w:val="FF0000"/>
          <w:sz w:val="20"/>
          <w:szCs w:val="20"/>
          <w:shd w:val="clear" w:color="auto" w:fill="FFF2CC"/>
        </w:rPr>
        <w:t>(SCOTUS, 2002)</w:t>
      </w:r>
      <w:r>
        <w:rPr>
          <w:rFonts w:ascii="Times New Roman" w:eastAsia="Times New Roman" w:hAnsi="Times New Roman" w:cs="Times New Roman"/>
          <w:color w:val="FF0000"/>
          <w:sz w:val="20"/>
          <w:szCs w:val="20"/>
        </w:rPr>
        <w:t xml:space="preserve"> – </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Look for what court says about the “whole property”</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F: Development around Lake Tahoe</w:t>
      </w:r>
      <w:r>
        <w:rPr>
          <w:rFonts w:ascii="Times New Roman" w:eastAsia="Times New Roman" w:hAnsi="Times New Roman" w:cs="Times New Roman"/>
          <w:color w:val="FF0000"/>
          <w:sz w:val="20"/>
          <w:szCs w:val="20"/>
        </w:rPr>
        <w:t xml:space="preserve"> creates runoff (pollution and algae) – declining clarity of Lake (what known for) (not regulated under CAA because not a point source), TRPA halted development temporarily (moratorium) to development a future plan, landowners (Tahoe Sierra Preservation Co</w:t>
      </w:r>
      <w:r>
        <w:rPr>
          <w:rFonts w:ascii="Times New Roman" w:eastAsia="Times New Roman" w:hAnsi="Times New Roman" w:cs="Times New Roman"/>
          <w:color w:val="FF0000"/>
          <w:sz w:val="20"/>
          <w:szCs w:val="20"/>
        </w:rPr>
        <w:t xml:space="preserve">uncil – “preserving” development rights) saying (COA) taking based on per se </w:t>
      </w:r>
      <w:r>
        <w:rPr>
          <w:rFonts w:ascii="Times New Roman" w:eastAsia="Times New Roman" w:hAnsi="Times New Roman" w:cs="Times New Roman"/>
          <w:i/>
          <w:color w:val="FF0000"/>
          <w:sz w:val="20"/>
          <w:szCs w:val="20"/>
        </w:rPr>
        <w:t>Lucas</w:t>
      </w:r>
      <w:r>
        <w:rPr>
          <w:rFonts w:ascii="Times New Roman" w:eastAsia="Times New Roman" w:hAnsi="Times New Roman" w:cs="Times New Roman"/>
          <w:color w:val="FF0000"/>
          <w:sz w:val="20"/>
          <w:szCs w:val="20"/>
        </w:rPr>
        <w:t xml:space="preserve"> taking rule – taking where loss of all economically beneficial use (must argue complete econ wipeout)</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 Whether development moratoria amount to takings?</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 (landowners): No </w:t>
      </w:r>
      <w:r>
        <w:rPr>
          <w:rFonts w:ascii="Times New Roman" w:eastAsia="Times New Roman" w:hAnsi="Times New Roman" w:cs="Times New Roman"/>
          <w:color w:val="FF0000"/>
          <w:sz w:val="20"/>
          <w:szCs w:val="20"/>
        </w:rPr>
        <w:t>economic gain (complete economic wipeout) for that time frame</w:t>
      </w:r>
    </w:p>
    <w:p w:rsidR="00E46D95" w:rsidRDefault="006F495B">
      <w:pPr>
        <w:numPr>
          <w:ilvl w:val="2"/>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H: To have a complete econ wipeout, the size of the property is a factor but property rights are </w:t>
      </w:r>
      <w:r>
        <w:rPr>
          <w:rFonts w:ascii="Times New Roman" w:eastAsia="Times New Roman" w:hAnsi="Times New Roman" w:cs="Times New Roman"/>
          <w:i/>
          <w:color w:val="FF0000"/>
          <w:sz w:val="20"/>
          <w:szCs w:val="20"/>
        </w:rPr>
        <w:t>temporal</w:t>
      </w:r>
      <w:r>
        <w:rPr>
          <w:rFonts w:ascii="Times New Roman" w:eastAsia="Times New Roman" w:hAnsi="Times New Roman" w:cs="Times New Roman"/>
          <w:color w:val="FF0000"/>
          <w:sz w:val="20"/>
          <w:szCs w:val="20"/>
        </w:rPr>
        <w:t xml:space="preserve"> too (time factor) – meets/bounds/length/width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time (could have time so large as to a</w:t>
      </w:r>
      <w:r>
        <w:rPr>
          <w:rFonts w:ascii="Times New Roman" w:eastAsia="Times New Roman" w:hAnsi="Times New Roman" w:cs="Times New Roman"/>
          <w:color w:val="FF0000"/>
          <w:sz w:val="20"/>
          <w:szCs w:val="20"/>
        </w:rPr>
        <w:t>mount to a taking</w:t>
      </w:r>
      <w:r>
        <w:rPr>
          <w:rFonts w:ascii="Times New Roman" w:eastAsia="Times New Roman" w:hAnsi="Times New Roman" w:cs="Times New Roman"/>
          <w:i/>
          <w:color w:val="FF0000"/>
          <w:sz w:val="20"/>
          <w:szCs w:val="20"/>
        </w:rPr>
        <w:t xml:space="preserve"> but</w:t>
      </w:r>
      <w:r>
        <w:rPr>
          <w:rFonts w:ascii="Times New Roman" w:eastAsia="Times New Roman" w:hAnsi="Times New Roman" w:cs="Times New Roman"/>
          <w:color w:val="FF0000"/>
          <w:sz w:val="20"/>
          <w:szCs w:val="20"/>
        </w:rPr>
        <w:t xml:space="preserve"> 32 mos not it)</w:t>
      </w:r>
    </w:p>
    <w:p w:rsidR="00E46D95" w:rsidRDefault="006F495B">
      <w:pPr>
        <w:numPr>
          <w:ilvl w:val="3"/>
          <w:numId w:val="1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R: Only stick eliminated is development, may still i.e. possess, use, transfer, etc. </w:t>
      </w:r>
    </w:p>
    <w:p w:rsidR="00E46D95" w:rsidRDefault="006F495B">
      <w:pPr>
        <w:ind w:left="3600"/>
        <w:rPr>
          <w:rFonts w:ascii="Times New Roman" w:eastAsia="Times New Roman" w:hAnsi="Times New Roman" w:cs="Times New Roman"/>
          <w:sz w:val="20"/>
          <w:szCs w:val="20"/>
        </w:rPr>
      </w:pPr>
      <w:r>
        <w:rPr>
          <w:rFonts w:ascii="Cardo" w:eastAsia="Cardo" w:hAnsi="Cardo" w:cs="Cardo"/>
          <w:color w:val="FF0000"/>
          <w:sz w:val="20"/>
          <w:szCs w:val="20"/>
        </w:rPr>
        <w:t xml:space="preserve">→ Endorsement of whole property – inclusion in that definition of whole property of </w:t>
      </w:r>
      <w:r>
        <w:rPr>
          <w:rFonts w:ascii="Times New Roman" w:eastAsia="Times New Roman" w:hAnsi="Times New Roman" w:cs="Times New Roman"/>
          <w:i/>
          <w:color w:val="FF0000"/>
          <w:sz w:val="20"/>
          <w:szCs w:val="20"/>
        </w:rPr>
        <w:t>time</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Exactions: Essential Nexus and Rough Proport</w:t>
      </w:r>
      <w:r>
        <w:rPr>
          <w:rFonts w:ascii="Times New Roman" w:eastAsia="Times New Roman" w:hAnsi="Times New Roman" w:cs="Times New Roman"/>
          <w:sz w:val="20"/>
          <w:szCs w:val="20"/>
        </w:rPr>
        <w:t xml:space="preserve">ionality </w:t>
      </w:r>
    </w:p>
    <w:p w:rsidR="00E46D95" w:rsidRDefault="006F495B">
      <w:pPr>
        <w:numPr>
          <w:ilvl w:val="1"/>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Exactions</w:t>
      </w:r>
      <w:r>
        <w:rPr>
          <w:rFonts w:ascii="Times New Roman" w:eastAsia="Times New Roman" w:hAnsi="Times New Roman" w:cs="Times New Roman"/>
          <w:sz w:val="20"/>
          <w:szCs w:val="20"/>
        </w:rPr>
        <w:t xml:space="preserve"> – that developers provide land or fees to offset the impacts of the project as a condition of discretionary land use approvals</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Many local gov’ts began to shift the costs of infrastructure needed for new residential development to developers on the theory that they could pass them on to home buyers who would eventually use the roads, sidewalks, parks, schools, and other facilities</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Limits: An exaction is a taking if either (1) there is not an essential nexus between the exaction and a legitimate state interest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(2) the exaction is not roughly proportional to the impact of the project; stemmed from two SCOTUS decisions</w:t>
      </w:r>
    </w:p>
    <w:p w:rsidR="00E46D95" w:rsidRDefault="006F495B">
      <w:pPr>
        <w:numPr>
          <w:ilvl w:val="2"/>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Nollan v. Cal</w:t>
      </w:r>
      <w:r>
        <w:rPr>
          <w:rFonts w:ascii="Times New Roman" w:eastAsia="Times New Roman" w:hAnsi="Times New Roman" w:cs="Times New Roman"/>
          <w:i/>
          <w:sz w:val="20"/>
          <w:szCs w:val="20"/>
        </w:rPr>
        <w:t>ifornia Coastal Commission</w:t>
      </w:r>
      <w:r>
        <w:rPr>
          <w:rFonts w:ascii="Times New Roman" w:eastAsia="Times New Roman" w:hAnsi="Times New Roman" w:cs="Times New Roman"/>
          <w:sz w:val="20"/>
          <w:szCs w:val="20"/>
        </w:rPr>
        <w:t xml:space="preserve"> (SCOTUS, 1987) – Commission approved a building permit of a new oceanfront home conditioned on the owners’ granting an easement allowing public to cross their lot where it adjoined the beach; Court held the exaction was a taking,</w:t>
      </w:r>
      <w:r>
        <w:rPr>
          <w:rFonts w:ascii="Times New Roman" w:eastAsia="Times New Roman" w:hAnsi="Times New Roman" w:cs="Times New Roman"/>
          <w:sz w:val="20"/>
          <w:szCs w:val="20"/>
        </w:rPr>
        <w:t xml:space="preserve"> finding no </w:t>
      </w:r>
      <w:r>
        <w:rPr>
          <w:rFonts w:ascii="Times New Roman" w:eastAsia="Times New Roman" w:hAnsi="Times New Roman" w:cs="Times New Roman"/>
          <w:i/>
          <w:sz w:val="20"/>
          <w:szCs w:val="20"/>
        </w:rPr>
        <w:t xml:space="preserve">essential nexus </w:t>
      </w:r>
      <w:r>
        <w:rPr>
          <w:rFonts w:ascii="Times New Roman" w:eastAsia="Times New Roman" w:hAnsi="Times New Roman" w:cs="Times New Roman"/>
          <w:sz w:val="20"/>
          <w:szCs w:val="20"/>
        </w:rPr>
        <w:t>between the view problem and an easement allowing the public to walk along the beach behind the house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the Court held that a condition designed to address the impact of the diminished view, e.g. a height restriction, would b</w:t>
      </w:r>
      <w:r>
        <w:rPr>
          <w:rFonts w:ascii="Times New Roman" w:eastAsia="Times New Roman" w:hAnsi="Times New Roman" w:cs="Times New Roman"/>
          <w:sz w:val="20"/>
          <w:szCs w:val="20"/>
        </w:rPr>
        <w:t>e appropriate)</w:t>
      </w:r>
    </w:p>
    <w:p w:rsidR="00E46D95" w:rsidRDefault="006F495B">
      <w:pPr>
        <w:numPr>
          <w:ilvl w:val="2"/>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Dolan v. City of Tigard </w:t>
      </w:r>
      <w:r>
        <w:rPr>
          <w:rFonts w:ascii="Times New Roman" w:eastAsia="Times New Roman" w:hAnsi="Times New Roman" w:cs="Times New Roman"/>
          <w:sz w:val="20"/>
          <w:szCs w:val="20"/>
        </w:rPr>
        <w:t xml:space="preserve">(SCOTUS, 1994) – City approved the expansion of plaintiff’s hardware store on condition that she convey/dedicate two portions of her land, (1) land in the floodplain of the adjacent creek and (2) land to be used as a </w:t>
      </w:r>
      <w:r>
        <w:rPr>
          <w:rFonts w:ascii="Times New Roman" w:eastAsia="Times New Roman" w:hAnsi="Times New Roman" w:cs="Times New Roman"/>
          <w:sz w:val="20"/>
          <w:szCs w:val="20"/>
        </w:rPr>
        <w:t xml:space="preserve">link in a pedestrian/bicycle pathway; Court held that the </w:t>
      </w:r>
      <w:r>
        <w:rPr>
          <w:rFonts w:ascii="Times New Roman" w:eastAsia="Times New Roman" w:hAnsi="Times New Roman" w:cs="Times New Roman"/>
          <w:i/>
          <w:sz w:val="20"/>
          <w:szCs w:val="20"/>
        </w:rPr>
        <w:t>Nollan</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essential nexus </w:t>
      </w:r>
      <w:r>
        <w:rPr>
          <w:rFonts w:ascii="Times New Roman" w:eastAsia="Times New Roman" w:hAnsi="Times New Roman" w:cs="Times New Roman"/>
          <w:sz w:val="20"/>
          <w:szCs w:val="20"/>
        </w:rPr>
        <w:t xml:space="preserve">standard was met but that there was no evidence that each dedicated was related in both nature and extent of the impact of the proposed development – the level of an exaction </w:t>
      </w:r>
      <w:r>
        <w:rPr>
          <w:rFonts w:ascii="Times New Roman" w:eastAsia="Times New Roman" w:hAnsi="Times New Roman" w:cs="Times New Roman"/>
          <w:sz w:val="20"/>
          <w:szCs w:val="20"/>
        </w:rPr>
        <w:t xml:space="preserve">must be </w:t>
      </w:r>
      <w:r>
        <w:rPr>
          <w:rFonts w:ascii="Times New Roman" w:eastAsia="Times New Roman" w:hAnsi="Times New Roman" w:cs="Times New Roman"/>
          <w:i/>
          <w:sz w:val="20"/>
          <w:szCs w:val="20"/>
        </w:rPr>
        <w:t xml:space="preserve">roughly proportional </w:t>
      </w:r>
      <w:r>
        <w:rPr>
          <w:rFonts w:ascii="Times New Roman" w:eastAsia="Times New Roman" w:hAnsi="Times New Roman" w:cs="Times New Roman"/>
          <w:sz w:val="20"/>
          <w:szCs w:val="20"/>
        </w:rPr>
        <w:t>to the impact it was intended to address</w:t>
      </w:r>
    </w:p>
    <w:p w:rsidR="00E46D95" w:rsidRDefault="006F495B">
      <w:pPr>
        <w:numPr>
          <w:ilvl w:val="2"/>
          <w:numId w:val="15"/>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Koontz v. St. Johns River Water Management District </w:t>
      </w:r>
      <w:r>
        <w:rPr>
          <w:rFonts w:ascii="Times New Roman" w:eastAsia="Times New Roman" w:hAnsi="Times New Roman" w:cs="Times New Roman"/>
          <w:sz w:val="20"/>
          <w:szCs w:val="20"/>
        </w:rPr>
        <w:t xml:space="preserve">(SCOTUS, 2013) – “monetary exactions” (fees) must satisfy the nexus and rough proportionality requirements of </w:t>
      </w:r>
      <w:r>
        <w:rPr>
          <w:rFonts w:ascii="Times New Roman" w:eastAsia="Times New Roman" w:hAnsi="Times New Roman" w:cs="Times New Roman"/>
          <w:i/>
          <w:sz w:val="20"/>
          <w:szCs w:val="20"/>
        </w:rPr>
        <w:t xml:space="preserve">Nollan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Dolan</w:t>
      </w:r>
      <w:r>
        <w:rPr>
          <w:rFonts w:ascii="Times New Roman" w:eastAsia="Times New Roman" w:hAnsi="Times New Roman" w:cs="Times New Roman"/>
          <w:sz w:val="20"/>
          <w:szCs w:val="20"/>
        </w:rPr>
        <w:t xml:space="preserve">  </w:t>
      </w:r>
    </w:p>
    <w:p w:rsidR="00E46D95" w:rsidRDefault="006F495B">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Takin</w:t>
      </w:r>
      <w:r>
        <w:rPr>
          <w:rFonts w:ascii="Times New Roman" w:eastAsia="Times New Roman" w:hAnsi="Times New Roman" w:cs="Times New Roman"/>
          <w:sz w:val="20"/>
          <w:szCs w:val="20"/>
        </w:rPr>
        <w:t xml:space="preserve">gs </w:t>
      </w:r>
      <w:r>
        <w:rPr>
          <w:rFonts w:ascii="Times New Roman" w:eastAsia="Times New Roman" w:hAnsi="Times New Roman" w:cs="Times New Roman"/>
          <w:color w:val="FF00FF"/>
          <w:sz w:val="20"/>
          <w:szCs w:val="20"/>
        </w:rPr>
        <w:t>(inverse condemnation – gov’t is in effect taking property for public use without payment of just compensation (demanding just compensation))</w:t>
      </w:r>
    </w:p>
    <w:p w:rsidR="00E46D95" w:rsidRDefault="006F495B">
      <w:pPr>
        <w:numPr>
          <w:ilvl w:val="1"/>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Condemnation instituted by the gov’t; reverse condemnation instituted by the property owner(s)</w:t>
      </w:r>
    </w:p>
    <w:p w:rsidR="00E46D95" w:rsidRDefault="006F495B">
      <w:pPr>
        <w:numPr>
          <w:ilvl w:val="1"/>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Evolution of reg</w:t>
      </w:r>
      <w:r>
        <w:rPr>
          <w:rFonts w:ascii="Times New Roman" w:eastAsia="Times New Roman" w:hAnsi="Times New Roman" w:cs="Times New Roman"/>
          <w:color w:val="FF00FF"/>
          <w:sz w:val="20"/>
          <w:szCs w:val="20"/>
        </w:rPr>
        <w:t>ulations falling within takings clause</w:t>
      </w:r>
    </w:p>
    <w:p w:rsidR="00E46D95" w:rsidRDefault="006F495B">
      <w:pPr>
        <w:numPr>
          <w:ilvl w:val="2"/>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Note: </w:t>
      </w:r>
      <w:r>
        <w:rPr>
          <w:rFonts w:ascii="Times New Roman" w:eastAsia="Times New Roman" w:hAnsi="Times New Roman" w:cs="Times New Roman"/>
          <w:i/>
          <w:color w:val="FF00FF"/>
          <w:sz w:val="20"/>
          <w:szCs w:val="20"/>
        </w:rPr>
        <w:t>Mugler v. Kansas</w:t>
      </w:r>
      <w:r>
        <w:rPr>
          <w:rFonts w:ascii="Times New Roman" w:eastAsia="Times New Roman" w:hAnsi="Times New Roman" w:cs="Times New Roman"/>
          <w:color w:val="FF00FF"/>
          <w:sz w:val="20"/>
          <w:szCs w:val="20"/>
        </w:rPr>
        <w:t xml:space="preserve"> (H: No taking of brewery where sale of alcohol becomes prohibited, nuisance-like use and regulation for a single use, not outlawing other uses of the property) and </w:t>
      </w:r>
      <w:r>
        <w:rPr>
          <w:rFonts w:ascii="Times New Roman" w:eastAsia="Times New Roman" w:hAnsi="Times New Roman" w:cs="Times New Roman"/>
          <w:i/>
          <w:color w:val="FF00FF"/>
          <w:sz w:val="20"/>
          <w:szCs w:val="20"/>
        </w:rPr>
        <w:t xml:space="preserve">Hadacheck v. Sebastian </w:t>
      </w:r>
      <w:r>
        <w:rPr>
          <w:rFonts w:ascii="Times New Roman" w:eastAsia="Times New Roman" w:hAnsi="Times New Roman" w:cs="Times New Roman"/>
          <w:color w:val="FF00FF"/>
          <w:sz w:val="20"/>
          <w:szCs w:val="20"/>
        </w:rPr>
        <w:t xml:space="preserve">(H: No </w:t>
      </w:r>
      <w:r>
        <w:rPr>
          <w:rFonts w:ascii="Times New Roman" w:eastAsia="Times New Roman" w:hAnsi="Times New Roman" w:cs="Times New Roman"/>
          <w:color w:val="FF00FF"/>
          <w:sz w:val="20"/>
          <w:szCs w:val="20"/>
        </w:rPr>
        <w:t xml:space="preserve">taking of brick factory where bricks outlaw, appropriate measure to protect the public – </w:t>
      </w:r>
      <w:r>
        <w:rPr>
          <w:rFonts w:ascii="Times New Roman" w:eastAsia="Times New Roman" w:hAnsi="Times New Roman" w:cs="Times New Roman"/>
          <w:i/>
          <w:color w:val="FF00FF"/>
          <w:sz w:val="20"/>
          <w:szCs w:val="20"/>
        </w:rPr>
        <w:t>noxious use</w:t>
      </w:r>
      <w:r>
        <w:rPr>
          <w:rFonts w:ascii="Times New Roman" w:eastAsia="Times New Roman" w:hAnsi="Times New Roman" w:cs="Times New Roman"/>
          <w:color w:val="FF00FF"/>
          <w:sz w:val="20"/>
          <w:szCs w:val="20"/>
        </w:rPr>
        <w:t>)</w:t>
      </w:r>
    </w:p>
    <w:p w:rsidR="00E46D95" w:rsidRDefault="006F495B">
      <w:pPr>
        <w:numPr>
          <w:ilvl w:val="3"/>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In </w:t>
      </w:r>
      <w:r>
        <w:rPr>
          <w:rFonts w:ascii="Times New Roman" w:eastAsia="Times New Roman" w:hAnsi="Times New Roman" w:cs="Times New Roman"/>
          <w:i/>
          <w:color w:val="FF00FF"/>
          <w:sz w:val="20"/>
          <w:szCs w:val="20"/>
        </w:rPr>
        <w:t>Mugler</w:t>
      </w:r>
      <w:r>
        <w:rPr>
          <w:rFonts w:ascii="Times New Roman" w:eastAsia="Times New Roman" w:hAnsi="Times New Roman" w:cs="Times New Roman"/>
          <w:color w:val="FF00FF"/>
          <w:sz w:val="20"/>
          <w:szCs w:val="20"/>
        </w:rPr>
        <w:t>, (R): “A prohibition simply upon the use of property for the purposes...injurious to the health, morals, or safety of the community, cannot...be</w:t>
      </w:r>
      <w:r>
        <w:rPr>
          <w:rFonts w:ascii="Times New Roman" w:eastAsia="Times New Roman" w:hAnsi="Times New Roman" w:cs="Times New Roman"/>
          <w:color w:val="FF00FF"/>
          <w:sz w:val="20"/>
          <w:szCs w:val="20"/>
        </w:rPr>
        <w:t xml:space="preserve"> deemed a taking” </w:t>
      </w:r>
    </w:p>
    <w:p w:rsidR="00E46D95" w:rsidRDefault="006F495B">
      <w:pPr>
        <w:ind w:left="1440"/>
        <w:rPr>
          <w:rFonts w:ascii="Times New Roman" w:eastAsia="Times New Roman" w:hAnsi="Times New Roman" w:cs="Times New Roman"/>
          <w:color w:val="FF00FF"/>
          <w:sz w:val="20"/>
          <w:szCs w:val="20"/>
        </w:rPr>
      </w:pPr>
      <w:r>
        <w:rPr>
          <w:rFonts w:ascii="Cardo" w:eastAsia="Cardo" w:hAnsi="Cardo" w:cs="Cardo"/>
          <w:color w:val="FF00FF"/>
          <w:sz w:val="20"/>
          <w:szCs w:val="20"/>
        </w:rPr>
        <w:tab/>
        <w:t xml:space="preserve">→ </w:t>
      </w:r>
      <w:r>
        <w:rPr>
          <w:rFonts w:ascii="Times New Roman" w:eastAsia="Times New Roman" w:hAnsi="Times New Roman" w:cs="Times New Roman"/>
          <w:i/>
          <w:color w:val="FF00FF"/>
          <w:sz w:val="20"/>
          <w:szCs w:val="20"/>
        </w:rPr>
        <w:t xml:space="preserve">Mugler-Hadacheck </w:t>
      </w:r>
      <w:r>
        <w:rPr>
          <w:rFonts w:ascii="Times New Roman" w:eastAsia="Times New Roman" w:hAnsi="Times New Roman" w:cs="Times New Roman"/>
          <w:color w:val="FF00FF"/>
          <w:sz w:val="20"/>
          <w:szCs w:val="20"/>
        </w:rPr>
        <w:t>approach: A regulation adopted under the police power to protect the public health, safety, or welfare was not a taking as defined by the 5A even if it reduced the value of property</w:t>
      </w:r>
    </w:p>
    <w:p w:rsidR="00E46D95" w:rsidRDefault="006F495B">
      <w:pPr>
        <w:numPr>
          <w:ilvl w:val="1"/>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Scalia a big fan of takings clause (not squared easily with originalist ideology)</w:t>
      </w:r>
    </w:p>
    <w:p w:rsidR="00E46D95" w:rsidRDefault="006F495B">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Constitutional Takings of Property</w:t>
      </w:r>
    </w:p>
    <w:p w:rsidR="00E46D95" w:rsidRDefault="006F495B">
      <w:pPr>
        <w:numPr>
          <w:ilvl w:val="2"/>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(2) Loss of All Economically Beneficial or Productive Use</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FF"/>
          <w:sz w:val="20"/>
          <w:szCs w:val="20"/>
        </w:rPr>
        <w:t xml:space="preserve">Penn Central </w:t>
      </w:r>
      <w:r>
        <w:rPr>
          <w:rFonts w:ascii="Times New Roman" w:eastAsia="Times New Roman" w:hAnsi="Times New Roman" w:cs="Times New Roman"/>
          <w:color w:val="FF00FF"/>
          <w:sz w:val="20"/>
          <w:szCs w:val="20"/>
        </w:rPr>
        <w:t xml:space="preserve">remains dominant test unless falls within exceptions: (1) </w:t>
      </w:r>
      <w:r>
        <w:rPr>
          <w:rFonts w:ascii="Times New Roman" w:eastAsia="Times New Roman" w:hAnsi="Times New Roman" w:cs="Times New Roman"/>
          <w:i/>
          <w:color w:val="FF00FF"/>
          <w:sz w:val="20"/>
          <w:szCs w:val="20"/>
        </w:rPr>
        <w:t>Loretto</w:t>
      </w:r>
      <w:r>
        <w:rPr>
          <w:rFonts w:ascii="Times New Roman" w:eastAsia="Times New Roman" w:hAnsi="Times New Roman" w:cs="Times New Roman"/>
          <w:color w:val="FF00FF"/>
          <w:sz w:val="20"/>
          <w:szCs w:val="20"/>
        </w:rPr>
        <w:t xml:space="preserve"> – </w:t>
      </w:r>
      <w:r>
        <w:rPr>
          <w:rFonts w:ascii="Times New Roman" w:eastAsia="Times New Roman" w:hAnsi="Times New Roman" w:cs="Times New Roman"/>
          <w:color w:val="FF00FF"/>
          <w:sz w:val="20"/>
          <w:szCs w:val="20"/>
        </w:rPr>
        <w:t xml:space="preserve">permanent, physical occupation is a per se taking (2) </w:t>
      </w:r>
      <w:r>
        <w:rPr>
          <w:rFonts w:ascii="Times New Roman" w:eastAsia="Times New Roman" w:hAnsi="Times New Roman" w:cs="Times New Roman"/>
          <w:i/>
          <w:color w:val="FF00FF"/>
          <w:sz w:val="20"/>
          <w:szCs w:val="20"/>
        </w:rPr>
        <w:t>Lucas</w:t>
      </w:r>
      <w:r>
        <w:rPr>
          <w:rFonts w:ascii="Times New Roman" w:eastAsia="Times New Roman" w:hAnsi="Times New Roman" w:cs="Times New Roman"/>
          <w:color w:val="FF00FF"/>
          <w:sz w:val="20"/>
          <w:szCs w:val="20"/>
        </w:rPr>
        <w:t xml:space="preserve"> – loss of all economically beneficial use is a per se taking (in order to show size of property big issue, </w:t>
      </w:r>
      <w:r>
        <w:rPr>
          <w:rFonts w:ascii="Times New Roman" w:eastAsia="Times New Roman" w:hAnsi="Times New Roman" w:cs="Times New Roman"/>
          <w:i/>
          <w:color w:val="FF00FF"/>
          <w:sz w:val="20"/>
          <w:szCs w:val="20"/>
        </w:rPr>
        <w:t xml:space="preserve">Lucas </w:t>
      </w:r>
      <w:r>
        <w:rPr>
          <w:rFonts w:ascii="Times New Roman" w:eastAsia="Times New Roman" w:hAnsi="Times New Roman" w:cs="Times New Roman"/>
          <w:color w:val="FF00FF"/>
          <w:sz w:val="20"/>
          <w:szCs w:val="20"/>
        </w:rPr>
        <w:t>able to do)</w:t>
      </w:r>
    </w:p>
    <w:p w:rsidR="00E46D95" w:rsidRDefault="006F495B">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FF"/>
          <w:sz w:val="20"/>
          <w:szCs w:val="20"/>
        </w:rPr>
        <w:t>(3)</w:t>
      </w:r>
      <w:r>
        <w:rPr>
          <w:rFonts w:ascii="Times New Roman" w:eastAsia="Times New Roman" w:hAnsi="Times New Roman" w:cs="Times New Roman"/>
          <w:sz w:val="20"/>
          <w:szCs w:val="20"/>
        </w:rPr>
        <w:t xml:space="preserve"> Exaction</w:t>
      </w:r>
      <w:r>
        <w:rPr>
          <w:rFonts w:ascii="Times New Roman" w:eastAsia="Times New Roman" w:hAnsi="Times New Roman" w:cs="Times New Roman"/>
          <w:color w:val="FF00FF"/>
          <w:sz w:val="20"/>
          <w:szCs w:val="20"/>
        </w:rPr>
        <w:t>[</w:t>
      </w:r>
      <w:r>
        <w:rPr>
          <w:rFonts w:ascii="Times New Roman" w:eastAsia="Times New Roman" w:hAnsi="Times New Roman" w:cs="Times New Roman"/>
          <w:sz w:val="20"/>
          <w:szCs w:val="20"/>
        </w:rPr>
        <w:t>s</w:t>
      </w:r>
      <w:r>
        <w:rPr>
          <w:rFonts w:ascii="Times New Roman" w:eastAsia="Times New Roman" w:hAnsi="Times New Roman" w:cs="Times New Roman"/>
          <w:color w:val="FF00FF"/>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color w:val="FF00FF"/>
          <w:sz w:val="20"/>
          <w:szCs w:val="20"/>
        </w:rPr>
        <w:t>Essential Nexus and Rough Proportionality]</w:t>
      </w:r>
      <w:r>
        <w:rPr>
          <w:rFonts w:ascii="Times New Roman" w:eastAsia="Times New Roman" w:hAnsi="Times New Roman" w:cs="Times New Roman"/>
          <w:sz w:val="20"/>
          <w:szCs w:val="20"/>
        </w:rPr>
        <w:t xml:space="preserve"> and Measure </w:t>
      </w:r>
      <w:r>
        <w:rPr>
          <w:rFonts w:ascii="Times New Roman" w:eastAsia="Times New Roman" w:hAnsi="Times New Roman" w:cs="Times New Roman"/>
          <w:sz w:val="20"/>
          <w:szCs w:val="20"/>
        </w:rPr>
        <w:t xml:space="preserve">37 </w:t>
      </w:r>
      <w:r>
        <w:rPr>
          <w:rFonts w:ascii="Times New Roman" w:eastAsia="Times New Roman" w:hAnsi="Times New Roman" w:cs="Times New Roman"/>
          <w:color w:val="FF00FF"/>
          <w:sz w:val="20"/>
          <w:szCs w:val="20"/>
        </w:rPr>
        <w:t>(modified by Measure 35)</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 xml:space="preserve">Stop the Beach Renourishment </w:t>
      </w:r>
      <w:r>
        <w:rPr>
          <w:rFonts w:ascii="Times New Roman" w:eastAsia="Times New Roman" w:hAnsi="Times New Roman" w:cs="Times New Roman"/>
          <w:color w:val="FF00FF"/>
          <w:sz w:val="20"/>
          <w:szCs w:val="20"/>
        </w:rPr>
        <w:t>(pg. 977)</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 xml:space="preserve">Palazzolo v. Rhode Island </w:t>
      </w:r>
      <w:r>
        <w:rPr>
          <w:rFonts w:ascii="Times New Roman" w:eastAsia="Times New Roman" w:hAnsi="Times New Roman" w:cs="Times New Roman"/>
          <w:color w:val="FF00FF"/>
          <w:sz w:val="20"/>
          <w:szCs w:val="20"/>
        </w:rPr>
        <w:t>– P filed suit alleging denial of permit a taking (to fill in LI sound beach – bad for environment, large stretch of land), D state claimed knew of regulation long</w:t>
      </w:r>
      <w:r>
        <w:rPr>
          <w:rFonts w:ascii="Times New Roman" w:eastAsia="Times New Roman" w:hAnsi="Times New Roman" w:cs="Times New Roman"/>
          <w:color w:val="FF00FF"/>
          <w:sz w:val="20"/>
          <w:szCs w:val="20"/>
        </w:rPr>
        <w:t xml:space="preserve"> before land purchase so no taking per </w:t>
      </w:r>
      <w:r>
        <w:rPr>
          <w:rFonts w:ascii="Times New Roman" w:eastAsia="Times New Roman" w:hAnsi="Times New Roman" w:cs="Times New Roman"/>
          <w:i/>
          <w:color w:val="FF00FF"/>
          <w:sz w:val="20"/>
          <w:szCs w:val="20"/>
        </w:rPr>
        <w:t>Penn Central</w:t>
      </w:r>
      <w:r>
        <w:rPr>
          <w:rFonts w:ascii="Times New Roman" w:eastAsia="Times New Roman" w:hAnsi="Times New Roman" w:cs="Times New Roman"/>
          <w:color w:val="FF00FF"/>
          <w:sz w:val="20"/>
          <w:szCs w:val="20"/>
        </w:rPr>
        <w:t xml:space="preserve"> (not investment backed), H SCOTUS agreed with P to an extent – no exception based on notice – not a per se no take rule (and case was ripe) – ultimately not a taking though, size of property relevant for </w:t>
      </w:r>
      <w:r>
        <w:rPr>
          <w:rFonts w:ascii="Times New Roman" w:eastAsia="Times New Roman" w:hAnsi="Times New Roman" w:cs="Times New Roman"/>
          <w:color w:val="FF00FF"/>
          <w:sz w:val="20"/>
          <w:szCs w:val="20"/>
        </w:rPr>
        <w:t xml:space="preserve">consideration (not under </w:t>
      </w:r>
      <w:r>
        <w:rPr>
          <w:rFonts w:ascii="Times New Roman" w:eastAsia="Times New Roman" w:hAnsi="Times New Roman" w:cs="Times New Roman"/>
          <w:i/>
          <w:color w:val="FF00FF"/>
          <w:sz w:val="20"/>
          <w:szCs w:val="20"/>
        </w:rPr>
        <w:t>Lucas</w:t>
      </w:r>
      <w:r>
        <w:rPr>
          <w:rFonts w:ascii="Times New Roman" w:eastAsia="Times New Roman" w:hAnsi="Times New Roman" w:cs="Times New Roman"/>
          <w:color w:val="FF00FF"/>
          <w:sz w:val="20"/>
          <w:szCs w:val="20"/>
        </w:rPr>
        <w:t xml:space="preserve">, not under </w:t>
      </w:r>
      <w:r>
        <w:rPr>
          <w:rFonts w:ascii="Times New Roman" w:eastAsia="Times New Roman" w:hAnsi="Times New Roman" w:cs="Times New Roman"/>
          <w:i/>
          <w:color w:val="FF00FF"/>
          <w:sz w:val="20"/>
          <w:szCs w:val="20"/>
        </w:rPr>
        <w:t>Penn Central</w:t>
      </w:r>
      <w:r>
        <w:rPr>
          <w:rFonts w:ascii="Times New Roman" w:eastAsia="Times New Roman" w:hAnsi="Times New Roman" w:cs="Times New Roman"/>
          <w:color w:val="FF00FF"/>
          <w:sz w:val="20"/>
          <w:szCs w:val="20"/>
        </w:rPr>
        <w:t>)</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Ultimately lower court (on remand) said public trust applicable – background principle not just relevant to </w:t>
      </w:r>
      <w:r>
        <w:rPr>
          <w:rFonts w:ascii="Times New Roman" w:eastAsia="Times New Roman" w:hAnsi="Times New Roman" w:cs="Times New Roman"/>
          <w:i/>
          <w:color w:val="FF00FF"/>
          <w:sz w:val="20"/>
          <w:szCs w:val="20"/>
        </w:rPr>
        <w:t xml:space="preserve">Lucas </w:t>
      </w:r>
      <w:r>
        <w:rPr>
          <w:rFonts w:ascii="Times New Roman" w:eastAsia="Times New Roman" w:hAnsi="Times New Roman" w:cs="Times New Roman"/>
          <w:color w:val="FF00FF"/>
          <w:sz w:val="20"/>
          <w:szCs w:val="20"/>
        </w:rPr>
        <w:t>doctrine; if not public trust, filling is a public nuisance – another background princ</w:t>
      </w:r>
      <w:r>
        <w:rPr>
          <w:rFonts w:ascii="Times New Roman" w:eastAsia="Times New Roman" w:hAnsi="Times New Roman" w:cs="Times New Roman"/>
          <w:color w:val="FF00FF"/>
          <w:sz w:val="20"/>
          <w:szCs w:val="20"/>
        </w:rPr>
        <w:t>iple</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Murr v. Wisconsin</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F: Murrs have two adjacent lots on lake in Wisconsin (one lot developed (cabin), other undeveloped), wanted to sell undeveloped lot, found out from county that when adjacent lots, consider those whole property not separate, therefore</w:t>
      </w:r>
      <w:r>
        <w:rPr>
          <w:rFonts w:ascii="Times New Roman" w:eastAsia="Times New Roman" w:hAnsi="Times New Roman" w:cs="Times New Roman"/>
          <w:color w:val="FF00FF"/>
          <w:sz w:val="20"/>
          <w:szCs w:val="20"/>
        </w:rPr>
        <w:t xml:space="preserve"> not entitled to taking compensation</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PH: Lost in Wisconsin courts</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H: Supreme Court of Wisconsin affirmed appellate court (denied cert initially, then granted), now in briefing in SCOTUS</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I: What’s the size of the lots for takings purposes (state v. federal)</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Whole property: </w:t>
      </w:r>
      <w:r>
        <w:rPr>
          <w:rFonts w:ascii="Times New Roman" w:eastAsia="Times New Roman" w:hAnsi="Times New Roman" w:cs="Times New Roman"/>
          <w:i/>
          <w:color w:val="FF00FF"/>
          <w:sz w:val="20"/>
          <w:szCs w:val="20"/>
        </w:rPr>
        <w:t>Penn Central, Keystone Bituminous, Tahoe Sierra</w:t>
      </w:r>
      <w:r>
        <w:rPr>
          <w:rFonts w:ascii="Times New Roman" w:eastAsia="Times New Roman" w:hAnsi="Times New Roman" w:cs="Times New Roman"/>
          <w:color w:val="FF00FF"/>
          <w:sz w:val="20"/>
          <w:szCs w:val="20"/>
        </w:rPr>
        <w:t xml:space="preserve">, etc. – now being brought into question   </w:t>
      </w:r>
    </w:p>
    <w:p w:rsidR="00E46D95" w:rsidRDefault="006F495B">
      <w:pPr>
        <w:numPr>
          <w:ilvl w:val="3"/>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Policy Discussion: Should landowners take out insurance for gov’t takings (essentially insuring against passing of regulations) </w:t>
      </w:r>
    </w:p>
    <w:p w:rsidR="00E46D95" w:rsidRDefault="006F495B">
      <w:pPr>
        <w:numPr>
          <w:ilvl w:val="3"/>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Consider purpose/original intent of takings clause – framers never considered would extend to regulations (</w:t>
      </w:r>
      <w:r>
        <w:rPr>
          <w:rFonts w:ascii="Times New Roman" w:eastAsia="Times New Roman" w:hAnsi="Times New Roman" w:cs="Times New Roman"/>
          <w:i/>
          <w:color w:val="FF00FF"/>
          <w:sz w:val="20"/>
          <w:szCs w:val="20"/>
        </w:rPr>
        <w:t xml:space="preserve">but </w:t>
      </w:r>
      <w:r>
        <w:rPr>
          <w:rFonts w:ascii="Times New Roman" w:eastAsia="Times New Roman" w:hAnsi="Times New Roman" w:cs="Times New Roman"/>
          <w:color w:val="FF00FF"/>
          <w:sz w:val="20"/>
          <w:szCs w:val="20"/>
        </w:rPr>
        <w:t xml:space="preserve">argument that framers didn’t consider, </w:t>
      </w:r>
      <w:r>
        <w:rPr>
          <w:rFonts w:ascii="Times New Roman" w:eastAsia="Times New Roman" w:hAnsi="Times New Roman" w:cs="Times New Roman"/>
          <w:i/>
          <w:color w:val="FF00FF"/>
          <w:sz w:val="20"/>
          <w:szCs w:val="20"/>
        </w:rPr>
        <w:t xml:space="preserve">but </w:t>
      </w:r>
      <w:r>
        <w:rPr>
          <w:rFonts w:ascii="Times New Roman" w:eastAsia="Times New Roman" w:hAnsi="Times New Roman" w:cs="Times New Roman"/>
          <w:color w:val="FF00FF"/>
          <w:sz w:val="20"/>
          <w:szCs w:val="20"/>
        </w:rPr>
        <w:t>historically inaccurate)</w:t>
      </w:r>
    </w:p>
    <w:p w:rsidR="00E46D95" w:rsidRDefault="006F495B">
      <w:pPr>
        <w:numPr>
          <w:ilvl w:val="3"/>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Oregon’s Measure 37 – based on </w:t>
      </w:r>
      <w:r>
        <w:rPr>
          <w:rFonts w:ascii="Times New Roman" w:eastAsia="Times New Roman" w:hAnsi="Times New Roman" w:cs="Times New Roman"/>
          <w:i/>
          <w:color w:val="FF00FF"/>
          <w:sz w:val="20"/>
          <w:szCs w:val="20"/>
        </w:rPr>
        <w:t>Lucas</w:t>
      </w:r>
      <w:r>
        <w:rPr>
          <w:rFonts w:ascii="Times New Roman" w:eastAsia="Times New Roman" w:hAnsi="Times New Roman" w:cs="Times New Roman"/>
          <w:color w:val="FF00FF"/>
          <w:sz w:val="20"/>
          <w:szCs w:val="20"/>
        </w:rPr>
        <w:t xml:space="preserve"> but more expansive (passed by voters in </w:t>
      </w:r>
      <w:r>
        <w:rPr>
          <w:rFonts w:ascii="Times New Roman" w:eastAsia="Times New Roman" w:hAnsi="Times New Roman" w:cs="Times New Roman"/>
          <w:color w:val="FF00FF"/>
          <w:sz w:val="20"/>
          <w:szCs w:val="20"/>
        </w:rPr>
        <w:t>2004)</w:t>
      </w:r>
      <w:r>
        <w:rPr>
          <w:rFonts w:ascii="Times New Roman" w:eastAsia="Times New Roman" w:hAnsi="Times New Roman" w:cs="Times New Roman"/>
          <w:i/>
          <w:color w:val="FF00FF"/>
          <w:sz w:val="20"/>
          <w:szCs w:val="20"/>
        </w:rPr>
        <w:t xml:space="preserve"> – </w:t>
      </w:r>
      <w:r>
        <w:rPr>
          <w:rFonts w:ascii="Times New Roman" w:eastAsia="Times New Roman" w:hAnsi="Times New Roman" w:cs="Times New Roman"/>
          <w:color w:val="FF00FF"/>
          <w:sz w:val="20"/>
          <w:szCs w:val="20"/>
        </w:rPr>
        <w:t>any regulation passed after landowner owned the land (question of when owner owns land?) that results in decline in property value is fully compensable, five exceptions (see LR article) – state can rescind/amend regulations rather than compensate (</w:t>
      </w:r>
      <w:r>
        <w:rPr>
          <w:rFonts w:ascii="Times New Roman" w:eastAsia="Times New Roman" w:hAnsi="Times New Roman" w:cs="Times New Roman"/>
          <w:color w:val="FF00FF"/>
          <w:sz w:val="20"/>
          <w:szCs w:val="20"/>
        </w:rPr>
        <w:t>as such, lot of regulations rescinded v. compensation being paid out)</w:t>
      </w:r>
    </w:p>
    <w:p w:rsidR="00E46D95" w:rsidRDefault="006F495B">
      <w:pPr>
        <w:numPr>
          <w:ilvl w:val="3"/>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Oregon’s Measure 49 (2007) – recommended to voters by legislature, passed by voters – caught back substantially on 37, did not mean for big developments, cut back on big developments (ti</w:t>
      </w:r>
      <w:r>
        <w:rPr>
          <w:rFonts w:ascii="Times New Roman" w:eastAsia="Times New Roman" w:hAnsi="Times New Roman" w:cs="Times New Roman"/>
          <w:color w:val="FF00FF"/>
          <w:sz w:val="20"/>
          <w:szCs w:val="20"/>
        </w:rPr>
        <w:t>mber claims out, Measure 49 made for small claims, rollback from large claims)</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Effect: Regulatory rollback for relatively small claimants, fairness; provides more compensation under state law than would be provided under </w:t>
      </w:r>
      <w:r>
        <w:rPr>
          <w:rFonts w:ascii="Times New Roman" w:eastAsia="Times New Roman" w:hAnsi="Times New Roman" w:cs="Times New Roman"/>
          <w:i/>
          <w:color w:val="FF00FF"/>
          <w:sz w:val="20"/>
          <w:szCs w:val="20"/>
        </w:rPr>
        <w:t>Penn Central</w:t>
      </w:r>
      <w:r>
        <w:rPr>
          <w:rFonts w:ascii="Times New Roman" w:eastAsia="Times New Roman" w:hAnsi="Times New Roman" w:cs="Times New Roman"/>
          <w:color w:val="FF00FF"/>
          <w:sz w:val="20"/>
          <w:szCs w:val="20"/>
        </w:rPr>
        <w:t>, retrospective and pro</w:t>
      </w:r>
      <w:r>
        <w:rPr>
          <w:rFonts w:ascii="Times New Roman" w:eastAsia="Times New Roman" w:hAnsi="Times New Roman" w:cs="Times New Roman"/>
          <w:color w:val="FF00FF"/>
          <w:sz w:val="20"/>
          <w:szCs w:val="20"/>
        </w:rPr>
        <w:t>spective (old and new claims can be filed), post-2007 few/no claims have been filed, shows effect of Measure 49</w:t>
      </w:r>
    </w:p>
    <w:p w:rsidR="00E46D95" w:rsidRDefault="006F495B">
      <w:pPr>
        <w:ind w:left="2880"/>
        <w:rPr>
          <w:rFonts w:ascii="Times New Roman" w:eastAsia="Times New Roman" w:hAnsi="Times New Roman" w:cs="Times New Roman"/>
          <w:color w:val="FF00FF"/>
          <w:sz w:val="20"/>
          <w:szCs w:val="20"/>
        </w:rPr>
      </w:pPr>
      <w:r>
        <w:rPr>
          <w:rFonts w:ascii="Cardo" w:eastAsia="Cardo" w:hAnsi="Cardo" w:cs="Cardo"/>
          <w:color w:val="FF00FF"/>
          <w:sz w:val="20"/>
          <w:szCs w:val="20"/>
        </w:rPr>
        <w:t>→ States can always be more generous to landowners than federal government</w:t>
      </w:r>
    </w:p>
    <w:p w:rsidR="00E46D95" w:rsidRDefault="006F495B">
      <w:pPr>
        <w:numPr>
          <w:ilvl w:val="2"/>
          <w:numId w:val="15"/>
        </w:numPr>
        <w:contextualSpacing/>
        <w:rPr>
          <w:rFonts w:ascii="Times New Roman" w:eastAsia="Times New Roman" w:hAnsi="Times New Roman" w:cs="Times New Roman"/>
          <w:color w:val="FF00FF"/>
          <w:sz w:val="20"/>
          <w:szCs w:val="20"/>
        </w:rPr>
      </w:pPr>
      <w:r>
        <w:rPr>
          <w:rFonts w:ascii="Cardo" w:eastAsia="Cardo" w:hAnsi="Cardo" w:cs="Cardo"/>
          <w:color w:val="FF00FF"/>
          <w:sz w:val="20"/>
          <w:szCs w:val="20"/>
        </w:rPr>
        <w:t>[Perhaps a third category of exceptions] Exactions: Essential Nexus a</w:t>
      </w:r>
      <w:r>
        <w:rPr>
          <w:rFonts w:ascii="Cardo" w:eastAsia="Cardo" w:hAnsi="Cardo" w:cs="Cardo"/>
          <w:color w:val="FF00FF"/>
          <w:sz w:val="20"/>
          <w:szCs w:val="20"/>
        </w:rPr>
        <w:t>nd Rough Proportionality → creation of intermediate standard between compensation (</w:t>
      </w:r>
      <w:r>
        <w:rPr>
          <w:rFonts w:ascii="Times New Roman" w:eastAsia="Times New Roman" w:hAnsi="Times New Roman" w:cs="Times New Roman"/>
          <w:i/>
          <w:color w:val="FF00FF"/>
          <w:sz w:val="20"/>
          <w:szCs w:val="20"/>
        </w:rPr>
        <w:t>Lucas</w:t>
      </w:r>
      <w:r>
        <w:rPr>
          <w:rFonts w:ascii="Times New Roman" w:eastAsia="Times New Roman" w:hAnsi="Times New Roman" w:cs="Times New Roman"/>
          <w:color w:val="FF00FF"/>
          <w:sz w:val="20"/>
          <w:szCs w:val="20"/>
        </w:rPr>
        <w:t xml:space="preserve"> and </w:t>
      </w:r>
      <w:r>
        <w:rPr>
          <w:rFonts w:ascii="Times New Roman" w:eastAsia="Times New Roman" w:hAnsi="Times New Roman" w:cs="Times New Roman"/>
          <w:i/>
          <w:color w:val="FF00FF"/>
          <w:sz w:val="20"/>
          <w:szCs w:val="20"/>
        </w:rPr>
        <w:t>Loretto</w:t>
      </w:r>
      <w:r>
        <w:rPr>
          <w:rFonts w:ascii="Times New Roman" w:eastAsia="Times New Roman" w:hAnsi="Times New Roman" w:cs="Times New Roman"/>
          <w:color w:val="FF00FF"/>
          <w:sz w:val="20"/>
          <w:szCs w:val="20"/>
        </w:rPr>
        <w:t>) and no compensation (</w:t>
      </w:r>
      <w:r>
        <w:rPr>
          <w:rFonts w:ascii="Times New Roman" w:eastAsia="Times New Roman" w:hAnsi="Times New Roman" w:cs="Times New Roman"/>
          <w:i/>
          <w:color w:val="FF00FF"/>
          <w:sz w:val="20"/>
          <w:szCs w:val="20"/>
        </w:rPr>
        <w:t>Penn Central</w:t>
      </w:r>
      <w:r>
        <w:rPr>
          <w:rFonts w:ascii="Times New Roman" w:eastAsia="Times New Roman" w:hAnsi="Times New Roman" w:cs="Times New Roman"/>
          <w:color w:val="FF00FF"/>
          <w:sz w:val="20"/>
          <w:szCs w:val="20"/>
        </w:rPr>
        <w:t>)</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Nollan v. California Coastal Commission</w:t>
      </w:r>
      <w:r>
        <w:rPr>
          <w:rFonts w:ascii="Times New Roman" w:eastAsia="Times New Roman" w:hAnsi="Times New Roman" w:cs="Times New Roman"/>
          <w:color w:val="FF00FF"/>
          <w:sz w:val="20"/>
          <w:szCs w:val="20"/>
        </w:rPr>
        <w:t xml:space="preserve"> (SCOTUS, 1987) (pg. 978)</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F: Small-scale redevelopment of ocean house, coastal z</w:t>
      </w:r>
      <w:r>
        <w:rPr>
          <w:rFonts w:ascii="Times New Roman" w:eastAsia="Times New Roman" w:hAnsi="Times New Roman" w:cs="Times New Roman"/>
          <w:color w:val="FF00FF"/>
          <w:sz w:val="20"/>
          <w:szCs w:val="20"/>
        </w:rPr>
        <w:t>one authority granted permit (despite obstructing beach views) but conditioned it on dedication of beachfront of property to the public (“exaction”)</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H/R: Problem here was that condition </w:t>
      </w:r>
      <w:r>
        <w:rPr>
          <w:rFonts w:ascii="Times New Roman" w:eastAsia="Times New Roman" w:hAnsi="Times New Roman" w:cs="Times New Roman"/>
          <w:color w:val="FF00FF"/>
          <w:sz w:val="20"/>
          <w:szCs w:val="20"/>
          <w:u w:val="single"/>
        </w:rPr>
        <w:t>lacked a nexus</w:t>
      </w:r>
      <w:r>
        <w:rPr>
          <w:rFonts w:ascii="Times New Roman" w:eastAsia="Times New Roman" w:hAnsi="Times New Roman" w:cs="Times New Roman"/>
          <w:color w:val="FF00FF"/>
          <w:sz w:val="20"/>
          <w:szCs w:val="20"/>
        </w:rPr>
        <w:t xml:space="preserve"> to the damage (visual damage, exaction was lateral acce</w:t>
      </w:r>
      <w:r>
        <w:rPr>
          <w:rFonts w:ascii="Times New Roman" w:eastAsia="Times New Roman" w:hAnsi="Times New Roman" w:cs="Times New Roman"/>
          <w:color w:val="FF00FF"/>
          <w:sz w:val="20"/>
          <w:szCs w:val="20"/>
        </w:rPr>
        <w:t>ss to public already on the beach) – lack of nexus created taking that local gov’t should compensate for</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Dolan v. City of Tigard</w:t>
      </w:r>
      <w:r>
        <w:rPr>
          <w:rFonts w:ascii="Times New Roman" w:eastAsia="Times New Roman" w:hAnsi="Times New Roman" w:cs="Times New Roman"/>
          <w:color w:val="FF00FF"/>
          <w:sz w:val="20"/>
          <w:szCs w:val="20"/>
        </w:rPr>
        <w:t xml:space="preserve"> (SCOTUS, 1994)</w:t>
      </w:r>
      <w:r>
        <w:rPr>
          <w:rFonts w:ascii="Times New Roman" w:eastAsia="Times New Roman" w:hAnsi="Times New Roman" w:cs="Times New Roman"/>
          <w:i/>
          <w:color w:val="FF00FF"/>
          <w:sz w:val="20"/>
          <w:szCs w:val="20"/>
        </w:rPr>
        <w:t xml:space="preserve"> </w:t>
      </w:r>
      <w:r>
        <w:rPr>
          <w:rFonts w:ascii="Times New Roman" w:eastAsia="Times New Roman" w:hAnsi="Times New Roman" w:cs="Times New Roman"/>
          <w:color w:val="FF00FF"/>
          <w:sz w:val="20"/>
          <w:szCs w:val="20"/>
        </w:rPr>
        <w:t>(pg. 978)</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F: City approved expansion of store on condition that she convey two portions of land: (1) Floodplain (to prevent development toward the creek from the hardware store), (2) bike path (to connect existing bike paths)</w:t>
      </w:r>
    </w:p>
    <w:p w:rsidR="00E46D95" w:rsidRDefault="006F495B">
      <w:pPr>
        <w:numPr>
          <w:ilvl w:val="5"/>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Damage: Runoff from development/expansio</w:t>
      </w:r>
      <w:r>
        <w:rPr>
          <w:rFonts w:ascii="Times New Roman" w:eastAsia="Times New Roman" w:hAnsi="Times New Roman" w:cs="Times New Roman"/>
          <w:color w:val="FF00FF"/>
          <w:sz w:val="20"/>
          <w:szCs w:val="20"/>
        </w:rPr>
        <w:t>n</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H: Runoff related to expansion, but not clear that necessary that floodplain is public (could still be private and prevent hard) – </w:t>
      </w:r>
      <w:r>
        <w:rPr>
          <w:rFonts w:ascii="Times New Roman" w:eastAsia="Times New Roman" w:hAnsi="Times New Roman" w:cs="Times New Roman"/>
          <w:color w:val="FF00FF"/>
          <w:sz w:val="20"/>
          <w:szCs w:val="20"/>
          <w:u w:val="single"/>
        </w:rPr>
        <w:t>lacks rough proportionality</w:t>
      </w:r>
      <w:r>
        <w:rPr>
          <w:rFonts w:ascii="Times New Roman" w:eastAsia="Times New Roman" w:hAnsi="Times New Roman" w:cs="Times New Roman"/>
          <w:color w:val="FF00FF"/>
          <w:sz w:val="20"/>
          <w:szCs w:val="20"/>
        </w:rPr>
        <w:t xml:space="preserve"> between damage and… (like lacking a nexus) </w:t>
      </w:r>
    </w:p>
    <w:p w:rsidR="00E46D95" w:rsidRDefault="006F495B">
      <w:pPr>
        <w:numPr>
          <w:ilvl w:val="3"/>
          <w:numId w:val="15"/>
        </w:numPr>
        <w:contextualSpacing/>
        <w:rPr>
          <w:rFonts w:ascii="Times New Roman" w:eastAsia="Times New Roman" w:hAnsi="Times New Roman" w:cs="Times New Roman"/>
          <w:i/>
          <w:color w:val="FF00FF"/>
          <w:sz w:val="20"/>
          <w:szCs w:val="20"/>
        </w:rPr>
      </w:pPr>
      <w:r>
        <w:rPr>
          <w:rFonts w:ascii="Times New Roman" w:eastAsia="Times New Roman" w:hAnsi="Times New Roman" w:cs="Times New Roman"/>
          <w:i/>
          <w:color w:val="FF00FF"/>
          <w:sz w:val="20"/>
          <w:szCs w:val="20"/>
        </w:rPr>
        <w:t>Koontz v. St. Johns River Water Management District</w:t>
      </w:r>
      <w:r>
        <w:rPr>
          <w:rFonts w:ascii="Times New Roman" w:eastAsia="Times New Roman" w:hAnsi="Times New Roman" w:cs="Times New Roman"/>
          <w:color w:val="FF00FF"/>
          <w:sz w:val="20"/>
          <w:szCs w:val="20"/>
        </w:rPr>
        <w:t xml:space="preserve"> (SCOTUS, 2013)</w:t>
      </w:r>
    </w:p>
    <w:p w:rsidR="00E46D95" w:rsidRDefault="006F495B">
      <w:pPr>
        <w:numPr>
          <w:ilvl w:val="4"/>
          <w:numId w:val="15"/>
        </w:numPr>
        <w:contextualSpacing/>
        <w:rPr>
          <w:rFonts w:ascii="Times New Roman" w:eastAsia="Times New Roman" w:hAnsi="Times New Roman" w:cs="Times New Roman"/>
          <w:color w:val="FF00FF"/>
          <w:sz w:val="20"/>
          <w:szCs w:val="20"/>
        </w:rPr>
      </w:pPr>
      <w:r>
        <w:rPr>
          <w:rFonts w:ascii="Times New Roman" w:eastAsia="Times New Roman" w:hAnsi="Times New Roman" w:cs="Times New Roman"/>
          <w:color w:val="FF00FF"/>
          <w:sz w:val="20"/>
          <w:szCs w:val="20"/>
        </w:rPr>
        <w:t xml:space="preserve">H: Expanded </w:t>
      </w:r>
      <w:r>
        <w:rPr>
          <w:rFonts w:ascii="Times New Roman" w:eastAsia="Times New Roman" w:hAnsi="Times New Roman" w:cs="Times New Roman"/>
          <w:i/>
          <w:color w:val="FF00FF"/>
          <w:sz w:val="20"/>
          <w:szCs w:val="20"/>
        </w:rPr>
        <w:t>Nollan/Dolan</w:t>
      </w:r>
      <w:r>
        <w:rPr>
          <w:rFonts w:ascii="Times New Roman" w:eastAsia="Times New Roman" w:hAnsi="Times New Roman" w:cs="Times New Roman"/>
          <w:color w:val="FF00FF"/>
          <w:sz w:val="20"/>
          <w:szCs w:val="20"/>
        </w:rPr>
        <w:t xml:space="preserve"> to situations where say no or where want to pay for something (controversial, some think will make difficult for local gov’ts to get mitigation to serve public interests)  </w:t>
      </w:r>
    </w:p>
    <w:p w:rsidR="00E46D95" w:rsidRDefault="00E46D95">
      <w:pPr>
        <w:rPr>
          <w:rFonts w:ascii="Times New Roman" w:eastAsia="Times New Roman" w:hAnsi="Times New Roman" w:cs="Times New Roman"/>
          <w:color w:val="FF00FF"/>
          <w:sz w:val="20"/>
          <w:szCs w:val="20"/>
        </w:rPr>
      </w:pPr>
    </w:p>
    <w:sectPr w:rsidR="00E46D95">
      <w:pgSz w:w="12240" w:h="15840"/>
      <w:pgMar w:top="720" w:right="1080" w:bottom="720" w:left="108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A4C72"/>
    <w:multiLevelType w:val="multilevel"/>
    <w:tmpl w:val="023AA392"/>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2161CB"/>
    <w:multiLevelType w:val="multilevel"/>
    <w:tmpl w:val="FAA63C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262DFA"/>
    <w:multiLevelType w:val="multilevel"/>
    <w:tmpl w:val="2D8E0B9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B8E4E87"/>
    <w:multiLevelType w:val="multilevel"/>
    <w:tmpl w:val="CE66DAC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CC641D"/>
    <w:multiLevelType w:val="multilevel"/>
    <w:tmpl w:val="E05E2CE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F3590B"/>
    <w:multiLevelType w:val="multilevel"/>
    <w:tmpl w:val="89AE6C2E"/>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0B32B10"/>
    <w:multiLevelType w:val="multilevel"/>
    <w:tmpl w:val="8C922C9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7884026"/>
    <w:multiLevelType w:val="multilevel"/>
    <w:tmpl w:val="45F6828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C8323A8"/>
    <w:multiLevelType w:val="multilevel"/>
    <w:tmpl w:val="1B98F028"/>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56D18FD"/>
    <w:multiLevelType w:val="multilevel"/>
    <w:tmpl w:val="93769618"/>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7584F77"/>
    <w:multiLevelType w:val="multilevel"/>
    <w:tmpl w:val="BD2CC08A"/>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A6D0726"/>
    <w:multiLevelType w:val="multilevel"/>
    <w:tmpl w:val="CCBC016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E5D09F2"/>
    <w:multiLevelType w:val="multilevel"/>
    <w:tmpl w:val="673E27C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1086023"/>
    <w:multiLevelType w:val="multilevel"/>
    <w:tmpl w:val="EDBE421E"/>
    <w:lvl w:ilvl="0">
      <w:start w:val="1"/>
      <w:numFmt w:val="upperRoman"/>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AF07E5C"/>
    <w:multiLevelType w:val="multilevel"/>
    <w:tmpl w:val="C73E3B6C"/>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B2312A4"/>
    <w:multiLevelType w:val="multilevel"/>
    <w:tmpl w:val="A4503780"/>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CCA6B8E"/>
    <w:multiLevelType w:val="multilevel"/>
    <w:tmpl w:val="EA1CCD98"/>
    <w:lvl w:ilvl="0">
      <w:start w:val="1"/>
      <w:numFmt w:val="upperRoman"/>
      <w:lvlText w:val="%1."/>
      <w:lvlJc w:val="right"/>
      <w:pPr>
        <w:ind w:left="720" w:hanging="360"/>
      </w:pPr>
      <w:rPr>
        <w:i w:val="0"/>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30F7844"/>
    <w:multiLevelType w:val="multilevel"/>
    <w:tmpl w:val="42A66BB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AA203F3"/>
    <w:multiLevelType w:val="multilevel"/>
    <w:tmpl w:val="4B86C32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F363943"/>
    <w:multiLevelType w:val="multilevel"/>
    <w:tmpl w:val="F232140E"/>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96A23EB"/>
    <w:multiLevelType w:val="multilevel"/>
    <w:tmpl w:val="4CB4FC2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D6E3B95"/>
    <w:multiLevelType w:val="multilevel"/>
    <w:tmpl w:val="2976E53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E321CD4"/>
    <w:multiLevelType w:val="multilevel"/>
    <w:tmpl w:val="305EF178"/>
    <w:lvl w:ilvl="0">
      <w:start w:val="6"/>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9"/>
  </w:num>
  <w:num w:numId="3">
    <w:abstractNumId w:val="12"/>
  </w:num>
  <w:num w:numId="4">
    <w:abstractNumId w:val="6"/>
  </w:num>
  <w:num w:numId="5">
    <w:abstractNumId w:val="3"/>
  </w:num>
  <w:num w:numId="6">
    <w:abstractNumId w:val="14"/>
  </w:num>
  <w:num w:numId="7">
    <w:abstractNumId w:val="2"/>
  </w:num>
  <w:num w:numId="8">
    <w:abstractNumId w:val="19"/>
  </w:num>
  <w:num w:numId="9">
    <w:abstractNumId w:val="17"/>
  </w:num>
  <w:num w:numId="10">
    <w:abstractNumId w:val="10"/>
  </w:num>
  <w:num w:numId="11">
    <w:abstractNumId w:val="20"/>
  </w:num>
  <w:num w:numId="12">
    <w:abstractNumId w:val="1"/>
  </w:num>
  <w:num w:numId="13">
    <w:abstractNumId w:val="7"/>
  </w:num>
  <w:num w:numId="14">
    <w:abstractNumId w:val="11"/>
  </w:num>
  <w:num w:numId="15">
    <w:abstractNumId w:val="15"/>
  </w:num>
  <w:num w:numId="16">
    <w:abstractNumId w:val="8"/>
  </w:num>
  <w:num w:numId="17">
    <w:abstractNumId w:val="16"/>
  </w:num>
  <w:num w:numId="18">
    <w:abstractNumId w:val="21"/>
  </w:num>
  <w:num w:numId="19">
    <w:abstractNumId w:val="22"/>
  </w:num>
  <w:num w:numId="20">
    <w:abstractNumId w:val="4"/>
  </w:num>
  <w:num w:numId="21">
    <w:abstractNumId w:val="0"/>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46D95"/>
    <w:rsid w:val="006F495B"/>
    <w:rsid w:val="00E4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985284"/>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6.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39970</Words>
  <Characters>227834</Characters>
  <Application>Microsoft Office Word</Application>
  <DocSecurity>0</DocSecurity>
  <Lines>1898</Lines>
  <Paragraphs>534</Paragraphs>
  <ScaleCrop>false</ScaleCrop>
  <Company/>
  <LinksUpToDate>false</LinksUpToDate>
  <CharactersWithSpaces>267270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2018-04-10T18:31:00Z</dcterms:created>
  <dcterms:modified xsi:type="dcterms:W3CDTF">2018-04-10T18:32:00Z</dcterms:modified>
</cp:coreProperties>
</file>