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74D" w:rsidRDefault="00047DB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Civil Procedure II Outline</w:t>
      </w:r>
    </w:p>
    <w:p w:rsidR="00047DB3" w:rsidRDefault="00047DB3">
      <w:pPr>
        <w:jc w:val="center"/>
        <w:rPr>
          <w:rFonts w:ascii="Times New Roman" w:eastAsia="Times New Roman" w:hAnsi="Times New Roman" w:cs="Times New Roman"/>
          <w:sz w:val="16"/>
          <w:szCs w:val="16"/>
        </w:rPr>
      </w:pPr>
    </w:p>
    <w:p w:rsidR="00CD674D" w:rsidRDefault="00047DB3">
      <w:pPr>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Spring 2016</w:t>
      </w:r>
    </w:p>
    <w:p w:rsidR="00CD674D" w:rsidRDefault="00CD674D">
      <w:pPr>
        <w:jc w:val="center"/>
        <w:rPr>
          <w:rFonts w:ascii="Times New Roman" w:eastAsia="Times New Roman" w:hAnsi="Times New Roman" w:cs="Times New Roman"/>
          <w:sz w:val="16"/>
          <w:szCs w:val="16"/>
        </w:rPr>
      </w:pPr>
    </w:p>
    <w:p w:rsidR="00CD674D" w:rsidRDefault="00047DB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Discovering the Facts</w:t>
      </w:r>
    </w:p>
    <w:p w:rsidR="00CD674D" w:rsidRDefault="00047DB3">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(CB 457-464, 469-503, </w:t>
      </w:r>
      <w:r>
        <w:rPr>
          <w:rFonts w:ascii="Times New Roman" w:eastAsia="Times New Roman" w:hAnsi="Times New Roman" w:cs="Times New Roman"/>
          <w:i/>
          <w:sz w:val="16"/>
          <w:szCs w:val="16"/>
        </w:rPr>
        <w:t>Stevens</w:t>
      </w:r>
      <w:r>
        <w:rPr>
          <w:rFonts w:ascii="Times New Roman" w:eastAsia="Times New Roman" w:hAnsi="Times New Roman" w:cs="Times New Roman"/>
          <w:sz w:val="16"/>
          <w:szCs w:val="16"/>
        </w:rPr>
        <w:t>, 508-512; FRCP 26-37)</w:t>
      </w:r>
    </w:p>
    <w:p w:rsidR="00CD674D" w:rsidRDefault="00047DB3">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Discovery (two tiers, see below)</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Goal of Discovery: To try to end litigation early formally by settlement or summary judgment or informally by mediation, arbitration, or negotiation</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Tier One: [Required] Initial Disclosures – within 14 days after R.26(f) conference (at least 21 days before</w:t>
      </w:r>
      <w:r>
        <w:rPr>
          <w:rFonts w:ascii="Times New Roman" w:eastAsia="Times New Roman" w:hAnsi="Times New Roman" w:cs="Times New Roman"/>
          <w:sz w:val="20"/>
          <w:szCs w:val="20"/>
        </w:rPr>
        <w:t xml:space="preserve"> R.16(b) scheduling conference)</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26(a)(1): Duty to Disclose; General Provisions Governing Discovery, Initial Disclosure </w:t>
      </w:r>
      <w:r>
        <w:rPr>
          <w:rFonts w:ascii="Times New Roman" w:eastAsia="Times New Roman" w:hAnsi="Times New Roman" w:cs="Times New Roman"/>
          <w:sz w:val="20"/>
          <w:szCs w:val="20"/>
        </w:rPr>
        <w:t xml:space="preserve"> – a party must disclose information that she “may use to support” her claims or defenses</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Must Disclose:</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w:t>
      </w:r>
      <w:r>
        <w:rPr>
          <w:rFonts w:ascii="Times New Roman" w:eastAsia="Times New Roman" w:hAnsi="Times New Roman" w:cs="Times New Roman"/>
          <w:sz w:val="20"/>
          <w:szCs w:val="20"/>
        </w:rPr>
        <w:t xml:space="preserve"> Witnesses (persons)</w:t>
      </w:r>
      <w:r>
        <w:rPr>
          <w:rFonts w:ascii="Times New Roman" w:eastAsia="Times New Roman" w:hAnsi="Times New Roman" w:cs="Times New Roman"/>
          <w:sz w:val="20"/>
          <w:szCs w:val="20"/>
        </w:rPr>
        <w:t xml:space="preserve"> who </w:t>
      </w:r>
      <w:r>
        <w:rPr>
          <w:rFonts w:ascii="Times New Roman" w:eastAsia="Times New Roman" w:hAnsi="Times New Roman" w:cs="Times New Roman"/>
          <w:i/>
          <w:sz w:val="20"/>
          <w:szCs w:val="20"/>
        </w:rPr>
        <w:t>may</w:t>
      </w:r>
      <w:r>
        <w:rPr>
          <w:rFonts w:ascii="Times New Roman" w:eastAsia="Times New Roman" w:hAnsi="Times New Roman" w:cs="Times New Roman"/>
          <w:sz w:val="20"/>
          <w:szCs w:val="20"/>
        </w:rPr>
        <w:t xml:space="preserve"> be used to “support” the disclosing party’s “claims or defenses”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(ii)</w:t>
      </w:r>
      <w:r>
        <w:rPr>
          <w:rFonts w:ascii="Times New Roman" w:eastAsia="Times New Roman" w:hAnsi="Times New Roman" w:cs="Times New Roman"/>
          <w:sz w:val="20"/>
          <w:szCs w:val="20"/>
        </w:rPr>
        <w:t xml:space="preserve"> Documents that </w:t>
      </w:r>
      <w:r>
        <w:rPr>
          <w:rFonts w:ascii="Times New Roman" w:eastAsia="Times New Roman" w:hAnsi="Times New Roman" w:cs="Times New Roman"/>
          <w:i/>
          <w:sz w:val="20"/>
          <w:szCs w:val="20"/>
        </w:rPr>
        <w:t>may</w:t>
      </w:r>
      <w:r>
        <w:rPr>
          <w:rFonts w:ascii="Times New Roman" w:eastAsia="Times New Roman" w:hAnsi="Times New Roman" w:cs="Times New Roman"/>
          <w:sz w:val="20"/>
          <w:szCs w:val="20"/>
        </w:rPr>
        <w:t xml:space="preserve"> be used to “support” the disclosing party’s “claims or defenses”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(iii)</w:t>
      </w:r>
      <w:r>
        <w:rPr>
          <w:rFonts w:ascii="Times New Roman" w:eastAsia="Times New Roman" w:hAnsi="Times New Roman" w:cs="Times New Roman"/>
          <w:sz w:val="20"/>
          <w:szCs w:val="20"/>
        </w:rPr>
        <w:t xml:space="preserve"> Damage calculations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(iv)</w:t>
      </w:r>
      <w:r>
        <w:rPr>
          <w:rFonts w:ascii="Times New Roman" w:eastAsia="Times New Roman" w:hAnsi="Times New Roman" w:cs="Times New Roman"/>
          <w:sz w:val="20"/>
          <w:szCs w:val="20"/>
        </w:rPr>
        <w:t xml:space="preserve"> Liability/indemnity insurance agreements </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Exempt from Required Disclosure: Some types of cases, material used solely for impeachment</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Tier Two: Disclosures Obtainable through Basic Discovery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26(b)(1): [Discovery] Scope in General, </w:t>
      </w:r>
      <w:r>
        <w:rPr>
          <w:rFonts w:ascii="Times New Roman" w:eastAsia="Times New Roman" w:hAnsi="Times New Roman" w:cs="Times New Roman"/>
          <w:sz w:val="20"/>
          <w:szCs w:val="20"/>
        </w:rPr>
        <w:t>parties may obtain discovery regarding any nonprivileged matt</w:t>
      </w:r>
      <w:r>
        <w:rPr>
          <w:rFonts w:ascii="Times New Roman" w:eastAsia="Times New Roman" w:hAnsi="Times New Roman" w:cs="Times New Roman"/>
          <w:sz w:val="20"/>
          <w:szCs w:val="20"/>
        </w:rPr>
        <w:t xml:space="preserve">er that is “relevant to the claim or defense of any party” </w:t>
      </w:r>
      <w:r>
        <w:rPr>
          <w:rFonts w:ascii="Times New Roman" w:eastAsia="Times New Roman" w:hAnsi="Times New Roman" w:cs="Times New Roman"/>
          <w:i/>
          <w:sz w:val="20"/>
          <w:szCs w:val="20"/>
        </w:rPr>
        <w:t xml:space="preserve">and </w:t>
      </w:r>
      <w:r>
        <w:rPr>
          <w:rFonts w:ascii="Times New Roman" w:eastAsia="Times New Roman" w:hAnsi="Times New Roman" w:cs="Times New Roman"/>
          <w:sz w:val="20"/>
          <w:szCs w:val="20"/>
        </w:rPr>
        <w:t xml:space="preserve">“proportional to the needs of the case”; information within this scope need </w:t>
      </w:r>
      <w:r>
        <w:rPr>
          <w:rFonts w:ascii="Times New Roman" w:eastAsia="Times New Roman" w:hAnsi="Times New Roman" w:cs="Times New Roman"/>
          <w:i/>
          <w:sz w:val="20"/>
          <w:szCs w:val="20"/>
        </w:rPr>
        <w:t>not</w:t>
      </w:r>
      <w:r>
        <w:rPr>
          <w:rFonts w:ascii="Times New Roman" w:eastAsia="Times New Roman" w:hAnsi="Times New Roman" w:cs="Times New Roman"/>
          <w:sz w:val="20"/>
          <w:szCs w:val="20"/>
        </w:rPr>
        <w:t xml:space="preserve"> be admissible in evidence to be discoverable; framework: </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“Relevant to [a] claim or defense?,” e.g. whether a</w:t>
      </w:r>
      <w:r>
        <w:rPr>
          <w:rFonts w:ascii="Times New Roman" w:eastAsia="Times New Roman" w:hAnsi="Times New Roman" w:cs="Times New Roman"/>
          <w:sz w:val="20"/>
          <w:szCs w:val="20"/>
        </w:rPr>
        <w:t xml:space="preserve"> party can prove/disprove their claims, three things: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What is the party seeking (what is the request) and what is the party not seeking (to determine irrelevance)?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What is the substantive legal standard of the request?</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What is the claim (what’</w:t>
      </w:r>
      <w:r>
        <w:rPr>
          <w:rFonts w:ascii="Times New Roman" w:eastAsia="Times New Roman" w:hAnsi="Times New Roman" w:cs="Times New Roman"/>
          <w:sz w:val="20"/>
          <w:szCs w:val="20"/>
        </w:rPr>
        <w:t xml:space="preserve">s in the pleadings)? – what has the party alleged and what evidence is needed to establish that claim or defense? </w:t>
      </w:r>
    </w:p>
    <w:p w:rsidR="00CD674D" w:rsidRDefault="00047DB3">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Davis v. Precoat Metals </w:t>
      </w:r>
      <w:r>
        <w:rPr>
          <w:rFonts w:ascii="Times New Roman" w:eastAsia="Times New Roman" w:hAnsi="Times New Roman" w:cs="Times New Roman"/>
          <w:color w:val="FF0000"/>
          <w:sz w:val="20"/>
          <w:szCs w:val="20"/>
          <w:shd w:val="clear" w:color="auto" w:fill="FFF2CC"/>
        </w:rPr>
        <w:t>(ND Ill, 2002)</w:t>
      </w:r>
    </w:p>
    <w:p w:rsidR="00CD674D" w:rsidRDefault="00047DB3">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Request is narrowly enough tailored, </w:t>
      </w:r>
      <w:r>
        <w:rPr>
          <w:rFonts w:ascii="Times New Roman" w:eastAsia="Times New Roman" w:hAnsi="Times New Roman" w:cs="Times New Roman"/>
          <w:b/>
          <w:color w:val="FF0000"/>
          <w:sz w:val="20"/>
          <w:szCs w:val="20"/>
        </w:rPr>
        <w:t>R:</w:t>
      </w:r>
      <w:r>
        <w:rPr>
          <w:rFonts w:ascii="Times New Roman" w:eastAsia="Times New Roman" w:hAnsi="Times New Roman" w:cs="Times New Roman"/>
          <w:color w:val="FF0000"/>
          <w:sz w:val="20"/>
          <w:szCs w:val="20"/>
        </w:rPr>
        <w:t xml:space="preserve"> Relevant because will support the idea that what the plaintiffs are complaining of is true and disproves incompetence or combatting employer’s story</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Relevance is relative – administrative law  further limits relevancy, e.g. judicial review </w:t>
      </w:r>
      <w:r>
        <w:rPr>
          <w:rFonts w:ascii="Times New Roman" w:eastAsia="Times New Roman" w:hAnsi="Times New Roman" w:cs="Times New Roman"/>
          <w:sz w:val="20"/>
          <w:szCs w:val="20"/>
        </w:rPr>
        <w:t>limited to those upon which the action/discharge was based</w:t>
      </w:r>
    </w:p>
    <w:p w:rsidR="00CD674D" w:rsidRDefault="00047DB3">
      <w:pPr>
        <w:numPr>
          <w:ilvl w:val="5"/>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Steffan v. Cheney</w:t>
      </w:r>
      <w:r>
        <w:rPr>
          <w:rFonts w:ascii="Times New Roman" w:eastAsia="Times New Roman" w:hAnsi="Times New Roman" w:cs="Times New Roman"/>
          <w:color w:val="FF0000"/>
          <w:sz w:val="20"/>
          <w:szCs w:val="20"/>
          <w:shd w:val="clear" w:color="auto" w:fill="FFF2CC"/>
        </w:rPr>
        <w:t xml:space="preserve"> (DC Cir, 1990)</w:t>
      </w:r>
      <w:r>
        <w:rPr>
          <w:rFonts w:ascii="Times New Roman" w:eastAsia="Times New Roman" w:hAnsi="Times New Roman" w:cs="Times New Roman"/>
          <w:color w:val="FF0000"/>
          <w:sz w:val="20"/>
          <w:szCs w:val="20"/>
        </w:rPr>
        <w:t xml:space="preserve"> </w:t>
      </w:r>
    </w:p>
    <w:p w:rsidR="00CD674D" w:rsidRDefault="00047DB3">
      <w:pPr>
        <w:ind w:left="43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Irrelevant (relevance is relative), judicial review limited to those upon which the action/discharge was based</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If yes (relevant), “proportional to the needs</w:t>
      </w:r>
      <w:r>
        <w:rPr>
          <w:rFonts w:ascii="Times New Roman" w:eastAsia="Times New Roman" w:hAnsi="Times New Roman" w:cs="Times New Roman"/>
          <w:sz w:val="20"/>
          <w:szCs w:val="20"/>
        </w:rPr>
        <w:t xml:space="preserve"> of the case?” Balancing test (does burden/expense outweigh the benefit), consider:</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importance of the issues at stake in the action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amount in controversy (AIC) (but money doesn’t necessarily matter)</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parties’ relative access to relevant informat</w:t>
      </w:r>
      <w:r>
        <w:rPr>
          <w:rFonts w:ascii="Times New Roman" w:eastAsia="Times New Roman" w:hAnsi="Times New Roman" w:cs="Times New Roman"/>
          <w:sz w:val="20"/>
          <w:szCs w:val="20"/>
        </w:rPr>
        <w:t>ion (when one party has info and doesn’t want to give it up)</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parties’ resources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importance of the discovery in resolving the issues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Whether the burden or expense of the proposed discovery outweighs its likely benefit</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Note: New, courts haven’t deter</w:t>
      </w:r>
      <w:r>
        <w:rPr>
          <w:rFonts w:ascii="Times New Roman" w:eastAsia="Times New Roman" w:hAnsi="Times New Roman" w:cs="Times New Roman"/>
          <w:sz w:val="20"/>
          <w:szCs w:val="20"/>
        </w:rPr>
        <w:t>mined what “proportional” means yet</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Tools of Discovery: Procedures and Methods of Discovery</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Five Sources of Discovery: </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Initial disclosures (FRCP 26(a)(1))</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Production of documents and things; inspection of land (FRCP 34, 45(a)(1)(C)) – request documents, electronic information, objects, entry onto land</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For Parties: Send a request under </w:t>
      </w:r>
      <w:r>
        <w:rPr>
          <w:rFonts w:ascii="Times New Roman" w:eastAsia="Times New Roman" w:hAnsi="Times New Roman" w:cs="Times New Roman"/>
          <w:b/>
          <w:sz w:val="20"/>
          <w:szCs w:val="20"/>
        </w:rPr>
        <w:t>FRCP 34: Producing Documents, Electronically Stored Information, and T</w:t>
      </w:r>
      <w:r>
        <w:rPr>
          <w:rFonts w:ascii="Times New Roman" w:eastAsia="Times New Roman" w:hAnsi="Times New Roman" w:cs="Times New Roman"/>
          <w:b/>
          <w:sz w:val="20"/>
          <w:szCs w:val="20"/>
        </w:rPr>
        <w:t>angible Things, or Entering onto Land, for Inspection and Other Purposes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For Nonparties: Use a subpoena under </w:t>
      </w:r>
      <w:r>
        <w:rPr>
          <w:rFonts w:ascii="Times New Roman" w:eastAsia="Times New Roman" w:hAnsi="Times New Roman" w:cs="Times New Roman"/>
          <w:b/>
          <w:sz w:val="20"/>
          <w:szCs w:val="20"/>
        </w:rPr>
        <w:t>FRCP 45: Subpoena</w:t>
      </w:r>
      <w:r>
        <w:rPr>
          <w:rFonts w:ascii="Times New Roman" w:eastAsia="Times New Roman" w:hAnsi="Times New Roman" w:cs="Times New Roman"/>
          <w:sz w:val="20"/>
          <w:szCs w:val="20"/>
        </w:rPr>
        <w:t xml:space="preserve">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numerical limitation</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Depositions (FRCP 28, 30, 31, 32, 45) – question a witness in person and under oath</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 Nonparties:</w:t>
      </w:r>
      <w:r>
        <w:rPr>
          <w:rFonts w:ascii="Times New Roman" w:eastAsia="Times New Roman" w:hAnsi="Times New Roman" w:cs="Times New Roman"/>
          <w:sz w:val="20"/>
          <w:szCs w:val="20"/>
        </w:rPr>
        <w:t xml:space="preserve"> May take a non-party deposition but must subpoena (R.45); don’t need a subpoena when deposing a party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28: Persons Before Whom Depositions May Be Taken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30: Depositions by Oral Examination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31: Depositions by Written Questions</w:t>
      </w:r>
      <w:r>
        <w:rPr>
          <w:rFonts w:ascii="Times New Roman" w:eastAsia="Times New Roman" w:hAnsi="Times New Roman" w:cs="Times New Roman"/>
          <w:sz w:val="20"/>
          <w:szCs w:val="20"/>
        </w:rPr>
        <w:t xml:space="preserve"> – mostly useles</w:t>
      </w:r>
      <w:r>
        <w:rPr>
          <w:rFonts w:ascii="Times New Roman" w:eastAsia="Times New Roman" w:hAnsi="Times New Roman" w:cs="Times New Roman"/>
          <w:sz w:val="20"/>
          <w:szCs w:val="20"/>
        </w:rPr>
        <w:t>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32: Using Depositions in Court Proceedings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45: Subpoena</w:t>
      </w:r>
      <w:r>
        <w:rPr>
          <w:rFonts w:ascii="Times New Roman" w:eastAsia="Times New Roman" w:hAnsi="Times New Roman" w:cs="Times New Roman"/>
          <w:sz w:val="20"/>
          <w:szCs w:val="20"/>
        </w:rPr>
        <w:t xml:space="preserve">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Limited to 10</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Each: Maximum one day (7 hours)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One shot at a witness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Expensive</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Written interrogatories (FRCP 33) – written questions to another party (cannot be of a non-party), answer under oath</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33: Interrogatories to Parties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Limited to 25 without permission from other party or court</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Can direct them only to </w:t>
      </w:r>
      <w:r>
        <w:rPr>
          <w:rFonts w:ascii="Times New Roman" w:eastAsia="Times New Roman" w:hAnsi="Times New Roman" w:cs="Times New Roman"/>
          <w:i/>
          <w:sz w:val="20"/>
          <w:szCs w:val="20"/>
        </w:rPr>
        <w:t>parties</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Cheap</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Pr>
          <w:rFonts w:ascii="Times New Roman" w:eastAsia="Times New Roman" w:hAnsi="Times New Roman" w:cs="Times New Roman"/>
          <w:sz w:val="20"/>
          <w:szCs w:val="20"/>
        </w:rPr>
        <w:t>) Physical and mental examinations (</w:t>
      </w:r>
      <w:r>
        <w:rPr>
          <w:rFonts w:ascii="Times New Roman" w:eastAsia="Times New Roman" w:hAnsi="Times New Roman" w:cs="Times New Roman"/>
          <w:b/>
          <w:sz w:val="20"/>
          <w:szCs w:val="20"/>
        </w:rPr>
        <w:t>FRCP 35: Physical and Mental Examinations</w:t>
      </w:r>
      <w:r>
        <w:rPr>
          <w:rFonts w:ascii="Times New Roman" w:eastAsia="Times New Roman" w:hAnsi="Times New Roman" w:cs="Times New Roman"/>
          <w:sz w:val="20"/>
          <w:szCs w:val="20"/>
        </w:rPr>
        <w:t>)</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Requests for Admissions – asks a party to admit a relevant fact or contention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36: Requests for Admission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Applies only to parties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Useful for the pending lawsuit only </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Options: Admit; deny categorically; deny in part, and admit or qualify the remainder; can’t admit or deny, and say what; object (with justification)</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Enforcing Discovery Obligations, FRCP 26(g), 37 Sanctions</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26(g): Signing Disclosures and Discovery Req</w:t>
      </w:r>
      <w:r>
        <w:rPr>
          <w:rFonts w:ascii="Times New Roman" w:eastAsia="Times New Roman" w:hAnsi="Times New Roman" w:cs="Times New Roman"/>
          <w:b/>
          <w:sz w:val="20"/>
          <w:szCs w:val="20"/>
        </w:rPr>
        <w:t>uests, Responses, and Objections</w:t>
      </w:r>
      <w:r>
        <w:rPr>
          <w:rFonts w:ascii="Times New Roman" w:eastAsia="Times New Roman" w:hAnsi="Times New Roman" w:cs="Times New Roman"/>
          <w:sz w:val="20"/>
          <w:szCs w:val="20"/>
        </w:rPr>
        <w:t xml:space="preserve"> – requires parties to certify that the discovery request, response, or objection:</w:t>
      </w:r>
    </w:p>
    <w:p w:rsidR="00CD674D" w:rsidRDefault="00047DB3">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consistent with the rules and warranted by law,</w:t>
      </w:r>
    </w:p>
    <w:p w:rsidR="00CD674D" w:rsidRDefault="00047DB3">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 not made for an improper purpose, </w:t>
      </w:r>
      <w:r>
        <w:rPr>
          <w:rFonts w:ascii="Times New Roman" w:eastAsia="Times New Roman" w:hAnsi="Times New Roman" w:cs="Times New Roman"/>
          <w:i/>
          <w:sz w:val="20"/>
          <w:szCs w:val="20"/>
        </w:rPr>
        <w:t>and</w:t>
      </w:r>
    </w:p>
    <w:p w:rsidR="00CD674D" w:rsidRDefault="00047DB3">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not unreasonable or unduly burdensome or expen</w:t>
      </w:r>
      <w:r>
        <w:rPr>
          <w:rFonts w:ascii="Times New Roman" w:eastAsia="Times New Roman" w:hAnsi="Times New Roman" w:cs="Times New Roman"/>
          <w:sz w:val="20"/>
          <w:szCs w:val="20"/>
        </w:rPr>
        <w:t>sive</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 26(g)(3): If violation of this rule without “substantial justification” results in “an appropriate sanction,” usually involving money </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37: Failure to Make Disclosures or to Cooperate in Discovery; Sanctions – </w:t>
      </w:r>
      <w:r>
        <w:rPr>
          <w:rFonts w:ascii="Times New Roman" w:eastAsia="Times New Roman" w:hAnsi="Times New Roman" w:cs="Times New Roman"/>
          <w:sz w:val="20"/>
          <w:szCs w:val="20"/>
        </w:rPr>
        <w:t>an array of sanctions, including m</w:t>
      </w:r>
      <w:r>
        <w:rPr>
          <w:rFonts w:ascii="Times New Roman" w:eastAsia="Times New Roman" w:hAnsi="Times New Roman" w:cs="Times New Roman"/>
          <w:sz w:val="20"/>
          <w:szCs w:val="20"/>
        </w:rPr>
        <w:t>oney, dismissal, default judgment</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FRCP 37(d), (g): Some sanctions imposed as a direct result of the misconduct (i.e. failure to respond to discovery, participate in discovery plan)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FRCP 37(b): Other sanctions apply when a party violates a court order</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Other relevant rules: </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27: Depositions to Perpetuate Testimony</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29: Stipulations About Discovery Procedure</w:t>
      </w:r>
    </w:p>
    <w:p w:rsidR="00CD674D" w:rsidRDefault="00047DB3">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Privilege &amp; Work Product</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Privileged?</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FRCP 26(b)(1) – “parties may obtain discovery regarding any </w:t>
      </w:r>
      <w:r>
        <w:rPr>
          <w:rFonts w:ascii="Times New Roman" w:eastAsia="Times New Roman" w:hAnsi="Times New Roman" w:cs="Times New Roman"/>
          <w:i/>
          <w:sz w:val="20"/>
          <w:szCs w:val="20"/>
        </w:rPr>
        <w:t xml:space="preserve">nonprivileged </w:t>
      </w:r>
      <w:r>
        <w:rPr>
          <w:rFonts w:ascii="Times New Roman" w:eastAsia="Times New Roman" w:hAnsi="Times New Roman" w:cs="Times New Roman"/>
          <w:sz w:val="20"/>
          <w:szCs w:val="20"/>
        </w:rPr>
        <w:t>matter that is relevant to any party’s claim or defense” (may be relevant but still not permitted by rules to obtain)</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Privilege trumps relevance, though not a proxy for what is/isn’t relevant</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Privilege protects sources but does not protect from discovery o</w:t>
      </w:r>
      <w:r>
        <w:rPr>
          <w:rFonts w:ascii="Times New Roman" w:eastAsia="Times New Roman" w:hAnsi="Times New Roman" w:cs="Times New Roman"/>
          <w:sz w:val="20"/>
          <w:szCs w:val="20"/>
        </w:rPr>
        <w:t>f underlying facts</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Privilege can come up any time in discovery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Five major privileges (there are certain values/relationships that the law seeks to protect in pursuit of the social good):</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Self-incrimination</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Attorney-client – protects communications between</w:t>
      </w:r>
      <w:r>
        <w:rPr>
          <w:rFonts w:ascii="Times New Roman" w:eastAsia="Times New Roman" w:hAnsi="Times New Roman" w:cs="Times New Roman"/>
          <w:sz w:val="20"/>
          <w:szCs w:val="20"/>
        </w:rPr>
        <w:t xml:space="preserve"> attorneys and clients in the course of legal representation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 is the “attorney?” Easy to tell who a lawyer is (communication needs to be in the context of legal representation)</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Who is the “client” when the client is a corporation? </w:t>
      </w:r>
      <w:r>
        <w:rPr>
          <w:rFonts w:ascii="Times New Roman" w:eastAsia="Times New Roman" w:hAnsi="Times New Roman" w:cs="Times New Roman"/>
          <w:i/>
          <w:color w:val="FF0000"/>
          <w:sz w:val="20"/>
          <w:szCs w:val="20"/>
        </w:rPr>
        <w:t>Upjohn</w:t>
      </w:r>
      <w:r>
        <w:rPr>
          <w:rFonts w:ascii="Times New Roman" w:eastAsia="Times New Roman" w:hAnsi="Times New Roman" w:cs="Times New Roman"/>
          <w:color w:val="FF0000"/>
          <w:sz w:val="20"/>
          <w:szCs w:val="20"/>
        </w:rPr>
        <w:t xml:space="preserve"> (SCOTUS, 1981)</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“client” not limited to upper management when attorney’s communication with non-management employee is related to the corporation’s legal matter</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Note: Research notes </w:t>
      </w:r>
      <w:r>
        <w:rPr>
          <w:rFonts w:ascii="Times New Roman" w:eastAsia="Times New Roman" w:hAnsi="Times New Roman" w:cs="Times New Roman"/>
          <w:i/>
          <w:sz w:val="20"/>
          <w:szCs w:val="20"/>
        </w:rPr>
        <w:t>not</w:t>
      </w:r>
      <w:r>
        <w:rPr>
          <w:rFonts w:ascii="Times New Roman" w:eastAsia="Times New Roman" w:hAnsi="Times New Roman" w:cs="Times New Roman"/>
          <w:sz w:val="20"/>
          <w:szCs w:val="20"/>
        </w:rPr>
        <w:t xml:space="preserve"> privileged under this  privilege but “privileged” as work product</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Doctor-patient</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Psy</w:t>
      </w:r>
      <w:r>
        <w:rPr>
          <w:rFonts w:ascii="Times New Roman" w:eastAsia="Times New Roman" w:hAnsi="Times New Roman" w:cs="Times New Roman"/>
          <w:sz w:val="20"/>
          <w:szCs w:val="20"/>
        </w:rPr>
        <w:t>chotherapist-patient</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Spouse</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Sources of privilege: State/federal common law, statute, or Constitution – the existence of privilege is often determined by state law, so it can vary, even within the federal system</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 [privileged], has the privilege been wai</w:t>
      </w:r>
      <w:r>
        <w:rPr>
          <w:rFonts w:ascii="Times New Roman" w:eastAsia="Times New Roman" w:hAnsi="Times New Roman" w:cs="Times New Roman"/>
          <w:sz w:val="20"/>
          <w:szCs w:val="20"/>
        </w:rPr>
        <w:t xml:space="preserve">ved [and is the information therefore discoverable]? Privilege can be waived: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Expressly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Through disclosure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By putting the privileged material at issue in the case, by raising it in your cause of action</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cases of accidental disclosure, may use “take back”/”claw back” provision of FRCP 37(b)(5)(B)), often used with massive amount of discovery  </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N [privileged], work product?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26(b)(3)(A): Documents and Tangible Things </w:t>
      </w:r>
      <w:r>
        <w:rPr>
          <w:rFonts w:ascii="Times New Roman" w:eastAsia="Times New Roman" w:hAnsi="Times New Roman" w:cs="Times New Roman"/>
          <w:sz w:val="20"/>
          <w:szCs w:val="20"/>
        </w:rPr>
        <w:t>– Ordinarily, a party may not</w:t>
      </w:r>
      <w:r>
        <w:rPr>
          <w:rFonts w:ascii="Times New Roman" w:eastAsia="Times New Roman" w:hAnsi="Times New Roman" w:cs="Times New Roman"/>
          <w:sz w:val="20"/>
          <w:szCs w:val="20"/>
        </w:rPr>
        <w:t xml:space="preserve"> discover documents and tangible things that are prepared in anticipation of litigation or for trial by or for another party or its representative (including the other party’s attorney, consultant, surety, indemnitor, insurer, or agent).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26(b)(3)(B): Protection against Disclosure</w:t>
      </w:r>
      <w:r>
        <w:rPr>
          <w:rFonts w:ascii="Times New Roman" w:eastAsia="Times New Roman" w:hAnsi="Times New Roman" w:cs="Times New Roman"/>
          <w:sz w:val="20"/>
          <w:szCs w:val="20"/>
        </w:rPr>
        <w:t xml:space="preserve"> – If the court orders discovery of those materials, it must protect against disclosure of the mental impressions, conclusions, opinions, or legal theories of a party’s attorney or other representative concern</w:t>
      </w:r>
      <w:r>
        <w:rPr>
          <w:rFonts w:ascii="Times New Roman" w:eastAsia="Times New Roman" w:hAnsi="Times New Roman" w:cs="Times New Roman"/>
          <w:sz w:val="20"/>
          <w:szCs w:val="20"/>
        </w:rPr>
        <w:t xml:space="preserve">ing the litigation </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Under FRCP 26(b)(3), work product materials may be discoverable if:</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Waived (like privileges) </w:t>
      </w:r>
      <w:r>
        <w:rPr>
          <w:rFonts w:ascii="Times New Roman" w:eastAsia="Times New Roman" w:hAnsi="Times New Roman" w:cs="Times New Roman"/>
          <w:i/>
          <w:sz w:val="20"/>
          <w:szCs w:val="20"/>
        </w:rPr>
        <w:t>or</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(2)(a) R.26(b)(3)(i): They are otherwise discoverable under Rule 26(b)(1) </w:t>
      </w:r>
      <w:r>
        <w:rPr>
          <w:rFonts w:ascii="Times New Roman" w:eastAsia="Times New Roman" w:hAnsi="Times New Roman" w:cs="Times New Roman"/>
          <w:i/>
          <w:sz w:val="20"/>
          <w:szCs w:val="20"/>
        </w:rPr>
        <w:t>and</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 R.26(b)(3)(ii): The party shows that it has substantia</w:t>
      </w:r>
      <w:r>
        <w:rPr>
          <w:rFonts w:ascii="Times New Roman" w:eastAsia="Times New Roman" w:hAnsi="Times New Roman" w:cs="Times New Roman"/>
          <w:sz w:val="20"/>
          <w:szCs w:val="20"/>
        </w:rPr>
        <w:t>l need for the materials to prepare its case and cannot, without undue hardship, obtain their substantial equivalent by other means</w:t>
      </w:r>
    </w:p>
    <w:p w:rsidR="00CD674D" w:rsidRDefault="00047DB3">
      <w:pPr>
        <w:numPr>
          <w:ilvl w:val="1"/>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Hickman v. Taylor</w:t>
      </w:r>
      <w:r>
        <w:rPr>
          <w:rFonts w:ascii="Times New Roman" w:eastAsia="Times New Roman" w:hAnsi="Times New Roman" w:cs="Times New Roman"/>
          <w:color w:val="FF0000"/>
          <w:sz w:val="20"/>
          <w:szCs w:val="20"/>
          <w:shd w:val="clear" w:color="auto" w:fill="FFF2CC"/>
        </w:rPr>
        <w:t xml:space="preserve"> (SCOTUS, 1947)</w:t>
      </w:r>
    </w:p>
    <w:p w:rsidR="00CD674D" w:rsidRDefault="00047DB3">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No discovery (adoption of work product privilege) because other side may have overlooked</w:t>
      </w:r>
      <w:r>
        <w:rPr>
          <w:rFonts w:ascii="Times New Roman" w:eastAsia="Times New Roman" w:hAnsi="Times New Roman" w:cs="Times New Roman"/>
          <w:color w:val="FF0000"/>
          <w:sz w:val="20"/>
          <w:szCs w:val="20"/>
        </w:rPr>
        <w:t xml:space="preserve"> info on who’s important and who’s not, attorney’s decision about who to pick out to their discretion (can’t obtain other attorney’s choices)</w:t>
      </w:r>
    </w:p>
    <w:p w:rsidR="00CD674D" w:rsidRDefault="00047DB3">
      <w:pPr>
        <w:ind w:left="72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May only overcome work product when (1) substantial need and (2) undue hardship</w:t>
      </w:r>
    </w:p>
    <w:p w:rsidR="00CD674D" w:rsidRDefault="00047DB3">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Experts</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Rules Requiring Discovery of Experts</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26(a)(2): Disclosure of Expert Testimony</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(A) </w:t>
      </w:r>
      <w:r>
        <w:rPr>
          <w:rFonts w:ascii="Times New Roman" w:eastAsia="Times New Roman" w:hAnsi="Times New Roman" w:cs="Times New Roman"/>
          <w:sz w:val="20"/>
          <w:szCs w:val="20"/>
        </w:rPr>
        <w:t xml:space="preserve">In addition to the disclosures required by Rule 26(a)(1), a party must disclose to the other parties the </w:t>
      </w:r>
      <w:r>
        <w:rPr>
          <w:rFonts w:ascii="Times New Roman" w:eastAsia="Times New Roman" w:hAnsi="Times New Roman" w:cs="Times New Roman"/>
          <w:i/>
          <w:sz w:val="20"/>
          <w:szCs w:val="20"/>
        </w:rPr>
        <w:t xml:space="preserve">identity </w:t>
      </w:r>
      <w:r>
        <w:rPr>
          <w:rFonts w:ascii="Times New Roman" w:eastAsia="Times New Roman" w:hAnsi="Times New Roman" w:cs="Times New Roman"/>
          <w:sz w:val="20"/>
          <w:szCs w:val="20"/>
        </w:rPr>
        <w:t xml:space="preserve">of any witness it may use at trial to present [expert] </w:t>
      </w:r>
      <w:r>
        <w:rPr>
          <w:rFonts w:ascii="Times New Roman" w:eastAsia="Times New Roman" w:hAnsi="Times New Roman" w:cs="Times New Roman"/>
          <w:sz w:val="20"/>
          <w:szCs w:val="20"/>
        </w:rPr>
        <w:t>evidence</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 xml:space="preserve">This disclosure must be accompanied by a </w:t>
      </w:r>
      <w:r>
        <w:rPr>
          <w:rFonts w:ascii="Times New Roman" w:eastAsia="Times New Roman" w:hAnsi="Times New Roman" w:cs="Times New Roman"/>
          <w:i/>
          <w:sz w:val="20"/>
          <w:szCs w:val="20"/>
        </w:rPr>
        <w:t>written report</w:t>
      </w:r>
      <w:r>
        <w:rPr>
          <w:rFonts w:ascii="Times New Roman" w:eastAsia="Times New Roman" w:hAnsi="Times New Roman" w:cs="Times New Roman"/>
          <w:sz w:val="20"/>
          <w:szCs w:val="20"/>
        </w:rPr>
        <w:t xml:space="preserve"> – prepared and signed by the witness – if the witness is one retained or specially employed to provide expert </w:t>
      </w:r>
      <w:r>
        <w:rPr>
          <w:rFonts w:ascii="Times New Roman" w:eastAsia="Times New Roman" w:hAnsi="Times New Roman" w:cs="Times New Roman"/>
          <w:sz w:val="20"/>
          <w:szCs w:val="20"/>
        </w:rPr>
        <w:lastRenderedPageBreak/>
        <w:t>testimony in the case or one whose duties as the party’s employee regularly i</w:t>
      </w:r>
      <w:r>
        <w:rPr>
          <w:rFonts w:ascii="Times New Roman" w:eastAsia="Times New Roman" w:hAnsi="Times New Roman" w:cs="Times New Roman"/>
          <w:sz w:val="20"/>
          <w:szCs w:val="20"/>
        </w:rPr>
        <w:t>nvolve giving expert testimony</w:t>
      </w:r>
    </w:p>
    <w:p w:rsidR="00CD674D" w:rsidRDefault="00047DB3">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w:t>
      </w:r>
      <w:r>
        <w:rPr>
          <w:rFonts w:ascii="Times New Roman" w:eastAsia="Times New Roman" w:hAnsi="Times New Roman" w:cs="Times New Roman"/>
          <w:sz w:val="20"/>
          <w:szCs w:val="20"/>
        </w:rPr>
        <w:t xml:space="preserve"> [Containing] a complete statement of all opinions the witness will express and the basis and reasons for them</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26(b)(4): Trial Preparation: Experts</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Deposition of an Expert who may Testify: A party may depose any p</w:t>
      </w:r>
      <w:r>
        <w:rPr>
          <w:rFonts w:ascii="Times New Roman" w:eastAsia="Times New Roman" w:hAnsi="Times New Roman" w:cs="Times New Roman"/>
          <w:sz w:val="20"/>
          <w:szCs w:val="20"/>
        </w:rPr>
        <w:t>erson who has been identified as an expert whose opinions may be presented at trial. If Rule 26(a)(2)(B) requires a report from the expert, the deposition may be conducted only after the report is provided.</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Limiting Discovery of Experts, FRCP 26(b)(4):</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Expert Employed Only for Trial Preparation – Ordinarily, a party may not, by interrogatories or deposition, discover facts known or opinions held by an expert who has been retained or specially employed by another party in anticipation of litigation or to</w:t>
      </w:r>
      <w:r>
        <w:rPr>
          <w:rFonts w:ascii="Times New Roman" w:eastAsia="Times New Roman" w:hAnsi="Times New Roman" w:cs="Times New Roman"/>
          <w:sz w:val="20"/>
          <w:szCs w:val="20"/>
        </w:rPr>
        <w:t xml:space="preserve"> prepare for trial and who is </w:t>
      </w:r>
      <w:r>
        <w:rPr>
          <w:rFonts w:ascii="Times New Roman" w:eastAsia="Times New Roman" w:hAnsi="Times New Roman" w:cs="Times New Roman"/>
          <w:i/>
          <w:sz w:val="20"/>
          <w:szCs w:val="20"/>
        </w:rPr>
        <w:t xml:space="preserve">not expected to be called as a witness </w:t>
      </w:r>
      <w:r>
        <w:rPr>
          <w:rFonts w:ascii="Times New Roman" w:eastAsia="Times New Roman" w:hAnsi="Times New Roman" w:cs="Times New Roman"/>
          <w:sz w:val="20"/>
          <w:szCs w:val="20"/>
        </w:rPr>
        <w:t>at trial. But a party may do so only:</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(ii) </w:t>
      </w:r>
      <w:r>
        <w:rPr>
          <w:rFonts w:ascii="Times New Roman" w:eastAsia="Times New Roman" w:hAnsi="Times New Roman" w:cs="Times New Roman"/>
          <w:sz w:val="20"/>
          <w:szCs w:val="20"/>
        </w:rPr>
        <w:t>On showing exceptional circumstances under which it is impracticable for the party to obtain facts or opinions on the same subject by other mean</w:t>
      </w:r>
      <w:r>
        <w:rPr>
          <w:rFonts w:ascii="Times New Roman" w:eastAsia="Times New Roman" w:hAnsi="Times New Roman" w:cs="Times New Roman"/>
          <w:sz w:val="20"/>
          <w:szCs w:val="20"/>
        </w:rPr>
        <w:t>s</w:t>
      </w:r>
    </w:p>
    <w:p w:rsidR="00CD674D" w:rsidRDefault="00047DB3">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Thompson v. The Haskell Co. </w:t>
      </w:r>
      <w:r>
        <w:rPr>
          <w:rFonts w:ascii="Times New Roman" w:eastAsia="Times New Roman" w:hAnsi="Times New Roman" w:cs="Times New Roman"/>
          <w:color w:val="FF0000"/>
          <w:sz w:val="20"/>
          <w:szCs w:val="20"/>
          <w:shd w:val="clear" w:color="auto" w:fill="FFF2CC"/>
        </w:rPr>
        <w:t xml:space="preserve">(MD Fla, 1994) </w:t>
      </w:r>
    </w:p>
    <w:p w:rsidR="00CD674D" w:rsidRDefault="00047DB3">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Discoverable because impracticable for the party to obtain facts or opinions on the same subject by other means  </w:t>
      </w:r>
    </w:p>
    <w:p w:rsidR="00CD674D" w:rsidRDefault="00047DB3">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Interview/examination of sexual assault victim right after assault (could not be obtained by other means)</w:t>
      </w:r>
    </w:p>
    <w:p w:rsidR="00CD674D" w:rsidRDefault="00047DB3">
      <w:pPr>
        <w:numPr>
          <w:ilvl w:val="4"/>
          <w:numId w:val="5"/>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Chiquita International Ltd. v. M/V Bolero Reefer</w:t>
      </w:r>
      <w:r>
        <w:rPr>
          <w:rFonts w:ascii="Times New Roman" w:eastAsia="Times New Roman" w:hAnsi="Times New Roman" w:cs="Times New Roman"/>
          <w:color w:val="FF0000"/>
          <w:sz w:val="20"/>
          <w:szCs w:val="20"/>
          <w:shd w:val="clear" w:color="auto" w:fill="FFF2CC"/>
        </w:rPr>
        <w:t xml:space="preserve"> (SDNY, 1994)</w:t>
      </w:r>
    </w:p>
    <w:p w:rsidR="00CD674D" w:rsidRDefault="00047DB3">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Not discoverable because clearly freeloading, could have obtained information on own </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Three Categories of Witnesses: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Ordinary fact witnesses – expertise but aren’t retained by either party for use in litigation, ordinary discovery rules</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Non-testifying expert witnesses – not discoverable unless exception applies</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Testifying expert witnesses</w:t>
      </w:r>
      <w:r>
        <w:rPr>
          <w:rFonts w:ascii="Times New Roman" w:eastAsia="Times New Roman" w:hAnsi="Times New Roman" w:cs="Times New Roman"/>
          <w:sz w:val="20"/>
          <w:szCs w:val="20"/>
        </w:rPr>
        <w:t xml:space="preserve"> – discoverable</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Retained for testimony – identity and written report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deposed</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Witness who is an expert and will testify using their expertise – identity </w:t>
      </w:r>
      <w:r>
        <w:rPr>
          <w:rFonts w:ascii="Times New Roman" w:eastAsia="Times New Roman" w:hAnsi="Times New Roman" w:cs="Times New Roman"/>
          <w:i/>
          <w:sz w:val="20"/>
          <w:szCs w:val="20"/>
        </w:rPr>
        <w:t xml:space="preserve">and </w:t>
      </w:r>
      <w:r>
        <w:rPr>
          <w:rFonts w:ascii="Times New Roman" w:eastAsia="Times New Roman" w:hAnsi="Times New Roman" w:cs="Times New Roman"/>
          <w:sz w:val="20"/>
          <w:szCs w:val="20"/>
        </w:rPr>
        <w:t xml:space="preserve">summary of facts and opinions going to testify to (but not full report because not retained, no </w:t>
      </w:r>
      <w:r>
        <w:rPr>
          <w:rFonts w:ascii="Times New Roman" w:eastAsia="Times New Roman" w:hAnsi="Times New Roman" w:cs="Times New Roman"/>
          <w:sz w:val="20"/>
          <w:szCs w:val="20"/>
        </w:rPr>
        <w:t>massive obligation to write report and open to deposition)</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Compared to Expert Testimony in Oregon (</w:t>
      </w:r>
      <w:r>
        <w:rPr>
          <w:rFonts w:ascii="Times New Roman" w:eastAsia="Times New Roman" w:hAnsi="Times New Roman" w:cs="Times New Roman"/>
          <w:i/>
          <w:sz w:val="20"/>
          <w:szCs w:val="20"/>
        </w:rPr>
        <w:t>Stevens v. Czerniak</w:t>
      </w:r>
      <w:r>
        <w:rPr>
          <w:rFonts w:ascii="Times New Roman" w:eastAsia="Times New Roman" w:hAnsi="Times New Roman" w:cs="Times New Roman"/>
          <w:sz w:val="20"/>
          <w:szCs w:val="20"/>
        </w:rPr>
        <w:t xml:space="preserve">) – Oregon Supreme Court concludes the trial court order would require disclosure of expert witness identity and substance of testimony, which is </w:t>
      </w:r>
      <w:r>
        <w:rPr>
          <w:rFonts w:ascii="Times New Roman" w:eastAsia="Times New Roman" w:hAnsi="Times New Roman" w:cs="Times New Roman"/>
          <w:i/>
          <w:sz w:val="20"/>
          <w:szCs w:val="20"/>
        </w:rPr>
        <w:t>not</w:t>
      </w:r>
      <w:r>
        <w:rPr>
          <w:rFonts w:ascii="Times New Roman" w:eastAsia="Times New Roman" w:hAnsi="Times New Roman" w:cs="Times New Roman"/>
          <w:sz w:val="20"/>
          <w:szCs w:val="20"/>
        </w:rPr>
        <w:t xml:space="preserve"> permissible under Oregon’s RCP (</w:t>
      </w:r>
      <w:r>
        <w:rPr>
          <w:rFonts w:ascii="Times New Roman" w:eastAsia="Times New Roman" w:hAnsi="Times New Roman" w:cs="Times New Roman"/>
          <w:i/>
          <w:sz w:val="20"/>
          <w:szCs w:val="20"/>
        </w:rPr>
        <w:t xml:space="preserve">but </w:t>
      </w:r>
      <w:r>
        <w:rPr>
          <w:rFonts w:ascii="Times New Roman" w:eastAsia="Times New Roman" w:hAnsi="Times New Roman" w:cs="Times New Roman"/>
          <w:sz w:val="20"/>
          <w:szCs w:val="20"/>
        </w:rPr>
        <w:t xml:space="preserve">under FRCP </w:t>
      </w:r>
      <w:r>
        <w:rPr>
          <w:rFonts w:ascii="Times New Roman" w:eastAsia="Times New Roman" w:hAnsi="Times New Roman" w:cs="Times New Roman"/>
          <w:i/>
          <w:sz w:val="20"/>
          <w:szCs w:val="20"/>
        </w:rPr>
        <w:t xml:space="preserve">would </w:t>
      </w:r>
      <w:r>
        <w:rPr>
          <w:rFonts w:ascii="Times New Roman" w:eastAsia="Times New Roman" w:hAnsi="Times New Roman" w:cs="Times New Roman"/>
          <w:sz w:val="20"/>
          <w:szCs w:val="20"/>
        </w:rPr>
        <w:t>be permissible under tier one required disclosure)</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shd w:val="clear" w:color="auto" w:fill="FFF2CC"/>
        </w:rPr>
        <w:t>St</w:t>
      </w:r>
      <w:r>
        <w:rPr>
          <w:rFonts w:ascii="Times New Roman" w:eastAsia="Times New Roman" w:hAnsi="Times New Roman" w:cs="Times New Roman"/>
          <w:i/>
          <w:color w:val="FF0000"/>
          <w:sz w:val="20"/>
          <w:szCs w:val="20"/>
          <w:shd w:val="clear" w:color="auto" w:fill="FFF2CC"/>
        </w:rPr>
        <w:t>evens v. Czerniak</w:t>
      </w:r>
      <w:r>
        <w:rPr>
          <w:rFonts w:ascii="Times New Roman" w:eastAsia="Times New Roman" w:hAnsi="Times New Roman" w:cs="Times New Roman"/>
          <w:color w:val="FF0000"/>
          <w:sz w:val="20"/>
          <w:szCs w:val="20"/>
          <w:shd w:val="clear" w:color="auto" w:fill="FFF2CC"/>
        </w:rPr>
        <w:t xml:space="preserve"> (Oregon Supreme Court, 2004)</w:t>
      </w:r>
      <w:r>
        <w:rPr>
          <w:rFonts w:ascii="Times New Roman" w:eastAsia="Times New Roman" w:hAnsi="Times New Roman" w:cs="Times New Roman"/>
          <w:color w:val="FF0000"/>
          <w:sz w:val="20"/>
          <w:szCs w:val="20"/>
        </w:rPr>
        <w:t xml:space="preserve"> </w:t>
      </w:r>
    </w:p>
    <w:p w:rsidR="00CD674D" w:rsidRDefault="00047DB3">
      <w:pPr>
        <w:ind w:left="144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No disclosure of experts because Oregon RCP prohibit deposition of a testifying expert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Policy Rationale: </w:t>
      </w:r>
      <w:r>
        <w:rPr>
          <w:rFonts w:ascii="Times New Roman" w:eastAsia="Times New Roman" w:hAnsi="Times New Roman" w:cs="Times New Roman"/>
          <w:color w:val="FF0000"/>
          <w:sz w:val="20"/>
          <w:szCs w:val="20"/>
        </w:rPr>
        <w:t xml:space="preserve">Balancing surprise and freeloading in favor of surprise and disfavor of freeloading </w:t>
      </w:r>
    </w:p>
    <w:p w:rsidR="00CD674D" w:rsidRDefault="00047DB3">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Abuse of Disc</w:t>
      </w:r>
      <w:r>
        <w:rPr>
          <w:rFonts w:ascii="Times New Roman" w:eastAsia="Times New Roman" w:hAnsi="Times New Roman" w:cs="Times New Roman"/>
          <w:sz w:val="20"/>
          <w:szCs w:val="20"/>
        </w:rPr>
        <w:t>overy</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Importance of discovery: Pleading standards low</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Three ways to abuse discovery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Too little, aka “stonewalling”</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Too much, i.e. asking for more than is justified</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Mismatched discovery, i.e. unequal litigation resources</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FRCP 26(g) – By signing, an attorne</w:t>
      </w:r>
      <w:r>
        <w:rPr>
          <w:rFonts w:ascii="Times New Roman" w:eastAsia="Times New Roman" w:hAnsi="Times New Roman" w:cs="Times New Roman"/>
          <w:sz w:val="20"/>
          <w:szCs w:val="20"/>
        </w:rPr>
        <w:t>y or party certifies that to the best of the person’s knowledge, information, and belief formed after a reasonable inquiry:</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With respect to a disclosure, it is complete and correct as of the time it is made; </w:t>
      </w:r>
      <w:r>
        <w:rPr>
          <w:rFonts w:ascii="Times New Roman" w:eastAsia="Times New Roman" w:hAnsi="Times New Roman" w:cs="Times New Roman"/>
          <w:i/>
          <w:sz w:val="20"/>
          <w:szCs w:val="20"/>
        </w:rPr>
        <w:t>and</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With respect to a discovery request, response, or objection, it is:</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w:t>
      </w:r>
      <w:r>
        <w:rPr>
          <w:rFonts w:ascii="Times New Roman" w:eastAsia="Times New Roman" w:hAnsi="Times New Roman" w:cs="Times New Roman"/>
          <w:sz w:val="20"/>
          <w:szCs w:val="20"/>
        </w:rPr>
        <w:t xml:space="preserve"> Consistent with these rules and warranted by existing law or by a nonfrivolous argument for extending, modifying, or reversing existing law, or for establishing new law;</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(ii)</w:t>
      </w:r>
      <w:r>
        <w:rPr>
          <w:rFonts w:ascii="Times New Roman" w:eastAsia="Times New Roman" w:hAnsi="Times New Roman" w:cs="Times New Roman"/>
          <w:sz w:val="20"/>
          <w:szCs w:val="20"/>
        </w:rPr>
        <w:t xml:space="preserve"> Not inter</w:t>
      </w:r>
      <w:r>
        <w:rPr>
          <w:rFonts w:ascii="Times New Roman" w:eastAsia="Times New Roman" w:hAnsi="Times New Roman" w:cs="Times New Roman"/>
          <w:sz w:val="20"/>
          <w:szCs w:val="20"/>
        </w:rPr>
        <w:t xml:space="preserve">posed for any improper purpose, such as to harass, cause unnecessary delay, or needlessly increase the cost of litigation; </w:t>
      </w:r>
      <w:r>
        <w:rPr>
          <w:rFonts w:ascii="Times New Roman" w:eastAsia="Times New Roman" w:hAnsi="Times New Roman" w:cs="Times New Roman"/>
          <w:i/>
          <w:sz w:val="20"/>
          <w:szCs w:val="20"/>
        </w:rPr>
        <w:t>and</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(iii)</w:t>
      </w:r>
      <w:r>
        <w:rPr>
          <w:rFonts w:ascii="Times New Roman" w:eastAsia="Times New Roman" w:hAnsi="Times New Roman" w:cs="Times New Roman"/>
          <w:sz w:val="20"/>
          <w:szCs w:val="20"/>
        </w:rPr>
        <w:t xml:space="preserve"> Neither unreasonable nor unduly burdensome or expensive, considering the needs of the case, prior discovery in the case, th</w:t>
      </w:r>
      <w:r>
        <w:rPr>
          <w:rFonts w:ascii="Times New Roman" w:eastAsia="Times New Roman" w:hAnsi="Times New Roman" w:cs="Times New Roman"/>
          <w:sz w:val="20"/>
          <w:szCs w:val="20"/>
        </w:rPr>
        <w:t>e amount in controversy, and the importance of the issues at stake in the action</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 </w:t>
      </w:r>
      <w:r>
        <w:rPr>
          <w:rFonts w:ascii="Times New Roman" w:eastAsia="Times New Roman" w:hAnsi="Times New Roman" w:cs="Times New Roman"/>
          <w:sz w:val="20"/>
          <w:szCs w:val="20"/>
        </w:rPr>
        <w:t>Sanction for Improper Certification – If certification violates this rule without substantial justification, the court, on motion or on its own, must impose an appropriate</w:t>
      </w:r>
      <w:r>
        <w:rPr>
          <w:rFonts w:ascii="Times New Roman" w:eastAsia="Times New Roman" w:hAnsi="Times New Roman" w:cs="Times New Roman"/>
          <w:sz w:val="20"/>
          <w:szCs w:val="20"/>
        </w:rPr>
        <w:t xml:space="preserve"> sanction on the signer, the party on whose behalf the signed was acting, or both. The sanction may include an order to pay the reasonable expenses, including attorney’s fees, caused by the violation.  </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37: Failure to Make Disclosures or to Cooperate in Discovery; Sanctions </w:t>
      </w:r>
    </w:p>
    <w:p w:rsidR="00CD674D" w:rsidRDefault="00047DB3">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Motion for an Order Compelling Disclosure or Discovery </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Pr>
          <w:rFonts w:ascii="Times New Roman" w:eastAsia="Times New Roman" w:hAnsi="Times New Roman" w:cs="Times New Roman"/>
          <w:sz w:val="20"/>
          <w:szCs w:val="20"/>
        </w:rPr>
        <w:t xml:space="preserve"> In General – On notice to the other parties and all affected persons, a party may move for an order compelling dis</w:t>
      </w:r>
      <w:r>
        <w:rPr>
          <w:rFonts w:ascii="Times New Roman" w:eastAsia="Times New Roman" w:hAnsi="Times New Roman" w:cs="Times New Roman"/>
          <w:sz w:val="20"/>
          <w:szCs w:val="20"/>
        </w:rPr>
        <w:t>closure or discovery. The motion must include a certification that the movant has in good faith conferred or attempted to confer with the person or party failing to make disclosure or discovery in an effort to obtain it without court action.</w:t>
      </w:r>
    </w:p>
    <w:p w:rsidR="00CD674D" w:rsidRDefault="00047DB3">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(3)(B) </w:t>
      </w:r>
      <w:r>
        <w:rPr>
          <w:rFonts w:ascii="Times New Roman" w:eastAsia="Times New Roman" w:hAnsi="Times New Roman" w:cs="Times New Roman"/>
          <w:sz w:val="20"/>
          <w:szCs w:val="20"/>
        </w:rPr>
        <w:t>To Comp</w:t>
      </w:r>
      <w:r>
        <w:rPr>
          <w:rFonts w:ascii="Times New Roman" w:eastAsia="Times New Roman" w:hAnsi="Times New Roman" w:cs="Times New Roman"/>
          <w:sz w:val="20"/>
          <w:szCs w:val="20"/>
        </w:rPr>
        <w:t>el a Discovery Response – A party seeking discovery may move for an order compelling an answer, designation, production, or inspection</w:t>
      </w:r>
    </w:p>
    <w:p w:rsidR="00CD674D" w:rsidRDefault="00047DB3">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26(c):  Protective Orders </w:t>
      </w:r>
    </w:p>
    <w:p w:rsidR="00CD674D" w:rsidRDefault="00CD674D">
      <w:pPr>
        <w:rPr>
          <w:rFonts w:ascii="Times New Roman" w:eastAsia="Times New Roman" w:hAnsi="Times New Roman" w:cs="Times New Roman"/>
          <w:b/>
          <w:sz w:val="20"/>
          <w:szCs w:val="20"/>
        </w:rPr>
      </w:pPr>
    </w:p>
    <w:tbl>
      <w:tblPr>
        <w:tblStyle w:val="a"/>
        <w:tblW w:w="1008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60"/>
        <w:gridCol w:w="3360"/>
        <w:gridCol w:w="3360"/>
      </w:tblGrid>
      <w:tr w:rsidR="00CD674D">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PROTECTION</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DEFINITION</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DISCOVERABLE? HOW?</w:t>
            </w:r>
          </w:p>
        </w:tc>
      </w:tr>
      <w:tr w:rsidR="00CD674D">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Attorney-Client Privilege</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Confidential communi</w:t>
            </w:r>
            <w:r>
              <w:rPr>
                <w:rFonts w:ascii="Times New Roman" w:eastAsia="Times New Roman" w:hAnsi="Times New Roman" w:cs="Times New Roman"/>
                <w:sz w:val="20"/>
                <w:szCs w:val="20"/>
              </w:rPr>
              <w:t>cations between attorney and client about legal advice of any kind</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Waiver</w:t>
            </w:r>
          </w:p>
        </w:tc>
      </w:tr>
      <w:tr w:rsidR="00CD674D">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Work Product</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i/>
                <w:sz w:val="20"/>
                <w:szCs w:val="20"/>
              </w:rPr>
              <w:t>Ordinary Work Product</w:t>
            </w:r>
            <w:r>
              <w:rPr>
                <w:rFonts w:ascii="Times New Roman" w:eastAsia="Times New Roman" w:hAnsi="Times New Roman" w:cs="Times New Roman"/>
                <w:sz w:val="20"/>
                <w:szCs w:val="20"/>
              </w:rPr>
              <w:t>: Documents and tangible things prepared in anticipation of litigation by party or party’s representative</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Waiver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w:t>
            </w:r>
          </w:p>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Must show (exceptions): (1) Substantial need for the materials in preparation of party’s case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(2) unable without undue hardship to get the substantial equivalent by other means</w:t>
            </w:r>
          </w:p>
        </w:tc>
      </w:tr>
      <w:tr w:rsidR="00CD674D">
        <w:tc>
          <w:tcPr>
            <w:tcW w:w="3360" w:type="dxa"/>
            <w:shd w:val="clear" w:color="auto" w:fill="auto"/>
            <w:tcMar>
              <w:top w:w="100" w:type="dxa"/>
              <w:left w:w="100" w:type="dxa"/>
              <w:bottom w:w="100" w:type="dxa"/>
              <w:right w:w="100" w:type="dxa"/>
            </w:tcMar>
          </w:tcPr>
          <w:p w:rsidR="00CD674D" w:rsidRDefault="00CD674D">
            <w:pPr>
              <w:widowControl w:val="0"/>
              <w:spacing w:line="240" w:lineRule="auto"/>
              <w:rPr>
                <w:rFonts w:ascii="Times New Roman" w:eastAsia="Times New Roman" w:hAnsi="Times New Roman" w:cs="Times New Roman"/>
                <w:sz w:val="20"/>
                <w:szCs w:val="20"/>
              </w:rPr>
            </w:pP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i/>
                <w:sz w:val="20"/>
                <w:szCs w:val="20"/>
              </w:rPr>
              <w:t>Opinion Work Product</w:t>
            </w:r>
            <w:r>
              <w:rPr>
                <w:rFonts w:ascii="Times New Roman" w:eastAsia="Times New Roman" w:hAnsi="Times New Roman" w:cs="Times New Roman"/>
                <w:sz w:val="20"/>
                <w:szCs w:val="20"/>
              </w:rPr>
              <w:t>: Mental impressions, conclusions, opinions, or legal</w:t>
            </w:r>
            <w:r>
              <w:rPr>
                <w:rFonts w:ascii="Times New Roman" w:eastAsia="Times New Roman" w:hAnsi="Times New Roman" w:cs="Times New Roman"/>
                <w:sz w:val="20"/>
                <w:szCs w:val="20"/>
              </w:rPr>
              <w:t xml:space="preserve"> theories of attorney or other representative of a party</w:t>
            </w:r>
          </w:p>
        </w:tc>
        <w:tc>
          <w:tcPr>
            <w:tcW w:w="336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Probably not discoverable, FRCP 26(b)(3): “Court </w:t>
            </w:r>
            <w:r>
              <w:rPr>
                <w:rFonts w:ascii="Times New Roman" w:eastAsia="Times New Roman" w:hAnsi="Times New Roman" w:cs="Times New Roman"/>
                <w:i/>
                <w:sz w:val="20"/>
                <w:szCs w:val="20"/>
              </w:rPr>
              <w:t>must</w:t>
            </w:r>
            <w:r>
              <w:rPr>
                <w:rFonts w:ascii="Times New Roman" w:eastAsia="Times New Roman" w:hAnsi="Times New Roman" w:cs="Times New Roman"/>
                <w:sz w:val="20"/>
                <w:szCs w:val="20"/>
              </w:rPr>
              <w:t xml:space="preserve"> protect against disclosure”</w:t>
            </w:r>
          </w:p>
        </w:tc>
      </w:tr>
    </w:tbl>
    <w:p w:rsidR="00CD674D" w:rsidRDefault="00CD674D">
      <w:pPr>
        <w:rPr>
          <w:rFonts w:ascii="Times New Roman" w:eastAsia="Times New Roman" w:hAnsi="Times New Roman" w:cs="Times New Roman"/>
          <w:b/>
          <w:sz w:val="20"/>
          <w:szCs w:val="20"/>
        </w:rPr>
      </w:pPr>
    </w:p>
    <w:p w:rsidR="00CD674D" w:rsidRDefault="00047DB3">
      <w:pPr>
        <w:spacing w:line="240" w:lineRule="auto"/>
        <w:ind w:left="720"/>
        <w:rPr>
          <w:rFonts w:ascii="Times New Roman" w:eastAsia="Times New Roman" w:hAnsi="Times New Roman" w:cs="Times New Roman"/>
          <w:sz w:val="20"/>
          <w:szCs w:val="20"/>
        </w:rPr>
      </w:pPr>
      <w:r>
        <w:rPr>
          <w:noProof/>
        </w:rPr>
        <w:lastRenderedPageBreak/>
        <mc:AlternateContent>
          <mc:Choice Requires="wpg">
            <w:drawing>
              <wp:anchor distT="114300" distB="114300" distL="114300" distR="114300" simplePos="0" relativeHeight="251658240" behindDoc="1" locked="0" layoutInCell="1" hidden="0" allowOverlap="1">
                <wp:simplePos x="0" y="0"/>
                <wp:positionH relativeFrom="margin">
                  <wp:posOffset>254000</wp:posOffset>
                </wp:positionH>
                <wp:positionV relativeFrom="paragraph">
                  <wp:posOffset>0</wp:posOffset>
                </wp:positionV>
                <wp:extent cx="5579533" cy="3511719"/>
                <wp:effectExtent l="0" t="0" r="0" b="0"/>
                <wp:wrapTopAndBottom distT="114300" distB="114300"/>
                <wp:docPr id="2" name="Group 2"/>
                <wp:cNvGraphicFramePr/>
                <a:graphic xmlns:a="http://schemas.openxmlformats.org/drawingml/2006/main">
                  <a:graphicData uri="http://schemas.microsoft.com/office/word/2010/wordprocessingGroup">
                    <wpg:wgp>
                      <wpg:cNvGrpSpPr/>
                      <wpg:grpSpPr>
                        <a:xfrm>
                          <a:off x="0" y="0"/>
                          <a:ext cx="5579533" cy="3511719"/>
                          <a:chOff x="620175" y="386075"/>
                          <a:chExt cx="6808875" cy="4295925"/>
                        </a:xfrm>
                      </wpg:grpSpPr>
                      <wps:wsp>
                        <wps:cNvPr id="1" name="Text Box 1"/>
                        <wps:cNvSpPr txBox="1"/>
                        <wps:spPr>
                          <a:xfrm>
                            <a:off x="2705100" y="386075"/>
                            <a:ext cx="2171700" cy="3906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Fact Witness or Expert Witness?</w:t>
                              </w:r>
                            </w:p>
                          </w:txbxContent>
                        </wps:txbx>
                        <wps:bodyPr spcFirstLastPara="1" wrap="square" lIns="91425" tIns="91425" rIns="91425" bIns="91425" anchor="t" anchorCtr="0"/>
                      </wps:wsp>
                      <wps:wsp>
                        <wps:cNvPr id="3" name="Text Box 3"/>
                        <wps:cNvSpPr txBox="1"/>
                        <wps:spPr>
                          <a:xfrm>
                            <a:off x="1862175" y="995675"/>
                            <a:ext cx="1057200" cy="3906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Fact Witness</w:t>
                              </w:r>
                            </w:p>
                          </w:txbxContent>
                        </wps:txbx>
                        <wps:bodyPr spcFirstLastPara="1" wrap="square" lIns="91425" tIns="91425" rIns="91425" bIns="91425" anchor="t" anchorCtr="0"/>
                      </wps:wsp>
                      <wps:wsp>
                        <wps:cNvPr id="4" name="Text Box 4"/>
                        <wps:cNvSpPr txBox="1"/>
                        <wps:spPr>
                          <a:xfrm>
                            <a:off x="4605375" y="995675"/>
                            <a:ext cx="1581000" cy="5430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Expert Witness: Expert in Field</w:t>
                              </w:r>
                            </w:p>
                          </w:txbxContent>
                        </wps:txbx>
                        <wps:bodyPr spcFirstLastPara="1" wrap="square" lIns="91425" tIns="91425" rIns="91425" bIns="91425" anchor="t" anchorCtr="0"/>
                      </wps:wsp>
                      <wps:wsp>
                        <wps:cNvPr id="5" name="Text Box 5"/>
                        <wps:cNvSpPr txBox="1"/>
                        <wps:spPr>
                          <a:xfrm>
                            <a:off x="1600275" y="1605275"/>
                            <a:ext cx="1581000" cy="5430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Regular discovery rules apply</w:t>
                              </w:r>
                            </w:p>
                          </w:txbxContent>
                        </wps:txbx>
                        <wps:bodyPr spcFirstLastPara="1" wrap="square" lIns="91425" tIns="91425" rIns="91425" bIns="91425" anchor="t" anchorCtr="0"/>
                      </wps:wsp>
                      <wps:wsp>
                        <wps:cNvPr id="6" name="Text Box 6"/>
                        <wps:cNvSpPr txBox="1"/>
                        <wps:spPr>
                          <a:xfrm>
                            <a:off x="4029075" y="1760063"/>
                            <a:ext cx="2733600" cy="6954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Is expert someone who party may use at trial to present expert evidence? (FRCP 26(a)(2))</w:t>
                              </w:r>
                            </w:p>
                          </w:txbxContent>
                        </wps:txbx>
                        <wps:bodyPr spcFirstLastPara="1" wrap="square" lIns="91425" tIns="91425" rIns="91425" bIns="91425" anchor="t" anchorCtr="0"/>
                      </wps:wsp>
                      <wps:wsp>
                        <wps:cNvPr id="7" name="Text Box 7"/>
                        <wps:cNvSpPr txBox="1"/>
                        <wps:spPr>
                          <a:xfrm>
                            <a:off x="5324250" y="2586000"/>
                            <a:ext cx="2104800" cy="5430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No, retained for trial prep, is a non-testifying expert</w:t>
                              </w:r>
                            </w:p>
                          </w:txbxContent>
                        </wps:txbx>
                        <wps:bodyPr spcFirstLastPara="1" wrap="square" lIns="91425" tIns="91425" rIns="91425" bIns="91425" anchor="t" anchorCtr="0"/>
                      </wps:wsp>
                      <wps:wsp>
                        <wps:cNvPr id="8" name="Text Box 8"/>
                        <wps:cNvSpPr txBox="1"/>
                        <wps:spPr>
                          <a:xfrm>
                            <a:off x="2124075" y="2509800"/>
                            <a:ext cx="1528800" cy="3906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Yes, testifying expert</w:t>
                              </w:r>
                            </w:p>
                          </w:txbxContent>
                        </wps:txbx>
                        <wps:bodyPr spcFirstLastPara="1" wrap="square" lIns="91425" tIns="91425" rIns="91425" bIns="91425" anchor="t" anchorCtr="0"/>
                      </wps:wsp>
                      <wps:wsp>
                        <wps:cNvPr id="9" name="Text Box 9"/>
                        <wps:cNvSpPr txBox="1"/>
                        <wps:spPr>
                          <a:xfrm>
                            <a:off x="1939575" y="3057838"/>
                            <a:ext cx="1897800" cy="5430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Retained for the purpose of providing testimony?</w:t>
                              </w:r>
                            </w:p>
                          </w:txbxContent>
                        </wps:txbx>
                        <wps:bodyPr spcFirstLastPara="1" wrap="square" lIns="91425" tIns="91425" rIns="91425" bIns="91425" anchor="t" anchorCtr="0"/>
                      </wps:wsp>
                      <wps:wsp>
                        <wps:cNvPr id="10" name="Text Box 10"/>
                        <wps:cNvSpPr txBox="1"/>
                        <wps:spPr>
                          <a:xfrm>
                            <a:off x="620175" y="3758300"/>
                            <a:ext cx="1999200" cy="9237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Yes, required disclosures: I</w:t>
                              </w:r>
                              <w:r>
                                <w:rPr>
                                  <w:rFonts w:ascii="Times New Roman" w:eastAsia="Times New Roman" w:hAnsi="Times New Roman" w:cs="Times New Roman"/>
                                  <w:sz w:val="24"/>
                                </w:rPr>
                                <w:t>dentity and written report of witness (FRCP 26(a)(2)(A), (B))</w:t>
                              </w:r>
                            </w:p>
                          </w:txbxContent>
                        </wps:txbx>
                        <wps:bodyPr spcFirstLastPara="1" wrap="square" lIns="91425" tIns="91425" rIns="91425" bIns="91425" anchor="t" anchorCtr="0"/>
                      </wps:wsp>
                      <wps:wsp>
                        <wps:cNvPr id="11" name="Text Box 11"/>
                        <wps:cNvSpPr txBox="1"/>
                        <wps:spPr>
                          <a:xfrm>
                            <a:off x="3100388" y="3758300"/>
                            <a:ext cx="2104800" cy="9237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No, like a fact witness, required disclosures: Identity and summary of facts and opinions (FRCP 26(a)(2)(C))</w:t>
                              </w:r>
                            </w:p>
                          </w:txbxContent>
                        </wps:txbx>
                        <wps:bodyPr spcFirstLastPara="1" wrap="square" lIns="91425" tIns="91425" rIns="91425" bIns="91425" anchor="t" anchorCtr="0"/>
                      </wps:wsp>
                      <wps:wsp>
                        <wps:cNvPr id="12" name="Text Box 12"/>
                        <wps:cNvSpPr txBox="1"/>
                        <wps:spPr>
                          <a:xfrm>
                            <a:off x="5324250" y="3286454"/>
                            <a:ext cx="2104800" cy="695400"/>
                          </a:xfrm>
                          <a:prstGeom prst="rect">
                            <a:avLst/>
                          </a:prstGeom>
                          <a:noFill/>
                          <a:ln w="9525" cap="flat" cmpd="sng">
                            <a:solidFill>
                              <a:srgbClr val="000000"/>
                            </a:solidFill>
                            <a:prstDash val="solid"/>
                            <a:round/>
                            <a:headEnd type="none" w="med" len="med"/>
                            <a:tailEnd type="none" w="med" len="med"/>
                          </a:ln>
                        </wps:spPr>
                        <wps:txbx>
                          <w:txbxContent>
                            <w:p w:rsidR="00CD674D" w:rsidRDefault="00047DB3">
                              <w:pPr>
                                <w:spacing w:line="240" w:lineRule="auto"/>
                                <w:jc w:val="center"/>
                                <w:textDirection w:val="btLr"/>
                              </w:pPr>
                              <w:r>
                                <w:rPr>
                                  <w:rFonts w:ascii="Times New Roman" w:eastAsia="Times New Roman" w:hAnsi="Times New Roman" w:cs="Times New Roman"/>
                                  <w:sz w:val="24"/>
                                </w:rPr>
                                <w:t xml:space="preserve">Not discoverable </w:t>
                              </w:r>
                              <w:r>
                                <w:rPr>
                                  <w:rFonts w:ascii="Times New Roman" w:eastAsia="Times New Roman" w:hAnsi="Times New Roman" w:cs="Times New Roman"/>
                                  <w:i/>
                                  <w:sz w:val="24"/>
                                </w:rPr>
                                <w:t>unless</w:t>
                              </w:r>
                              <w:r>
                                <w:rPr>
                                  <w:rFonts w:ascii="Times New Roman" w:eastAsia="Times New Roman" w:hAnsi="Times New Roman" w:cs="Times New Roman"/>
                                  <w:sz w:val="24"/>
                                </w:rPr>
                                <w:t xml:space="preserve"> show exceptional circumstance (FRCP 26(b)(4)(D))</w:t>
                              </w:r>
                            </w:p>
                          </w:txbxContent>
                        </wps:txbx>
                        <wps:bodyPr spcFirstLastPara="1" wrap="square" lIns="91425" tIns="91425" rIns="91425" bIns="91425" anchor="t" anchorCtr="0"/>
                      </wps:wsp>
                      <wps:wsp>
                        <wps:cNvPr id="13" name="Straight Arrow Connector 13"/>
                        <wps:cNvCnPr/>
                        <wps:spPr>
                          <a:xfrm flipH="1">
                            <a:off x="2886000" y="805175"/>
                            <a:ext cx="771600" cy="162000"/>
                          </a:xfrm>
                          <a:prstGeom prst="straightConnector1">
                            <a:avLst/>
                          </a:prstGeom>
                          <a:noFill/>
                          <a:ln w="9525" cap="flat" cmpd="sng">
                            <a:solidFill>
                              <a:srgbClr val="000000"/>
                            </a:solidFill>
                            <a:prstDash val="solid"/>
                            <a:round/>
                            <a:headEnd type="none" w="lg" len="lg"/>
                            <a:tailEnd type="triangle" w="lg" len="lg"/>
                          </a:ln>
                        </wps:spPr>
                        <wps:bodyPr/>
                      </wps:wsp>
                      <wps:wsp>
                        <wps:cNvPr id="14" name="Straight Arrow Connector 14"/>
                        <wps:cNvCnPr/>
                        <wps:spPr>
                          <a:xfrm>
                            <a:off x="3652875" y="805175"/>
                            <a:ext cx="1014300" cy="133500"/>
                          </a:xfrm>
                          <a:prstGeom prst="straightConnector1">
                            <a:avLst/>
                          </a:prstGeom>
                          <a:noFill/>
                          <a:ln w="9525" cap="flat" cmpd="sng">
                            <a:solidFill>
                              <a:srgbClr val="000000"/>
                            </a:solidFill>
                            <a:prstDash val="solid"/>
                            <a:round/>
                            <a:headEnd type="none" w="lg" len="lg"/>
                            <a:tailEnd type="triangle" w="lg" len="lg"/>
                          </a:ln>
                        </wps:spPr>
                        <wps:bodyPr/>
                      </wps:wsp>
                      <wps:wsp>
                        <wps:cNvPr id="15" name="Straight Arrow Connector 15"/>
                        <wps:cNvCnPr/>
                        <wps:spPr>
                          <a:xfrm>
                            <a:off x="2390775" y="1386275"/>
                            <a:ext cx="0" cy="219000"/>
                          </a:xfrm>
                          <a:prstGeom prst="straightConnector1">
                            <a:avLst/>
                          </a:prstGeom>
                          <a:noFill/>
                          <a:ln w="9525" cap="flat" cmpd="sng">
                            <a:solidFill>
                              <a:srgbClr val="000000"/>
                            </a:solidFill>
                            <a:prstDash val="solid"/>
                            <a:round/>
                            <a:headEnd type="none" w="lg" len="lg"/>
                            <a:tailEnd type="triangle" w="lg" len="lg"/>
                          </a:ln>
                        </wps:spPr>
                        <wps:bodyPr/>
                      </wps:wsp>
                      <wps:wsp>
                        <wps:cNvPr id="16" name="Straight Arrow Connector 16"/>
                        <wps:cNvCnPr/>
                        <wps:spPr>
                          <a:xfrm>
                            <a:off x="5395875" y="1538663"/>
                            <a:ext cx="0" cy="221400"/>
                          </a:xfrm>
                          <a:prstGeom prst="straightConnector1">
                            <a:avLst/>
                          </a:prstGeom>
                          <a:noFill/>
                          <a:ln w="9525" cap="flat" cmpd="sng">
                            <a:solidFill>
                              <a:srgbClr val="000000"/>
                            </a:solidFill>
                            <a:prstDash val="solid"/>
                            <a:round/>
                            <a:headEnd type="none" w="lg" len="lg"/>
                            <a:tailEnd type="triangle" w="lg" len="lg"/>
                          </a:ln>
                        </wps:spPr>
                        <wps:bodyPr/>
                      </wps:wsp>
                      <wps:wsp>
                        <wps:cNvPr id="17" name="Straight Arrow Connector 17"/>
                        <wps:cNvCnPr/>
                        <wps:spPr>
                          <a:xfrm>
                            <a:off x="5829300" y="2472050"/>
                            <a:ext cx="209700" cy="104700"/>
                          </a:xfrm>
                          <a:prstGeom prst="straightConnector1">
                            <a:avLst/>
                          </a:prstGeom>
                          <a:noFill/>
                          <a:ln w="9525" cap="flat" cmpd="sng">
                            <a:solidFill>
                              <a:srgbClr val="000000"/>
                            </a:solidFill>
                            <a:prstDash val="solid"/>
                            <a:round/>
                            <a:headEnd type="none" w="lg" len="lg"/>
                            <a:tailEnd type="triangle" w="lg" len="lg"/>
                          </a:ln>
                        </wps:spPr>
                        <wps:bodyPr/>
                      </wps:wsp>
                      <wps:wsp>
                        <wps:cNvPr id="18" name="Straight Arrow Connector 18"/>
                        <wps:cNvCnPr/>
                        <wps:spPr>
                          <a:xfrm flipH="1">
                            <a:off x="3652875" y="2472000"/>
                            <a:ext cx="995400" cy="233100"/>
                          </a:xfrm>
                          <a:prstGeom prst="straightConnector1">
                            <a:avLst/>
                          </a:prstGeom>
                          <a:noFill/>
                          <a:ln w="9525" cap="flat" cmpd="sng">
                            <a:solidFill>
                              <a:srgbClr val="000000"/>
                            </a:solidFill>
                            <a:prstDash val="solid"/>
                            <a:round/>
                            <a:headEnd type="none" w="lg" len="lg"/>
                            <a:tailEnd type="triangle" w="lg" len="lg"/>
                          </a:ln>
                        </wps:spPr>
                        <wps:bodyPr/>
                      </wps:wsp>
                      <wps:wsp>
                        <wps:cNvPr id="19" name="Straight Arrow Connector 19"/>
                        <wps:cNvCnPr/>
                        <wps:spPr>
                          <a:xfrm>
                            <a:off x="6376650" y="3129000"/>
                            <a:ext cx="0" cy="157500"/>
                          </a:xfrm>
                          <a:prstGeom prst="straightConnector1">
                            <a:avLst/>
                          </a:prstGeom>
                          <a:noFill/>
                          <a:ln w="9525" cap="flat" cmpd="sng">
                            <a:solidFill>
                              <a:srgbClr val="000000"/>
                            </a:solidFill>
                            <a:prstDash val="solid"/>
                            <a:round/>
                            <a:headEnd type="none" w="lg" len="lg"/>
                            <a:tailEnd type="triangle" w="lg" len="lg"/>
                          </a:ln>
                        </wps:spPr>
                        <wps:bodyPr/>
                      </wps:wsp>
                      <wps:wsp>
                        <wps:cNvPr id="20" name="Straight Arrow Connector 20"/>
                        <wps:cNvCnPr/>
                        <wps:spPr>
                          <a:xfrm>
                            <a:off x="2888475" y="2900338"/>
                            <a:ext cx="0" cy="157500"/>
                          </a:xfrm>
                          <a:prstGeom prst="straightConnector1">
                            <a:avLst/>
                          </a:prstGeom>
                          <a:noFill/>
                          <a:ln w="9525" cap="flat" cmpd="sng">
                            <a:solidFill>
                              <a:srgbClr val="000000"/>
                            </a:solidFill>
                            <a:prstDash val="solid"/>
                            <a:round/>
                            <a:headEnd type="none" w="lg" len="lg"/>
                            <a:tailEnd type="triangle" w="lg" len="lg"/>
                          </a:ln>
                        </wps:spPr>
                        <wps:bodyPr/>
                      </wps:wsp>
                      <wps:wsp>
                        <wps:cNvPr id="21" name="Straight Arrow Connector 21"/>
                        <wps:cNvCnPr/>
                        <wps:spPr>
                          <a:xfrm flipH="1">
                            <a:off x="2609775" y="3600838"/>
                            <a:ext cx="278700" cy="166500"/>
                          </a:xfrm>
                          <a:prstGeom prst="straightConnector1">
                            <a:avLst/>
                          </a:prstGeom>
                          <a:noFill/>
                          <a:ln w="9525" cap="flat" cmpd="sng">
                            <a:solidFill>
                              <a:srgbClr val="000000"/>
                            </a:solidFill>
                            <a:prstDash val="solid"/>
                            <a:round/>
                            <a:headEnd type="none" w="lg" len="lg"/>
                            <a:tailEnd type="triangle" w="lg" len="lg"/>
                          </a:ln>
                        </wps:spPr>
                        <wps:bodyPr/>
                      </wps:wsp>
                      <wps:wsp>
                        <wps:cNvPr id="22" name="Straight Arrow Connector 22"/>
                        <wps:cNvCnPr/>
                        <wps:spPr>
                          <a:xfrm>
                            <a:off x="2888475" y="3600838"/>
                            <a:ext cx="216600" cy="176100"/>
                          </a:xfrm>
                          <a:prstGeom prst="straightConnector1">
                            <a:avLst/>
                          </a:prstGeom>
                          <a:noFill/>
                          <a:ln w="9525" cap="flat" cmpd="sng">
                            <a:solidFill>
                              <a:srgbClr val="000000"/>
                            </a:solidFill>
                            <a:prstDash val="solid"/>
                            <a:round/>
                            <a:headEnd type="none" w="lg" len="lg"/>
                            <a:tailEnd type="triangle" w="lg" len="lg"/>
                          </a:ln>
                        </wps:spPr>
                        <wps:bodyPr/>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posOffset>254000</wp:posOffset>
                </wp:positionH>
                <wp:positionV relativeFrom="paragraph">
                  <wp:posOffset>0</wp:posOffset>
                </wp:positionV>
                <wp:extent cx="5579533" cy="3511719"/>
                <wp:effectExtent b="0" l="0" r="0" t="0"/>
                <wp:wrapTopAndBottom distB="114300" distT="114300"/>
                <wp:docPr id="2"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5579533" cy="3511719"/>
                        </a:xfrm>
                        <a:prstGeom prst="rect"/>
                        <a:ln/>
                      </pic:spPr>
                    </pic:pic>
                  </a:graphicData>
                </a:graphic>
              </wp:anchor>
            </w:drawing>
          </mc:Fallback>
        </mc:AlternateContent>
      </w:r>
    </w:p>
    <w:p w:rsidR="00CD674D" w:rsidRDefault="00CD674D">
      <w:pPr>
        <w:spacing w:line="240" w:lineRule="auto"/>
        <w:ind w:left="720"/>
        <w:rPr>
          <w:rFonts w:ascii="Times New Roman" w:eastAsia="Times New Roman" w:hAnsi="Times New Roman" w:cs="Times New Roman"/>
          <w:sz w:val="20"/>
          <w:szCs w:val="20"/>
        </w:rPr>
      </w:pPr>
    </w:p>
    <w:p w:rsidR="00CD674D" w:rsidRDefault="00CD674D">
      <w:pPr>
        <w:spacing w:line="240" w:lineRule="auto"/>
        <w:ind w:left="720"/>
        <w:rPr>
          <w:rFonts w:ascii="Times New Roman" w:eastAsia="Times New Roman" w:hAnsi="Times New Roman" w:cs="Times New Roman"/>
          <w:sz w:val="20"/>
          <w:szCs w:val="20"/>
        </w:rPr>
      </w:pPr>
    </w:p>
    <w:p w:rsidR="00CD674D" w:rsidRDefault="00CD674D">
      <w:pPr>
        <w:spacing w:line="240" w:lineRule="auto"/>
        <w:ind w:left="720"/>
        <w:rPr>
          <w:rFonts w:ascii="Times New Roman" w:eastAsia="Times New Roman" w:hAnsi="Times New Roman" w:cs="Times New Roman"/>
          <w:sz w:val="20"/>
          <w:szCs w:val="20"/>
        </w:rPr>
      </w:pPr>
    </w:p>
    <w:p w:rsidR="00CD674D" w:rsidRDefault="00CD674D">
      <w:pPr>
        <w:spacing w:line="240" w:lineRule="auto"/>
        <w:ind w:left="720"/>
        <w:rPr>
          <w:rFonts w:ascii="Times New Roman" w:eastAsia="Times New Roman" w:hAnsi="Times New Roman" w:cs="Times New Roman"/>
          <w:sz w:val="20"/>
          <w:szCs w:val="20"/>
        </w:rPr>
      </w:pPr>
    </w:p>
    <w:p w:rsidR="00CD674D" w:rsidRDefault="00CD674D">
      <w:pPr>
        <w:spacing w:line="240" w:lineRule="auto"/>
        <w:ind w:left="720"/>
        <w:rPr>
          <w:rFonts w:ascii="Times New Roman" w:eastAsia="Times New Roman" w:hAnsi="Times New Roman" w:cs="Times New Roman"/>
          <w:sz w:val="20"/>
          <w:szCs w:val="20"/>
        </w:rPr>
      </w:pPr>
    </w:p>
    <w:p w:rsidR="00CD674D" w:rsidRDefault="00CD674D">
      <w:pPr>
        <w:spacing w:line="240" w:lineRule="auto"/>
        <w:ind w:left="720"/>
        <w:rPr>
          <w:rFonts w:ascii="Times New Roman" w:eastAsia="Times New Roman" w:hAnsi="Times New Roman" w:cs="Times New Roman"/>
          <w:sz w:val="20"/>
          <w:szCs w:val="20"/>
        </w:rPr>
      </w:pPr>
    </w:p>
    <w:tbl>
      <w:tblPr>
        <w:tblStyle w:val="a0"/>
        <w:tblW w:w="936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D674D">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TYPE OF WITNESS </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DEFINITION</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DISCOVERABLE?</w:t>
            </w:r>
          </w:p>
        </w:tc>
      </w:tr>
      <w:tr w:rsidR="00CD674D">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Ordinary Fact Witness with Expertise </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Expert witness who is not required to provide a written report (FRCP 26(a)(2)(C))</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Disclose identity and location, summary of testimony, and submit to deposition (FRCP 26(a)(1)</w:t>
            </w:r>
            <w:r>
              <w:rPr>
                <w:rFonts w:ascii="Times New Roman" w:eastAsia="Times New Roman" w:hAnsi="Times New Roman" w:cs="Times New Roman"/>
                <w:sz w:val="20"/>
                <w:szCs w:val="20"/>
              </w:rPr>
              <w:t>, (2)(c))</w:t>
            </w:r>
          </w:p>
        </w:tc>
      </w:tr>
      <w:tr w:rsidR="00CD674D">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Testifying Expert</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Retained or specially employed to provide expert testimony in the case (FRCP 26(a)(2)(B))</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Discovery and affirmative obligations to disclose identity, written report, and submit to deposition (FRCP 26(a)(2), (b)(4))</w:t>
            </w:r>
          </w:p>
        </w:tc>
      </w:tr>
      <w:tr w:rsidR="00CD674D">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Non-Testifying Expert</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Retained or specially employed to provide expert testimony in the case (FRCP 26(a)(4)(B))</w:t>
            </w:r>
          </w:p>
        </w:tc>
        <w:tc>
          <w:tcPr>
            <w:tcW w:w="3120" w:type="dxa"/>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 discovery unless exceptional circumstances (FRCP 26(b)(4))</w:t>
            </w:r>
          </w:p>
        </w:tc>
      </w:tr>
    </w:tbl>
    <w:p w:rsidR="00CD674D" w:rsidRDefault="00CD674D">
      <w:pPr>
        <w:rPr>
          <w:rFonts w:ascii="Times New Roman" w:eastAsia="Times New Roman" w:hAnsi="Times New Roman" w:cs="Times New Roman"/>
          <w:b/>
          <w:sz w:val="20"/>
          <w:szCs w:val="20"/>
        </w:rPr>
      </w:pPr>
    </w:p>
    <w:p w:rsidR="00CD674D" w:rsidRDefault="00CD674D">
      <w:pPr>
        <w:jc w:val="center"/>
        <w:rPr>
          <w:rFonts w:ascii="Times New Roman" w:eastAsia="Times New Roman" w:hAnsi="Times New Roman" w:cs="Times New Roman"/>
          <w:sz w:val="20"/>
          <w:szCs w:val="20"/>
        </w:rPr>
      </w:pPr>
    </w:p>
    <w:p w:rsidR="00CD674D" w:rsidRDefault="00047DB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Avoiding Trial; Trial &amp; Appeal</w:t>
      </w:r>
    </w:p>
    <w:p w:rsidR="00CD674D" w:rsidRDefault="00047DB3">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(CB 523-524, 531-537, 540-544, 35-41, 581-596, 4</w:t>
      </w:r>
      <w:r>
        <w:rPr>
          <w:rFonts w:ascii="Times New Roman" w:eastAsia="Times New Roman" w:hAnsi="Times New Roman" w:cs="Times New Roman"/>
          <w:sz w:val="16"/>
          <w:szCs w:val="16"/>
        </w:rPr>
        <w:t>1-46, 602-607, 656-662, 673-674, 703-710; FRCP 56, 50, 59, 52)</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Avoiding Adjudication </w:t>
      </w:r>
    </w:p>
    <w:p w:rsidR="00CD674D" w:rsidRDefault="00047DB3">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Procedural Justice</w:t>
      </w:r>
      <w:r>
        <w:rPr>
          <w:rFonts w:ascii="Times New Roman" w:eastAsia="Times New Roman" w:hAnsi="Times New Roman" w:cs="Times New Roman"/>
          <w:sz w:val="20"/>
          <w:szCs w:val="20"/>
        </w:rPr>
        <w:t xml:space="preserve"> – people are willing to give up certain benefits in order to be treated fairly (perception of fairness more likely to affect the outcome than the actua</w:t>
      </w:r>
      <w:r>
        <w:rPr>
          <w:rFonts w:ascii="Times New Roman" w:eastAsia="Times New Roman" w:hAnsi="Times New Roman" w:cs="Times New Roman"/>
          <w:sz w:val="20"/>
          <w:szCs w:val="20"/>
        </w:rPr>
        <w:t>l benefit); perception of fairness in the process that resolves disputes and allocate resources</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Psychological Jurisprudence</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Pr>
          <w:rFonts w:ascii="Times New Roman" w:eastAsia="Times New Roman" w:hAnsi="Times New Roman" w:cs="Times New Roman"/>
          <w:i/>
          <w:sz w:val="20"/>
          <w:szCs w:val="20"/>
        </w:rPr>
        <w:t>Adjudication</w:t>
      </w:r>
      <w:r>
        <w:rPr>
          <w:rFonts w:ascii="Times New Roman" w:eastAsia="Times New Roman" w:hAnsi="Times New Roman" w:cs="Times New Roman"/>
          <w:sz w:val="20"/>
          <w:szCs w:val="20"/>
        </w:rPr>
        <w:t xml:space="preserve"> (e.g. litigation)</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Judge as arbitrator (in control)</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Alternative Dispute Resolutions (ADRs)</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sz w:val="20"/>
          <w:szCs w:val="20"/>
        </w:rPr>
        <w:t xml:space="preserve">Negotiation </w:t>
      </w:r>
      <w:r>
        <w:rPr>
          <w:rFonts w:ascii="Times New Roman" w:eastAsia="Times New Roman" w:hAnsi="Times New Roman" w:cs="Times New Roman"/>
          <w:sz w:val="20"/>
          <w:szCs w:val="20"/>
        </w:rPr>
        <w:t xml:space="preserve">and </w:t>
      </w:r>
      <w:r>
        <w:rPr>
          <w:rFonts w:ascii="Times New Roman" w:eastAsia="Times New Roman" w:hAnsi="Times New Roman" w:cs="Times New Roman"/>
          <w:i/>
          <w:sz w:val="20"/>
          <w:szCs w:val="20"/>
        </w:rPr>
        <w:t>Settl</w:t>
      </w:r>
      <w:r>
        <w:rPr>
          <w:rFonts w:ascii="Times New Roman" w:eastAsia="Times New Roman" w:hAnsi="Times New Roman" w:cs="Times New Roman"/>
          <w:i/>
          <w:sz w:val="20"/>
          <w:szCs w:val="20"/>
        </w:rPr>
        <w:t>ement</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Attorneys in control</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Advantages: Cheaper, faster; arguably qualitatively better because consent is a basic principle of justice and settlements take account of nuances and subtleties in the facts and in the parties’ interests that would be lost at trial</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 Arguably leaves p</w:t>
      </w:r>
      <w:r>
        <w:rPr>
          <w:rFonts w:ascii="Times New Roman" w:eastAsia="Times New Roman" w:hAnsi="Times New Roman" w:cs="Times New Roman"/>
          <w:sz w:val="20"/>
          <w:szCs w:val="20"/>
        </w:rPr>
        <w:t>arties less satisfied than if a trier heard their stories, permits might triumph over right, and it deprives the public of definitive adjudication of issues that may reach beyond the individual case</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Cases Settle for Two Reasons: (1) A party runs out of fun</w:t>
      </w:r>
      <w:r>
        <w:rPr>
          <w:rFonts w:ascii="Times New Roman" w:eastAsia="Times New Roman" w:hAnsi="Times New Roman" w:cs="Times New Roman"/>
          <w:sz w:val="20"/>
          <w:szCs w:val="20"/>
        </w:rPr>
        <w:t>ds to pursue the litigation, (2) settlements control risk – trials are unpredictable and often all-or-nothing</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Failure of Settlement: Divergent estimates of the outcome and bad communication</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Pr>
          <w:rFonts w:ascii="Times New Roman" w:eastAsia="Times New Roman" w:hAnsi="Times New Roman" w:cs="Times New Roman"/>
          <w:i/>
          <w:sz w:val="20"/>
          <w:szCs w:val="20"/>
        </w:rPr>
        <w:t>Mediation</w:t>
      </w:r>
      <w:r>
        <w:rPr>
          <w:rFonts w:ascii="Times New Roman" w:eastAsia="Times New Roman" w:hAnsi="Times New Roman" w:cs="Times New Roman"/>
          <w:sz w:val="20"/>
          <w:szCs w:val="20"/>
        </w:rPr>
        <w:t xml:space="preserve"> – assisted negotiation, aid in overcoming barriers t</w:t>
      </w:r>
      <w:r>
        <w:rPr>
          <w:rFonts w:ascii="Times New Roman" w:eastAsia="Times New Roman" w:hAnsi="Times New Roman" w:cs="Times New Roman"/>
          <w:sz w:val="20"/>
          <w:szCs w:val="20"/>
        </w:rPr>
        <w:t xml:space="preserve">o agreement; the mediator seeks to engage the parties in a structured set of discussions leading to agreement, the mediator does not rule on the rights and wrongs of the dispute or tell the parties what to do – the mediator has no coercive power, she only </w:t>
      </w:r>
      <w:r>
        <w:rPr>
          <w:rFonts w:ascii="Times New Roman" w:eastAsia="Times New Roman" w:hAnsi="Times New Roman" w:cs="Times New Roman"/>
          <w:sz w:val="20"/>
          <w:szCs w:val="20"/>
        </w:rPr>
        <w:t xml:space="preserve">succeeds when the parties agree </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Mediator in control (</w:t>
      </w:r>
      <w:r>
        <w:rPr>
          <w:rFonts w:ascii="Times New Roman" w:eastAsia="Times New Roman" w:hAnsi="Times New Roman" w:cs="Times New Roman"/>
          <w:i/>
          <w:sz w:val="20"/>
          <w:szCs w:val="20"/>
        </w:rPr>
        <w:t>but</w:t>
      </w:r>
      <w:r>
        <w:rPr>
          <w:rFonts w:ascii="Times New Roman" w:eastAsia="Times New Roman" w:hAnsi="Times New Roman" w:cs="Times New Roman"/>
          <w:sz w:val="20"/>
          <w:szCs w:val="20"/>
        </w:rPr>
        <w:t xml:space="preserve"> parties have more control)</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Typical Process: Mediator talks with the parties, individually or together, to ferret out areas of agreement and possible starting points for negotiations and to discover </w:t>
      </w:r>
      <w:r>
        <w:rPr>
          <w:rFonts w:ascii="Times New Roman" w:eastAsia="Times New Roman" w:hAnsi="Times New Roman" w:cs="Times New Roman"/>
          <w:sz w:val="20"/>
          <w:szCs w:val="20"/>
        </w:rPr>
        <w:t>the respective parties’ goals and to suggest ways to accommodate those goals</w:t>
      </w:r>
    </w:p>
    <w:p w:rsidR="00CD674D" w:rsidRDefault="00047DB3">
      <w:pPr>
        <w:numPr>
          <w:ilvl w:val="3"/>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Muscle Mediation</w:t>
      </w:r>
      <w:r>
        <w:rPr>
          <w:rFonts w:ascii="Times New Roman" w:eastAsia="Times New Roman" w:hAnsi="Times New Roman" w:cs="Times New Roman"/>
          <w:sz w:val="20"/>
          <w:szCs w:val="20"/>
        </w:rPr>
        <w:t xml:space="preserve"> – settlements arrived at under heavy pressure, in which the mediator threatens to report to the judge that one or another party is behaving unreasonably (where co</w:t>
      </w:r>
      <w:r>
        <w:rPr>
          <w:rFonts w:ascii="Times New Roman" w:eastAsia="Times New Roman" w:hAnsi="Times New Roman" w:cs="Times New Roman"/>
          <w:sz w:val="20"/>
          <w:szCs w:val="20"/>
        </w:rPr>
        <w:t>urt mandates mediation; prohibited by some court rules or statutes)</w:t>
      </w:r>
    </w:p>
    <w:p w:rsidR="00CD674D" w:rsidRDefault="00047DB3">
      <w:pPr>
        <w:ind w:left="1440"/>
        <w:rPr>
          <w:rFonts w:ascii="Times New Roman" w:eastAsia="Times New Roman" w:hAnsi="Times New Roman" w:cs="Times New Roman"/>
          <w:color w:val="FF00FF"/>
          <w:sz w:val="20"/>
          <w:szCs w:val="20"/>
        </w:rPr>
      </w:pPr>
      <w:r>
        <w:rPr>
          <w:rFonts w:ascii="Cardo" w:eastAsia="Cardo" w:hAnsi="Cardo" w:cs="Cardo"/>
          <w:sz w:val="20"/>
          <w:szCs w:val="20"/>
        </w:rPr>
        <w:t>→ Moving between the methodologies (1) interests come into play, (2) the process/who controls the process changes (role of parties smaller at litigation, larger at mediation), (3) outcomes</w:t>
      </w:r>
      <w:r>
        <w:rPr>
          <w:rFonts w:ascii="Cardo" w:eastAsia="Cardo" w:hAnsi="Cardo" w:cs="Cardo"/>
          <w:sz w:val="20"/>
          <w:szCs w:val="20"/>
        </w:rPr>
        <w:t xml:space="preserve"> change (expanded outcomes in negotiation and mediation)</w:t>
      </w:r>
      <w:r>
        <w:rPr>
          <w:rFonts w:ascii="Times New Roman" w:eastAsia="Times New Roman" w:hAnsi="Times New Roman" w:cs="Times New Roman"/>
          <w:color w:val="FF00FF"/>
          <w:sz w:val="20"/>
          <w:szCs w:val="20"/>
        </w:rPr>
        <w:t xml:space="preserve"> </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Voluntary Dismissal (R.41(a))</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Involuntary Dismissal (R.41(b))</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Default Judgment R.55(b)(1)-(2), R.54(c)</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Motion to Dismiss For Failure to State a Claim (aka Demurrer) R.12(b)(6) – does not look at evi</w:t>
      </w:r>
      <w:r>
        <w:rPr>
          <w:rFonts w:ascii="Times New Roman" w:eastAsia="Times New Roman" w:hAnsi="Times New Roman" w:cs="Times New Roman"/>
          <w:sz w:val="20"/>
          <w:szCs w:val="20"/>
        </w:rPr>
        <w:t>dence, looks only at the face of the claim and asks if everything the plaintiff says is true would the plaintiff win? If Y, deny; if N, grant (sometimes with leave to amend to see if plaintiff can fix)</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Summary Judgment (R.56) – </w:t>
      </w:r>
      <w:r>
        <w:rPr>
          <w:rFonts w:ascii="Times New Roman" w:eastAsia="Times New Roman" w:hAnsi="Times New Roman" w:cs="Times New Roman"/>
          <w:i/>
          <w:sz w:val="20"/>
          <w:szCs w:val="20"/>
        </w:rPr>
        <w:t>can</w:t>
      </w:r>
      <w:r>
        <w:rPr>
          <w:rFonts w:ascii="Times New Roman" w:eastAsia="Times New Roman" w:hAnsi="Times New Roman" w:cs="Times New Roman"/>
          <w:sz w:val="20"/>
          <w:szCs w:val="20"/>
        </w:rPr>
        <w:t xml:space="preserve"> look at evidence (have g</w:t>
      </w:r>
      <w:r>
        <w:rPr>
          <w:rFonts w:ascii="Times New Roman" w:eastAsia="Times New Roman" w:hAnsi="Times New Roman" w:cs="Times New Roman"/>
          <w:sz w:val="20"/>
          <w:szCs w:val="20"/>
        </w:rPr>
        <w:t>one through discovery); purpose of trial to resolve disputes of fact</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Moving Party’s Responsibility (FRCP 56(a)), Meet the Initial SJ Burden (burden on movant):</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56(a): Motion for Summary Judgment or Partial Summary Judgment</w:t>
      </w:r>
      <w:r>
        <w:rPr>
          <w:rFonts w:ascii="Times New Roman" w:eastAsia="Times New Roman" w:hAnsi="Times New Roman" w:cs="Times New Roman"/>
          <w:sz w:val="20"/>
          <w:szCs w:val="20"/>
        </w:rPr>
        <w:t xml:space="preserve"> – a summary judgment mot</w:t>
      </w:r>
      <w:r>
        <w:rPr>
          <w:rFonts w:ascii="Times New Roman" w:eastAsia="Times New Roman" w:hAnsi="Times New Roman" w:cs="Times New Roman"/>
          <w:sz w:val="20"/>
          <w:szCs w:val="20"/>
        </w:rPr>
        <w:t xml:space="preserve">ion must be granted when the record “shows that there is no genuine issue as to any material fact and the movant is entitled to judgment as a matter of law” </w:t>
      </w:r>
    </w:p>
    <w:p w:rsidR="00CD674D" w:rsidRDefault="00047DB3">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Houchens v. American Home Assurance Co.</w:t>
      </w:r>
      <w:r>
        <w:rPr>
          <w:rFonts w:ascii="Times New Roman" w:eastAsia="Times New Roman" w:hAnsi="Times New Roman" w:cs="Times New Roman"/>
          <w:color w:val="FF0000"/>
          <w:sz w:val="20"/>
          <w:szCs w:val="20"/>
          <w:shd w:val="clear" w:color="auto" w:fill="FFF2CC"/>
        </w:rPr>
        <w:t xml:space="preserve"> (4th Cir, 1991)</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SJ granted (no need for trial) where no evidence that </w:t>
      </w:r>
      <w:r>
        <w:rPr>
          <w:rFonts w:ascii="Times New Roman" w:eastAsia="Times New Roman" w:hAnsi="Times New Roman" w:cs="Times New Roman"/>
          <w:i/>
          <w:color w:val="FF0000"/>
          <w:sz w:val="20"/>
          <w:szCs w:val="20"/>
        </w:rPr>
        <w:t>was</w:t>
      </w:r>
      <w:r>
        <w:rPr>
          <w:rFonts w:ascii="Times New Roman" w:eastAsia="Times New Roman" w:hAnsi="Times New Roman" w:cs="Times New Roman"/>
          <w:color w:val="FF0000"/>
          <w:sz w:val="20"/>
          <w:szCs w:val="20"/>
        </w:rPr>
        <w:t xml:space="preserve"> undesigned, sudden, unexpected as to incidence of death but also no evidence that </w:t>
      </w:r>
      <w:r>
        <w:rPr>
          <w:rFonts w:ascii="Times New Roman" w:eastAsia="Times New Roman" w:hAnsi="Times New Roman" w:cs="Times New Roman"/>
          <w:i/>
          <w:color w:val="FF0000"/>
          <w:sz w:val="20"/>
          <w:szCs w:val="20"/>
        </w:rPr>
        <w:t>wasn’t</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Pure question of law (not fact, must show genuine issue of material fact to go to trial; trial resolve dis</w:t>
      </w:r>
      <w:r>
        <w:rPr>
          <w:rFonts w:ascii="Times New Roman" w:eastAsia="Times New Roman" w:hAnsi="Times New Roman" w:cs="Times New Roman"/>
          <w:color w:val="FF0000"/>
          <w:sz w:val="20"/>
          <w:szCs w:val="20"/>
        </w:rPr>
        <w:t xml:space="preserve">putes of fact); </w:t>
      </w:r>
      <w:r>
        <w:rPr>
          <w:rFonts w:ascii="Times New Roman" w:eastAsia="Times New Roman" w:hAnsi="Times New Roman" w:cs="Times New Roman"/>
          <w:i/>
          <w:color w:val="FF0000"/>
          <w:sz w:val="20"/>
          <w:szCs w:val="20"/>
        </w:rPr>
        <w:t>also</w:t>
      </w:r>
      <w:r>
        <w:rPr>
          <w:rFonts w:ascii="Times New Roman" w:eastAsia="Times New Roman" w:hAnsi="Times New Roman" w:cs="Times New Roman"/>
          <w:color w:val="FF0000"/>
          <w:sz w:val="20"/>
          <w:szCs w:val="20"/>
        </w:rPr>
        <w:t xml:space="preserve"> plaintiff bears the burden of proof at trial</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Offer evidence to negate an element of the non-moving party’s claim,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Pr>
          <w:rFonts w:ascii="Times New Roman" w:eastAsia="Times New Roman" w:hAnsi="Times New Roman" w:cs="Times New Roman"/>
          <w:i/>
          <w:color w:val="FF0000"/>
          <w:sz w:val="20"/>
          <w:szCs w:val="20"/>
        </w:rPr>
        <w:t>Celotex Corp. v. Catrett</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“Inform the district court of the basis for its motion and identify those portions of the record which it believes demonstrate the absence of a genuine issue of material fact.”; SJ should be granted “against a party who fails to make a showing sufficient </w:t>
      </w:r>
      <w:r>
        <w:rPr>
          <w:rFonts w:ascii="Times New Roman" w:eastAsia="Times New Roman" w:hAnsi="Times New Roman" w:cs="Times New Roman"/>
          <w:sz w:val="20"/>
          <w:szCs w:val="20"/>
        </w:rPr>
        <w:t>to establish the existence of an element essential to that party’s case, and on which the party will bear the burden of proof at trial.”</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moving party does not bear the burden of proof at trial: By at least pointing out to the district court that the</w:t>
      </w:r>
      <w:r>
        <w:rPr>
          <w:rFonts w:ascii="Times New Roman" w:eastAsia="Times New Roman" w:hAnsi="Times New Roman" w:cs="Times New Roman"/>
          <w:sz w:val="20"/>
          <w:szCs w:val="20"/>
        </w:rPr>
        <w:t>re is an absence of evidence to support the nonmoving party’s case</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 moving party does bear the burden of proof at trial: By Producing sufficient evidence such that a reasonable jury must find for the moving party </w:t>
      </w:r>
    </w:p>
    <w:p w:rsidR="00CD674D" w:rsidRDefault="00047DB3">
      <w:pPr>
        <w:numPr>
          <w:ilvl w:val="2"/>
          <w:numId w:val="1"/>
        </w:numPr>
        <w:contextualSpacing/>
        <w:rPr>
          <w:rFonts w:ascii="Times New Roman" w:eastAsia="Times New Roman" w:hAnsi="Times New Roman" w:cs="Times New Roman"/>
          <w:i/>
          <w:color w:val="FF0000"/>
          <w:sz w:val="20"/>
          <w:szCs w:val="20"/>
        </w:rPr>
      </w:pPr>
      <w:r>
        <w:rPr>
          <w:rFonts w:ascii="Times New Roman" w:eastAsia="Times New Roman" w:hAnsi="Times New Roman" w:cs="Times New Roman"/>
          <w:i/>
          <w:color w:val="FF0000"/>
          <w:sz w:val="20"/>
          <w:szCs w:val="20"/>
        </w:rPr>
        <w:t>Bias</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v. Advantage International, Inc</w:t>
      </w:r>
      <w:r>
        <w:rPr>
          <w:rFonts w:ascii="Times New Roman" w:eastAsia="Times New Roman" w:hAnsi="Times New Roman" w:cs="Times New Roman"/>
          <w:i/>
          <w:color w:val="FF0000"/>
          <w:sz w:val="20"/>
          <w:szCs w:val="20"/>
        </w:rPr>
        <w:t>.</w:t>
      </w:r>
      <w:r>
        <w:rPr>
          <w:rFonts w:ascii="Times New Roman" w:eastAsia="Times New Roman" w:hAnsi="Times New Roman" w:cs="Times New Roman"/>
          <w:sz w:val="20"/>
          <w:szCs w:val="20"/>
        </w:rPr>
        <w:t>, standard: “Specific facts showing that there is a genuine issue for trial”</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How do courts go about this analysis?</w:t>
      </w:r>
    </w:p>
    <w:p w:rsidR="00CD674D" w:rsidRDefault="00047DB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Anderson v. Liberty Lobby</w:t>
      </w:r>
      <w:r>
        <w:rPr>
          <w:rFonts w:ascii="Times New Roman" w:eastAsia="Times New Roman" w:hAnsi="Times New Roman" w:cs="Times New Roman"/>
          <w:sz w:val="20"/>
          <w:szCs w:val="20"/>
        </w:rPr>
        <w:t xml:space="preserve"> – must draw “all justifiable inferences in favor of the nonmovant”  </w:t>
      </w:r>
    </w:p>
    <w:p w:rsidR="00CD674D" w:rsidRDefault="00047DB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Matsushita Electric Company</w:t>
      </w:r>
      <w:r>
        <w:rPr>
          <w:rFonts w:ascii="Times New Roman" w:eastAsia="Times New Roman" w:hAnsi="Times New Roman" w:cs="Times New Roman"/>
          <w:sz w:val="20"/>
          <w:szCs w:val="20"/>
        </w:rPr>
        <w:t xml:space="preserve"> – “must do more than simply show that there is some metaphysical doubt as to the material facts”</w:t>
      </w:r>
    </w:p>
    <w:p w:rsidR="00CD674D" w:rsidRDefault="00047DB3">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Celotex Corp. v. Catrett</w:t>
      </w:r>
      <w:r>
        <w:rPr>
          <w:rFonts w:ascii="Times New Roman" w:eastAsia="Times New Roman" w:hAnsi="Times New Roman" w:cs="Times New Roman"/>
          <w:color w:val="FF0000"/>
          <w:sz w:val="20"/>
          <w:szCs w:val="20"/>
          <w:shd w:val="clear" w:color="auto" w:fill="FFF2CC"/>
        </w:rPr>
        <w:t xml:space="preserve"> (SCOTUS, 1986)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Plaintiff must offer evidence to support each of its claims, here a tie (neither party has evidence) so plaintiff loses because he bears the burden of proof at trial</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The party with the burden of proof at trial loses in the case of a tie (e.g. where n</w:t>
      </w:r>
      <w:r>
        <w:rPr>
          <w:rFonts w:ascii="Times New Roman" w:eastAsia="Times New Roman" w:hAnsi="Times New Roman" w:cs="Times New Roman"/>
          <w:color w:val="FF0000"/>
          <w:sz w:val="20"/>
          <w:szCs w:val="20"/>
        </w:rPr>
        <w:t xml:space="preserve">either party has evidence) = the power of burden of proof on summary judgment </w:t>
      </w:r>
    </w:p>
    <w:p w:rsidR="00CD674D" w:rsidRDefault="00047DB3">
      <w:pPr>
        <w:numPr>
          <w:ilvl w:val="1"/>
          <w:numId w:val="1"/>
        </w:numPr>
        <w:contextualSpacing/>
        <w:rPr>
          <w:rFonts w:ascii="Times New Roman" w:eastAsia="Times New Roman" w:hAnsi="Times New Roman" w:cs="Times New Roman"/>
          <w:i/>
          <w:sz w:val="20"/>
          <w:szCs w:val="20"/>
        </w:rPr>
      </w:pPr>
      <w:r>
        <w:rPr>
          <w:rFonts w:ascii="Times New Roman" w:eastAsia="Times New Roman" w:hAnsi="Times New Roman" w:cs="Times New Roman"/>
          <w:i/>
          <w:sz w:val="20"/>
          <w:szCs w:val="20"/>
        </w:rPr>
        <w:t>Burden Shifts to Non-Moving Party to Rebut the Moving Party’s Showing</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Non-Moving Party’s Responsibility </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56(c): Procedures </w:t>
      </w:r>
      <w:r>
        <w:rPr>
          <w:rFonts w:ascii="Times New Roman" w:eastAsia="Times New Roman" w:hAnsi="Times New Roman" w:cs="Times New Roman"/>
          <w:sz w:val="20"/>
          <w:szCs w:val="20"/>
        </w:rPr>
        <w:t>– “The party asserting that a fact… is genuin</w:t>
      </w:r>
      <w:r>
        <w:rPr>
          <w:rFonts w:ascii="Times New Roman" w:eastAsia="Times New Roman" w:hAnsi="Times New Roman" w:cs="Times New Roman"/>
          <w:sz w:val="20"/>
          <w:szCs w:val="20"/>
        </w:rPr>
        <w:t xml:space="preserve">ely disputed must support the assertion by: (A) Citing to particular parts of materials in the record…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(B) showing that the materials cited do not establish the absence… of a genuine dispute…”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heavy is this burden? Non-moving party must come forward</w:t>
      </w:r>
      <w:r>
        <w:rPr>
          <w:rFonts w:ascii="Times New Roman" w:eastAsia="Times New Roman" w:hAnsi="Times New Roman" w:cs="Times New Roman"/>
          <w:sz w:val="20"/>
          <w:szCs w:val="20"/>
        </w:rPr>
        <w:t xml:space="preserve"> with “specific facts showing that there is a genuine issue for trial”</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can the non-moving party meet this burden? Present evidence in support of the element(s) or to counter the moving party’s evidence in order to show the existence of an issue of fact</w:t>
      </w:r>
      <w:r>
        <w:rPr>
          <w:rFonts w:ascii="Times New Roman" w:eastAsia="Times New Roman" w:hAnsi="Times New Roman" w:cs="Times New Roman"/>
          <w:sz w:val="20"/>
          <w:szCs w:val="20"/>
        </w:rPr>
        <w:t xml:space="preserve"> </w:t>
      </w:r>
    </w:p>
    <w:p w:rsidR="00CD674D" w:rsidRDefault="00047DB3">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Bias v. Advantage International, Inc. </w:t>
      </w:r>
      <w:r>
        <w:rPr>
          <w:rFonts w:ascii="Times New Roman" w:eastAsia="Times New Roman" w:hAnsi="Times New Roman" w:cs="Times New Roman"/>
          <w:color w:val="FF0000"/>
          <w:sz w:val="20"/>
          <w:szCs w:val="20"/>
          <w:shd w:val="clear" w:color="auto" w:fill="FFF2CC"/>
        </w:rPr>
        <w:t>(F.2d, 1990)</w:t>
      </w:r>
    </w:p>
    <w:p w:rsidR="00CD674D" w:rsidRDefault="00047DB3">
      <w:pPr>
        <w:ind w:left="144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No genuine issue of material fact (grant of SJ)</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Estate failed to do more than show that there is “some metaphysical doubt as to the material facts” (</w:t>
      </w:r>
      <w:r>
        <w:rPr>
          <w:rFonts w:ascii="Times New Roman" w:eastAsia="Times New Roman" w:hAnsi="Times New Roman" w:cs="Times New Roman"/>
          <w:i/>
          <w:color w:val="FF0000"/>
          <w:sz w:val="20"/>
          <w:szCs w:val="20"/>
        </w:rPr>
        <w:t>Matsushita Electric Company</w:t>
      </w:r>
      <w:r>
        <w:rPr>
          <w:rFonts w:ascii="Times New Roman" w:eastAsia="Times New Roman" w:hAnsi="Times New Roman" w:cs="Times New Roman"/>
          <w:color w:val="FF0000"/>
          <w:sz w:val="20"/>
          <w:szCs w:val="20"/>
        </w:rPr>
        <w:t>)</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Granting SJ (FRCP 56(e))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56(e): Failing to Properly Support or Address a Fact </w:t>
      </w:r>
      <w:r>
        <w:rPr>
          <w:rFonts w:ascii="Times New Roman" w:eastAsia="Times New Roman" w:hAnsi="Times New Roman" w:cs="Times New Roman"/>
          <w:sz w:val="20"/>
          <w:szCs w:val="20"/>
        </w:rPr>
        <w:t>– “if a party… fails to properly address another party’s assertion of fact as required by Rule 56(c), the court may... grant summary judgment if the motion and supporting ma</w:t>
      </w:r>
      <w:r>
        <w:rPr>
          <w:rFonts w:ascii="Times New Roman" w:eastAsia="Times New Roman" w:hAnsi="Times New Roman" w:cs="Times New Roman"/>
          <w:sz w:val="20"/>
          <w:szCs w:val="20"/>
        </w:rPr>
        <w:t xml:space="preserve">terials – including the facts considered undisputed – show that the movant is entitled to it.”  </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Supporting the SJ Motion (FRCP 56(c)(4))</w:t>
      </w:r>
    </w:p>
    <w:p w:rsidR="00CD674D" w:rsidRDefault="00047DB3">
      <w:pPr>
        <w:numPr>
          <w:ilvl w:val="2"/>
          <w:numId w:val="1"/>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FRCP 56(c)(4): Affidavits or Declarations </w:t>
      </w:r>
      <w:r>
        <w:rPr>
          <w:rFonts w:ascii="Times New Roman" w:eastAsia="Times New Roman" w:hAnsi="Times New Roman" w:cs="Times New Roman"/>
          <w:sz w:val="20"/>
          <w:szCs w:val="20"/>
        </w:rPr>
        <w:t>– a supporting or opposing affidavit or declaration “must be (1) made on per</w:t>
      </w:r>
      <w:r>
        <w:rPr>
          <w:rFonts w:ascii="Times New Roman" w:eastAsia="Times New Roman" w:hAnsi="Times New Roman" w:cs="Times New Roman"/>
          <w:sz w:val="20"/>
          <w:szCs w:val="20"/>
        </w:rPr>
        <w:t>sonal knowledge, (2) set out facts that would be admissible in evidence, and (3) show that the affiant or declarant is competent to testify on the matters stated.”</w:t>
      </w:r>
    </w:p>
    <w:p w:rsidR="00CD674D" w:rsidRDefault="00047DB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Trial &amp; Judgment as a Matter of Law (“JMOL”)</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Anatomy of a Trial, when can a judge take the c</w:t>
      </w:r>
      <w:r>
        <w:rPr>
          <w:rFonts w:ascii="Times New Roman" w:eastAsia="Times New Roman" w:hAnsi="Times New Roman" w:cs="Times New Roman"/>
          <w:sz w:val="20"/>
          <w:szCs w:val="20"/>
        </w:rPr>
        <w:t>ase from the jury and decide it herself?</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Jury selection</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Opening statements</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Plaintiff’s case in chief</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Defendant may move for judgment as a matter of law (JMOL, aka directed verdict)</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Defendant’s case in chief</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Plaintiff may move for JMOL (aka directed verdict)</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Plaintiff’s rebuttal of defendant’s case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Defendant’s rebuttal of plaintiff’s case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Both Parties rest</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Either may move for JMOL </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Closing arguments</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Judge gives jury instructions </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Parties objections to jury ins</w:t>
      </w:r>
      <w:r>
        <w:rPr>
          <w:rFonts w:ascii="Times New Roman" w:eastAsia="Times New Roman" w:hAnsi="Times New Roman" w:cs="Times New Roman"/>
          <w:sz w:val="20"/>
          <w:szCs w:val="20"/>
        </w:rPr>
        <w:t>tructions</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Verdict</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Loser may move for JMOL (aka Judgment Notwithstanding the Verdict (JNOV))</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Appeal (or rarely, motion to set aside verdict under FRCP 60(b))</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50: Judgment as a Matter of Law in a Jury Trial; Related Motion for a New Trial; Conditional R</w:t>
      </w:r>
      <w:r>
        <w:rPr>
          <w:rFonts w:ascii="Times New Roman" w:eastAsia="Times New Roman" w:hAnsi="Times New Roman" w:cs="Times New Roman"/>
          <w:b/>
          <w:sz w:val="20"/>
          <w:szCs w:val="20"/>
        </w:rPr>
        <w:t>uling</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Standard: “A reasonable jury would not have a legally sufficient evidentiary basis to find for the party on the issue”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can a reasonable jury infer?</w:t>
      </w:r>
    </w:p>
    <w:p w:rsidR="00CD674D" w:rsidRDefault="00047DB3">
      <w:pPr>
        <w:numPr>
          <w:ilvl w:val="3"/>
          <w:numId w:val="1"/>
        </w:numPr>
        <w:contextualSpacing/>
        <w:rPr>
          <w:rFonts w:ascii="Times New Roman" w:eastAsia="Times New Roman" w:hAnsi="Times New Roman" w:cs="Times New Roman"/>
          <w:color w:val="FF0000"/>
          <w:sz w:val="20"/>
          <w:szCs w:val="20"/>
          <w:shd w:val="clear" w:color="auto" w:fill="FFF2CC"/>
        </w:rPr>
      </w:pPr>
      <w:r>
        <w:rPr>
          <w:rFonts w:ascii="Times New Roman" w:eastAsia="Times New Roman" w:hAnsi="Times New Roman" w:cs="Times New Roman"/>
          <w:i/>
          <w:color w:val="FF0000"/>
          <w:sz w:val="20"/>
          <w:szCs w:val="20"/>
          <w:shd w:val="clear" w:color="auto" w:fill="FFF2CC"/>
        </w:rPr>
        <w:lastRenderedPageBreak/>
        <w:t xml:space="preserve">Norton v. Snapper Power Equipment </w:t>
      </w:r>
      <w:r>
        <w:rPr>
          <w:rFonts w:ascii="Times New Roman" w:eastAsia="Times New Roman" w:hAnsi="Times New Roman" w:cs="Times New Roman"/>
          <w:color w:val="FF0000"/>
          <w:sz w:val="20"/>
          <w:szCs w:val="20"/>
          <w:shd w:val="clear" w:color="auto" w:fill="FFF2CC"/>
        </w:rPr>
        <w:t xml:space="preserve">(11th Cir, 1987)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ab/>
      </w: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Reverse lower court’s entry of JNOV dismissing the jury’s verdict</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R/Rule: </w:t>
      </w:r>
      <w:r>
        <w:rPr>
          <w:rFonts w:ascii="Times New Roman" w:eastAsia="Times New Roman" w:hAnsi="Times New Roman" w:cs="Times New Roman"/>
          <w:color w:val="FF0000"/>
          <w:sz w:val="20"/>
          <w:szCs w:val="20"/>
        </w:rPr>
        <w:t>Not irrational for the jury to have reached this conclusion; Appellate court’s duty is to determine if there is sufficient evidence for a rational jury to come to that conclusion (th</w:t>
      </w:r>
      <w:r>
        <w:rPr>
          <w:rFonts w:ascii="Times New Roman" w:eastAsia="Times New Roman" w:hAnsi="Times New Roman" w:cs="Times New Roman"/>
          <w:color w:val="FF0000"/>
          <w:sz w:val="20"/>
          <w:szCs w:val="20"/>
        </w:rPr>
        <w:t>at a deadman’s switch would have more likely than not prevented the injury), not to decide whether the jury was right or wrong</w:t>
      </w:r>
    </w:p>
    <w:p w:rsidR="00CD674D" w:rsidRDefault="00047DB3">
      <w:pPr>
        <w:numPr>
          <w:ilvl w:val="3"/>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Reid v. San Pedro, Los Angeles &amp; Salt Lake Railroad </w:t>
      </w:r>
      <w:r>
        <w:rPr>
          <w:rFonts w:ascii="Times New Roman" w:eastAsia="Times New Roman" w:hAnsi="Times New Roman" w:cs="Times New Roman"/>
          <w:color w:val="FF0000"/>
          <w:sz w:val="20"/>
          <w:szCs w:val="20"/>
          <w:shd w:val="clear" w:color="auto" w:fill="FFF2CC"/>
        </w:rPr>
        <w:t>(Utah, 1911)</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Plaintiff hasn’t produced enough evidence to go to jury </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R/Ru</w:t>
      </w:r>
      <w:r>
        <w:rPr>
          <w:rFonts w:ascii="Times New Roman" w:eastAsia="Times New Roman" w:hAnsi="Times New Roman" w:cs="Times New Roman"/>
          <w:b/>
          <w:color w:val="FF0000"/>
          <w:sz w:val="20"/>
          <w:szCs w:val="20"/>
        </w:rPr>
        <w:t xml:space="preserve">le: </w:t>
      </w:r>
      <w:r>
        <w:rPr>
          <w:rFonts w:ascii="Times New Roman" w:eastAsia="Times New Roman" w:hAnsi="Times New Roman" w:cs="Times New Roman"/>
          <w:color w:val="FF0000"/>
          <w:sz w:val="20"/>
          <w:szCs w:val="20"/>
        </w:rPr>
        <w:t xml:space="preserve">Essential to show </w:t>
      </w:r>
      <w:r>
        <w:rPr>
          <w:rFonts w:ascii="Times New Roman" w:eastAsia="Times New Roman" w:hAnsi="Times New Roman" w:cs="Times New Roman"/>
          <w:i/>
          <w:color w:val="FF0000"/>
          <w:sz w:val="20"/>
          <w:szCs w:val="20"/>
        </w:rPr>
        <w:t xml:space="preserve">by a preponderance of evidence </w:t>
      </w:r>
      <w:r>
        <w:rPr>
          <w:rFonts w:ascii="Times New Roman" w:eastAsia="Times New Roman" w:hAnsi="Times New Roman" w:cs="Times New Roman"/>
          <w:color w:val="FF0000"/>
          <w:sz w:val="20"/>
          <w:szCs w:val="20"/>
        </w:rPr>
        <w:t>(burden of proof)</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Directed Verdict (DV) and Judgment Notwithstanding the Verdict (JNOV) – grant when there is “no evidentiary support for at least one element” of the other party’s case; higher standard </w:t>
      </w:r>
      <w:r>
        <w:rPr>
          <w:rFonts w:ascii="Times New Roman" w:eastAsia="Times New Roman" w:hAnsi="Times New Roman" w:cs="Times New Roman"/>
          <w:sz w:val="20"/>
          <w:szCs w:val="20"/>
        </w:rPr>
        <w:t xml:space="preserve">than R.59 because </w:t>
      </w:r>
      <w:r>
        <w:rPr>
          <w:rFonts w:ascii="Times New Roman" w:eastAsia="Times New Roman" w:hAnsi="Times New Roman" w:cs="Times New Roman"/>
          <w:i/>
          <w:sz w:val="20"/>
          <w:szCs w:val="20"/>
        </w:rPr>
        <w:t>no</w:t>
      </w:r>
      <w:r>
        <w:rPr>
          <w:rFonts w:ascii="Times New Roman" w:eastAsia="Times New Roman" w:hAnsi="Times New Roman" w:cs="Times New Roman"/>
          <w:sz w:val="20"/>
          <w:szCs w:val="20"/>
        </w:rPr>
        <w:t xml:space="preserve"> evidentiary support</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59:</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 xml:space="preserve">New Trial; Altering or Amending Judgment – </w:t>
      </w:r>
      <w:r>
        <w:rPr>
          <w:rFonts w:ascii="Times New Roman" w:eastAsia="Times New Roman" w:hAnsi="Times New Roman" w:cs="Times New Roman"/>
          <w:sz w:val="20"/>
          <w:szCs w:val="20"/>
        </w:rPr>
        <w:t xml:space="preserve">Motion for New Trial </w:t>
      </w:r>
      <w:r>
        <w:rPr>
          <w:rFonts w:ascii="Times New Roman" w:eastAsia="Times New Roman" w:hAnsi="Times New Roman" w:cs="Times New Roman"/>
          <w:b/>
          <w:sz w:val="20"/>
          <w:szCs w:val="20"/>
        </w:rPr>
        <w:t xml:space="preserve"> </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 motion or “sua sponte” (judge’s initiative)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Flawed procedures, e.g. erroneous evidentiary ruling or jury instruction on the law, juror misbehavior (i.e. googling the defendant)</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Flawed verdicts – error in verdict (e.g. splitting difference when no legal theory would permit that, e.g. bad check), </w:t>
      </w:r>
      <w:r>
        <w:rPr>
          <w:rFonts w:ascii="Times New Roman" w:eastAsia="Times New Roman" w:hAnsi="Times New Roman" w:cs="Times New Roman"/>
          <w:i/>
          <w:sz w:val="20"/>
          <w:szCs w:val="20"/>
        </w:rPr>
        <w:t>verd</w:t>
      </w:r>
      <w:r>
        <w:rPr>
          <w:rFonts w:ascii="Times New Roman" w:eastAsia="Times New Roman" w:hAnsi="Times New Roman" w:cs="Times New Roman"/>
          <w:i/>
          <w:sz w:val="20"/>
          <w:szCs w:val="20"/>
        </w:rPr>
        <w:t>ict is against the great weight of evidence</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Grant new trial when the verdict is “against the great weight of evidence” </w:t>
      </w:r>
    </w:p>
    <w:p w:rsidR="00CD674D" w:rsidRDefault="00047DB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does “against the great weight of evidence” mean for deciding when to grant a new trial? A spectrum between “13th juror would have voted the other way” (lower standard), “miscarriage of justice: Seriously erroneous result” (middle standard), and “dire</w:t>
      </w:r>
      <w:r>
        <w:rPr>
          <w:rFonts w:ascii="Times New Roman" w:eastAsia="Times New Roman" w:hAnsi="Times New Roman" w:cs="Times New Roman"/>
          <w:sz w:val="20"/>
          <w:szCs w:val="20"/>
        </w:rPr>
        <w:t>cted verdict: No reasonable jury could decide” (higher standard)</w:t>
      </w:r>
    </w:p>
    <w:p w:rsidR="00CD674D" w:rsidRDefault="00047DB3">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Lind v. Schenley Industries </w:t>
      </w:r>
      <w:r>
        <w:rPr>
          <w:rFonts w:ascii="Times New Roman" w:eastAsia="Times New Roman" w:hAnsi="Times New Roman" w:cs="Times New Roman"/>
          <w:color w:val="FF0000"/>
          <w:sz w:val="20"/>
          <w:szCs w:val="20"/>
          <w:shd w:val="clear" w:color="auto" w:fill="FFF2CC"/>
        </w:rPr>
        <w:t xml:space="preserve">(3d Cir, 1960)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Judge’s duty is to see that there is no miscarriage of justice (if is then JNOV or new trial appropriate)</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Complexity of issue (v. simple issue) makes the trial judge more likely to grant a new trial</w:t>
      </w:r>
    </w:p>
    <w:p w:rsidR="00CD674D" w:rsidRDefault="00047DB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Standards of Review (Appeal)</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Question of Law – </w:t>
      </w:r>
      <w:r>
        <w:rPr>
          <w:rFonts w:ascii="Times New Roman" w:eastAsia="Times New Roman" w:hAnsi="Times New Roman" w:cs="Times New Roman"/>
          <w:i/>
          <w:sz w:val="20"/>
          <w:szCs w:val="20"/>
        </w:rPr>
        <w:t>de novo</w:t>
      </w:r>
    </w:p>
    <w:p w:rsidR="00CD674D" w:rsidRDefault="00047DB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Question of Fact – clearly erroneous </w:t>
      </w:r>
    </w:p>
    <w:p w:rsidR="00CD674D" w:rsidRDefault="00047DB3">
      <w:pPr>
        <w:numPr>
          <w:ilvl w:val="2"/>
          <w:numId w:val="1"/>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Anderson v. Bessemer City </w:t>
      </w:r>
      <w:r>
        <w:rPr>
          <w:rFonts w:ascii="Times New Roman" w:eastAsia="Times New Roman" w:hAnsi="Times New Roman" w:cs="Times New Roman"/>
          <w:color w:val="FF0000"/>
          <w:sz w:val="20"/>
          <w:szCs w:val="20"/>
          <w:shd w:val="clear" w:color="auto" w:fill="FFF2CC"/>
        </w:rPr>
        <w:t xml:space="preserve">(SCOTUS, 1985)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Not clearly erroneous (t</w:t>
      </w:r>
      <w:r>
        <w:rPr>
          <w:rFonts w:ascii="Times New Roman" w:eastAsia="Times New Roman" w:hAnsi="Times New Roman" w:cs="Times New Roman"/>
          <w:color w:val="FF0000"/>
          <w:sz w:val="20"/>
          <w:szCs w:val="20"/>
        </w:rPr>
        <w:t xml:space="preserve">he standard of review drives the case, if a question of law and </w:t>
      </w:r>
      <w:r>
        <w:rPr>
          <w:rFonts w:ascii="Times New Roman" w:eastAsia="Times New Roman" w:hAnsi="Times New Roman" w:cs="Times New Roman"/>
          <w:i/>
          <w:color w:val="FF0000"/>
          <w:sz w:val="20"/>
          <w:szCs w:val="20"/>
        </w:rPr>
        <w:t>de novo</w:t>
      </w:r>
      <w:r>
        <w:rPr>
          <w:rFonts w:ascii="Times New Roman" w:eastAsia="Times New Roman" w:hAnsi="Times New Roman" w:cs="Times New Roman"/>
          <w:color w:val="FF0000"/>
          <w:sz w:val="20"/>
          <w:szCs w:val="20"/>
        </w:rPr>
        <w:t xml:space="preserve"> review, plaintiff would lose)</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“Clearly erroneous”; if lower court’s decision is rational then it is </w:t>
      </w:r>
      <w:r>
        <w:rPr>
          <w:rFonts w:ascii="Times New Roman" w:eastAsia="Times New Roman" w:hAnsi="Times New Roman" w:cs="Times New Roman"/>
          <w:i/>
          <w:color w:val="FF0000"/>
          <w:sz w:val="20"/>
          <w:szCs w:val="20"/>
        </w:rPr>
        <w:t>not</w:t>
      </w:r>
      <w:r>
        <w:rPr>
          <w:rFonts w:ascii="Times New Roman" w:eastAsia="Times New Roman" w:hAnsi="Times New Roman" w:cs="Times New Roman"/>
          <w:color w:val="FF0000"/>
          <w:sz w:val="20"/>
          <w:szCs w:val="20"/>
        </w:rPr>
        <w:t xml:space="preserve"> clearly erroneous; in the balance between efficiency and accuracy, err on the side of efficiency for Qs of fact (deference for precedent) and of accuracy for Qs of law</w:t>
      </w:r>
    </w:p>
    <w:p w:rsidR="00CD674D" w:rsidRDefault="00047DB3">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52(a)(6): Setting Aside the Findings</w:t>
      </w:r>
    </w:p>
    <w:p w:rsidR="00CD674D" w:rsidRDefault="00047DB3">
      <w:pPr>
        <w:rPr>
          <w:rFonts w:ascii="Times New Roman" w:eastAsia="Times New Roman" w:hAnsi="Times New Roman" w:cs="Times New Roman"/>
          <w:sz w:val="20"/>
          <w:szCs w:val="20"/>
        </w:rPr>
      </w:pPr>
      <w:r>
        <w:rPr>
          <w:noProof/>
        </w:rPr>
        <w:lastRenderedPageBreak/>
        <mc:AlternateContent>
          <mc:Choice Requires="wpg">
            <w:drawing>
              <wp:anchor distT="114300" distB="114300" distL="114300" distR="114300" simplePos="0" relativeHeight="251659264" behindDoc="1" locked="0" layoutInCell="1" hidden="0" allowOverlap="1">
                <wp:simplePos x="0" y="0"/>
                <wp:positionH relativeFrom="margin">
                  <wp:posOffset>136525</wp:posOffset>
                </wp:positionH>
                <wp:positionV relativeFrom="paragraph">
                  <wp:posOffset>0</wp:posOffset>
                </wp:positionV>
                <wp:extent cx="5791200" cy="2994518"/>
                <wp:effectExtent l="0" t="0" r="0" b="0"/>
                <wp:wrapTopAndBottom distT="114300" distB="114300"/>
                <wp:docPr id="23" name="Group 23"/>
                <wp:cNvGraphicFramePr/>
                <a:graphic xmlns:a="http://schemas.openxmlformats.org/drawingml/2006/main">
                  <a:graphicData uri="http://schemas.microsoft.com/office/word/2010/wordprocessingGroup">
                    <wpg:wgp>
                      <wpg:cNvGrpSpPr/>
                      <wpg:grpSpPr>
                        <a:xfrm>
                          <a:off x="0" y="0"/>
                          <a:ext cx="5791200" cy="2994518"/>
                          <a:chOff x="904950" y="548000"/>
                          <a:chExt cx="6110275" cy="2771775"/>
                        </a:xfrm>
                      </wpg:grpSpPr>
                      <wps:wsp>
                        <wps:cNvPr id="24" name="Straight Arrow Connector 24"/>
                        <wps:cNvCnPr/>
                        <wps:spPr>
                          <a:xfrm rot="10800000" flipH="1">
                            <a:off x="904950" y="1219550"/>
                            <a:ext cx="5681700" cy="14100"/>
                          </a:xfrm>
                          <a:prstGeom prst="straightConnector1">
                            <a:avLst/>
                          </a:prstGeom>
                          <a:noFill/>
                          <a:ln w="9525" cap="flat" cmpd="sng">
                            <a:solidFill>
                              <a:srgbClr val="000000"/>
                            </a:solidFill>
                            <a:prstDash val="solid"/>
                            <a:round/>
                            <a:headEnd type="none" w="lg" len="lg"/>
                            <a:tailEnd type="none" w="lg" len="lg"/>
                          </a:ln>
                        </wps:spPr>
                        <wps:bodyPr/>
                      </wps:wsp>
                      <wps:wsp>
                        <wps:cNvPr id="25" name="Text Box 25"/>
                        <wps:cNvSpPr txBox="1"/>
                        <wps:spPr>
                          <a:xfrm>
                            <a:off x="1066800" y="1281575"/>
                            <a:ext cx="1038300" cy="6381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Trial Testimony: Plaintiff’s case in chief</w:t>
                              </w:r>
                            </w:p>
                          </w:txbxContent>
                        </wps:txbx>
                        <wps:bodyPr spcFirstLastPara="1" wrap="square" lIns="91425" tIns="91425" rIns="91425" bIns="91425" anchor="t" anchorCtr="0"/>
                      </wps:wsp>
                      <wps:wsp>
                        <wps:cNvPr id="26" name="Text Box 26"/>
                        <wps:cNvSpPr txBox="1"/>
                        <wps:spPr>
                          <a:xfrm>
                            <a:off x="2171700" y="1281575"/>
                            <a:ext cx="1038300" cy="6381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Trial Testimony: Defendant’s evidence</w:t>
                              </w:r>
                            </w:p>
                          </w:txbxContent>
                        </wps:txbx>
                        <wps:bodyPr spcFirstLastPara="1" wrap="square" lIns="91425" tIns="91425" rIns="91425" bIns="91425" anchor="t" anchorCtr="0"/>
                      </wps:wsp>
                      <wps:wsp>
                        <wps:cNvPr id="27" name="Text Box 27"/>
                        <wps:cNvSpPr txBox="1"/>
                        <wps:spPr>
                          <a:xfrm>
                            <a:off x="3276600" y="1281575"/>
                            <a:ext cx="1038300" cy="6381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Trial Testimony: Plaintiff’s rebuttal</w:t>
                              </w:r>
                            </w:p>
                          </w:txbxContent>
                        </wps:txbx>
                        <wps:bodyPr spcFirstLastPara="1" wrap="square" lIns="91425" tIns="91425" rIns="91425" bIns="91425" anchor="t" anchorCtr="0"/>
                      </wps:wsp>
                      <wps:wsp>
                        <wps:cNvPr id="28" name="Text Box 28"/>
                        <wps:cNvSpPr txBox="1"/>
                        <wps:spPr>
                          <a:xfrm>
                            <a:off x="4381500" y="1281575"/>
                            <a:ext cx="1038300" cy="6381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Jury Instructed and Deliberates</w:t>
                              </w:r>
                            </w:p>
                          </w:txbxContent>
                        </wps:txbx>
                        <wps:bodyPr spcFirstLastPara="1" wrap="square" lIns="91425" tIns="91425" rIns="91425" bIns="91425" anchor="t" anchorCtr="0"/>
                      </wps:wsp>
                      <wps:wsp>
                        <wps:cNvPr id="29" name="Text Box 29"/>
                        <wps:cNvSpPr txBox="1"/>
                        <wps:spPr>
                          <a:xfrm>
                            <a:off x="5486400" y="1357775"/>
                            <a:ext cx="1038300" cy="6381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Jury Verdict</w:t>
                              </w:r>
                            </w:p>
                          </w:txbxContent>
                        </wps:txbx>
                        <wps:bodyPr spcFirstLastPara="1" wrap="square" lIns="91425" tIns="91425" rIns="91425" bIns="91425" anchor="t" anchorCtr="0"/>
                      </wps:wsp>
                      <wps:wsp>
                        <wps:cNvPr id="30" name="Straight Arrow Connector 30"/>
                        <wps:cNvCnPr/>
                        <wps:spPr>
                          <a:xfrm rot="10800000">
                            <a:off x="2104950" y="1376825"/>
                            <a:ext cx="9600" cy="1466700"/>
                          </a:xfrm>
                          <a:prstGeom prst="straightConnector1">
                            <a:avLst/>
                          </a:prstGeom>
                          <a:noFill/>
                          <a:ln w="9525" cap="flat" cmpd="sng">
                            <a:solidFill>
                              <a:srgbClr val="000000"/>
                            </a:solidFill>
                            <a:prstDash val="solid"/>
                            <a:round/>
                            <a:headEnd type="none" w="lg" len="lg"/>
                            <a:tailEnd type="triangle" w="lg" len="lg"/>
                          </a:ln>
                        </wps:spPr>
                        <wps:bodyPr/>
                      </wps:wsp>
                      <wps:wsp>
                        <wps:cNvPr id="31" name="Straight Arrow Connector 31"/>
                        <wps:cNvCnPr/>
                        <wps:spPr>
                          <a:xfrm rot="10800000">
                            <a:off x="3243225" y="1376825"/>
                            <a:ext cx="9600" cy="1466700"/>
                          </a:xfrm>
                          <a:prstGeom prst="straightConnector1">
                            <a:avLst/>
                          </a:prstGeom>
                          <a:noFill/>
                          <a:ln w="9525" cap="flat" cmpd="sng">
                            <a:solidFill>
                              <a:srgbClr val="000000"/>
                            </a:solidFill>
                            <a:prstDash val="solid"/>
                            <a:round/>
                            <a:headEnd type="none" w="lg" len="lg"/>
                            <a:tailEnd type="triangle" w="lg" len="lg"/>
                          </a:ln>
                        </wps:spPr>
                        <wps:bodyPr/>
                      </wps:wsp>
                      <wps:wsp>
                        <wps:cNvPr id="32" name="Straight Arrow Connector 32"/>
                        <wps:cNvCnPr/>
                        <wps:spPr>
                          <a:xfrm rot="10800000">
                            <a:off x="4364813" y="1376825"/>
                            <a:ext cx="9600" cy="1466700"/>
                          </a:xfrm>
                          <a:prstGeom prst="straightConnector1">
                            <a:avLst/>
                          </a:prstGeom>
                          <a:noFill/>
                          <a:ln w="9525" cap="flat" cmpd="sng">
                            <a:solidFill>
                              <a:srgbClr val="000000"/>
                            </a:solidFill>
                            <a:prstDash val="solid"/>
                            <a:round/>
                            <a:headEnd type="none" w="lg" len="lg"/>
                            <a:tailEnd type="triangle" w="lg" len="lg"/>
                          </a:ln>
                        </wps:spPr>
                        <wps:bodyPr/>
                      </wps:wsp>
                      <wps:wsp>
                        <wps:cNvPr id="33" name="Straight Arrow Connector 33"/>
                        <wps:cNvCnPr/>
                        <wps:spPr>
                          <a:xfrm rot="10800000">
                            <a:off x="6434125" y="1376825"/>
                            <a:ext cx="9600" cy="1466700"/>
                          </a:xfrm>
                          <a:prstGeom prst="straightConnector1">
                            <a:avLst/>
                          </a:prstGeom>
                          <a:noFill/>
                          <a:ln w="9525" cap="flat" cmpd="sng">
                            <a:solidFill>
                              <a:srgbClr val="000000"/>
                            </a:solidFill>
                            <a:prstDash val="solid"/>
                            <a:round/>
                            <a:headEnd type="none" w="lg" len="lg"/>
                            <a:tailEnd type="triangle" w="lg" len="lg"/>
                          </a:ln>
                        </wps:spPr>
                        <wps:bodyPr/>
                      </wps:wsp>
                      <wps:wsp>
                        <wps:cNvPr id="34" name="Text Box 34"/>
                        <wps:cNvSpPr txBox="1"/>
                        <wps:spPr>
                          <a:xfrm>
                            <a:off x="1533450" y="2862575"/>
                            <a:ext cx="1152600" cy="4572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Defendant moves for JMOL</w:t>
                              </w:r>
                            </w:p>
                          </w:txbxContent>
                        </wps:txbx>
                        <wps:bodyPr spcFirstLastPara="1" wrap="square" lIns="91425" tIns="91425" rIns="91425" bIns="91425" anchor="t" anchorCtr="0"/>
                      </wps:wsp>
                      <wps:wsp>
                        <wps:cNvPr id="35" name="Text Box 35"/>
                        <wps:cNvSpPr txBox="1"/>
                        <wps:spPr>
                          <a:xfrm>
                            <a:off x="2671725" y="2862575"/>
                            <a:ext cx="1152600" cy="4572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Plaintiff (and Defendant) moves for JMOL</w:t>
                              </w:r>
                            </w:p>
                          </w:txbxContent>
                        </wps:txbx>
                        <wps:bodyPr spcFirstLastPara="1" wrap="square" lIns="91425" tIns="91425" rIns="91425" bIns="91425" anchor="t" anchorCtr="0"/>
                      </wps:wsp>
                      <wps:wsp>
                        <wps:cNvPr id="36" name="Text Box 36"/>
                        <wps:cNvSpPr txBox="1"/>
                        <wps:spPr>
                          <a:xfrm>
                            <a:off x="3793325" y="2862575"/>
                            <a:ext cx="1152600" cy="4572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Defendant and Plaintiff move for JMOL</w:t>
                              </w:r>
                            </w:p>
                          </w:txbxContent>
                        </wps:txbx>
                        <wps:bodyPr spcFirstLastPara="1" wrap="square" lIns="91425" tIns="91425" rIns="91425" bIns="91425" anchor="t" anchorCtr="0"/>
                      </wps:wsp>
                      <wps:wsp>
                        <wps:cNvPr id="37" name="Text Box 37"/>
                        <wps:cNvSpPr txBox="1"/>
                        <wps:spPr>
                          <a:xfrm>
                            <a:off x="5862625" y="2843525"/>
                            <a:ext cx="1152600" cy="457200"/>
                          </a:xfrm>
                          <a:prstGeom prst="rect">
                            <a:avLst/>
                          </a:prstGeom>
                          <a:noFill/>
                          <a:ln>
                            <a:noFill/>
                          </a:ln>
                        </wps:spPr>
                        <wps:txbx>
                          <w:txbxContent>
                            <w:p w:rsidR="00CD674D" w:rsidRDefault="00047DB3">
                              <w:pPr>
                                <w:spacing w:line="240" w:lineRule="auto"/>
                                <w:jc w:val="center"/>
                                <w:textDirection w:val="btLr"/>
                              </w:pPr>
                              <w:r>
                                <w:rPr>
                                  <w:rFonts w:ascii="Times New Roman" w:eastAsia="Times New Roman" w:hAnsi="Times New Roman" w:cs="Times New Roman"/>
                                  <w:sz w:val="20"/>
                                </w:rPr>
                                <w:t>“Renewed” Motions for JMOL (FRCP 50(b)) and Motions for New Trial (FRCP 59)</w:t>
                              </w:r>
                            </w:p>
                          </w:txbxContent>
                        </wps:txbx>
                        <wps:bodyPr spcFirstLastPara="1" wrap="square" lIns="91425" tIns="91425" rIns="91425" bIns="91425" anchor="t" anchorCtr="0"/>
                      </wps:wsp>
                      <wps:wsp>
                        <wps:cNvPr id="38" name="Straight Arrow Connector 38"/>
                        <wps:cNvCnPr/>
                        <wps:spPr>
                          <a:xfrm>
                            <a:off x="6005550" y="1357775"/>
                            <a:ext cx="0" cy="0"/>
                          </a:xfrm>
                          <a:prstGeom prst="straightConnector1">
                            <a:avLst/>
                          </a:prstGeom>
                          <a:noFill/>
                          <a:ln w="9525" cap="flat" cmpd="sng">
                            <a:solidFill>
                              <a:srgbClr val="000000"/>
                            </a:solidFill>
                            <a:prstDash val="solid"/>
                            <a:round/>
                            <a:headEnd type="none" w="lg" len="lg"/>
                            <a:tailEnd type="none" w="lg" len="lg"/>
                          </a:ln>
                        </wps:spPr>
                        <wps:bodyPr/>
                      </wps:wsp>
                      <wps:wsp>
                        <wps:cNvPr id="39" name="Straight Arrow Connector 39"/>
                        <wps:cNvCnPr/>
                        <wps:spPr>
                          <a:xfrm>
                            <a:off x="6005550" y="1357775"/>
                            <a:ext cx="0" cy="0"/>
                          </a:xfrm>
                          <a:prstGeom prst="straightConnector1">
                            <a:avLst/>
                          </a:prstGeom>
                          <a:noFill/>
                          <a:ln w="9525" cap="flat" cmpd="sng">
                            <a:solidFill>
                              <a:srgbClr val="000000"/>
                            </a:solidFill>
                            <a:prstDash val="solid"/>
                            <a:round/>
                            <a:headEnd type="none" w="lg" len="lg"/>
                            <a:tailEnd type="none" w="lg" len="lg"/>
                          </a:ln>
                        </wps:spPr>
                        <wps:bodyPr/>
                      </wps:wsp>
                      <wps:wsp>
                        <wps:cNvPr id="40" name="Straight Arrow Connector 40"/>
                        <wps:cNvCnPr/>
                        <wps:spPr>
                          <a:xfrm>
                            <a:off x="6005550" y="986150"/>
                            <a:ext cx="0" cy="438300"/>
                          </a:xfrm>
                          <a:prstGeom prst="straightConnector1">
                            <a:avLst/>
                          </a:prstGeom>
                          <a:noFill/>
                          <a:ln w="9525" cap="flat" cmpd="sng">
                            <a:solidFill>
                              <a:srgbClr val="000000"/>
                            </a:solidFill>
                            <a:prstDash val="solid"/>
                            <a:round/>
                            <a:headEnd type="none" w="lg" len="lg"/>
                            <a:tailEnd type="none" w="lg" len="lg"/>
                          </a:ln>
                        </wps:spPr>
                        <wps:bodyPr/>
                      </wps:wsp>
                      <wps:wsp>
                        <wps:cNvPr id="41" name="Text Box 41"/>
                        <wps:cNvSpPr txBox="1"/>
                        <wps:spPr>
                          <a:xfrm rot="5400000">
                            <a:off x="5815050" y="967100"/>
                            <a:ext cx="1038300" cy="5049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60"/>
                                </w:rPr>
                                <w:t>{</w:t>
                              </w:r>
                            </w:p>
                          </w:txbxContent>
                        </wps:txbx>
                        <wps:bodyPr spcFirstLastPara="1" wrap="square" lIns="91425" tIns="91425" rIns="91425" bIns="91425" anchor="t" anchorCtr="0"/>
                      </wps:wsp>
                      <wps:wsp>
                        <wps:cNvPr id="42" name="Text Box 42"/>
                        <wps:cNvSpPr txBox="1"/>
                        <wps:spPr>
                          <a:xfrm>
                            <a:off x="5934075" y="548000"/>
                            <a:ext cx="924000" cy="1809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28 Days</w:t>
                              </w:r>
                            </w:p>
                          </w:txbxContent>
                        </wps:txbx>
                        <wps:bodyPr spcFirstLastPara="1" wrap="square" lIns="91425" tIns="91425" rIns="91425" bIns="91425" anchor="t" anchorCtr="0"/>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posOffset>136525</wp:posOffset>
                </wp:positionH>
                <wp:positionV relativeFrom="paragraph">
                  <wp:posOffset>0</wp:posOffset>
                </wp:positionV>
                <wp:extent cx="5791200" cy="2994518"/>
                <wp:effectExtent b="0" l="0" r="0" t="0"/>
                <wp:wrapTopAndBottom distB="114300" distT="114300"/>
                <wp:docPr id="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791200" cy="2994518"/>
                        </a:xfrm>
                        <a:prstGeom prst="rect"/>
                        <a:ln/>
                      </pic:spPr>
                    </pic:pic>
                  </a:graphicData>
                </a:graphic>
              </wp:anchor>
            </w:drawing>
          </mc:Fallback>
        </mc:AlternateContent>
      </w:r>
    </w:p>
    <w:p w:rsidR="00CD674D" w:rsidRDefault="00047DB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Respect for Judgments: Preclusion</w:t>
      </w:r>
    </w:p>
    <w:p w:rsidR="00CD674D" w:rsidRDefault="00047DB3">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(CB 46-52, 715-744, 749-772, 778-790; FRCP 13, 41; USC § 1738)</w:t>
      </w:r>
    </w:p>
    <w:p w:rsidR="00CD674D" w:rsidRDefault="00047DB3">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sz w:val="20"/>
          <w:szCs w:val="20"/>
        </w:rPr>
        <w:t>Claim Preclusion v. Issue Preclusion</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Claim preclusion (res judicata, estoppel by judgment) – prevents a party from relitigating a claim that was decided in a prior case </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Usually involves claims that were not decided or even raised in the first lawsuit</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Prevents litigating </w:t>
      </w:r>
      <w:r>
        <w:rPr>
          <w:rFonts w:ascii="Times New Roman" w:eastAsia="Times New Roman" w:hAnsi="Times New Roman" w:cs="Times New Roman"/>
          <w:i/>
          <w:sz w:val="20"/>
          <w:szCs w:val="20"/>
        </w:rPr>
        <w:t>whole claims</w:t>
      </w:r>
      <w:r>
        <w:rPr>
          <w:rFonts w:ascii="Times New Roman" w:eastAsia="Times New Roman" w:hAnsi="Times New Roman" w:cs="Times New Roman"/>
          <w:sz w:val="20"/>
          <w:szCs w:val="20"/>
        </w:rPr>
        <w:t xml:space="preserve"> based on</w:t>
      </w:r>
      <w:r>
        <w:rPr>
          <w:rFonts w:ascii="Times New Roman" w:eastAsia="Times New Roman" w:hAnsi="Times New Roman" w:cs="Times New Roman"/>
          <w:sz w:val="20"/>
          <w:szCs w:val="20"/>
        </w:rPr>
        <w:t xml:space="preserve"> same operative nucleus of facts  </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Issue preclusion (collateral estoppel, estoppel by verdict) – prevents a party from relitigating an issue that was decided in a prior case</w:t>
      </w:r>
    </w:p>
    <w:p w:rsidR="00CD674D" w:rsidRDefault="00047DB3">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sz w:val="20"/>
          <w:szCs w:val="20"/>
        </w:rPr>
        <w:t xml:space="preserve">Claim Preclusion </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Precludes relitigating: (1) The same claim, (2) between the same</w:t>
      </w:r>
      <w:r>
        <w:rPr>
          <w:rFonts w:ascii="Times New Roman" w:eastAsia="Times New Roman" w:hAnsi="Times New Roman" w:cs="Times New Roman"/>
          <w:sz w:val="20"/>
          <w:szCs w:val="20"/>
        </w:rPr>
        <w:t xml:space="preserve"> parties (and in the same configuration – same claimant against same defendant), (3) after a final judgment on the merits, (4) when there was a full and fair opportunity to litigate the claim in the previous suit   </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Goals of Preclusion:</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Efficiency – co</w:t>
      </w:r>
      <w:r>
        <w:rPr>
          <w:rFonts w:ascii="Times New Roman" w:eastAsia="Times New Roman" w:hAnsi="Times New Roman" w:cs="Times New Roman"/>
          <w:sz w:val="20"/>
          <w:szCs w:val="20"/>
        </w:rPr>
        <w:t>mes into play when a plaintiff in first suit seeks to bring a related claim in a second suit. Precluded because inefficient to bring claims in separate suits (</w:t>
      </w:r>
      <w:r>
        <w:rPr>
          <w:rFonts w:ascii="Times New Roman" w:eastAsia="Times New Roman" w:hAnsi="Times New Roman" w:cs="Times New Roman"/>
          <w:i/>
          <w:color w:val="FF0000"/>
          <w:sz w:val="20"/>
          <w:szCs w:val="20"/>
        </w:rPr>
        <w:t>Frier</w:t>
      </w:r>
      <w:r>
        <w:rPr>
          <w:rFonts w:ascii="Times New Roman" w:eastAsia="Times New Roman" w:hAnsi="Times New Roman" w:cs="Times New Roman"/>
          <w:sz w:val="20"/>
          <w:szCs w:val="20"/>
        </w:rPr>
        <w:t>)</w:t>
      </w:r>
    </w:p>
    <w:p w:rsidR="00CD674D" w:rsidRDefault="00047DB3">
      <w:pPr>
        <w:numPr>
          <w:ilvl w:val="3"/>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Frier v. City of Vandalia </w:t>
      </w:r>
      <w:r>
        <w:rPr>
          <w:rFonts w:ascii="Times New Roman" w:eastAsia="Times New Roman" w:hAnsi="Times New Roman" w:cs="Times New Roman"/>
          <w:color w:val="FF0000"/>
          <w:sz w:val="20"/>
          <w:szCs w:val="20"/>
          <w:shd w:val="clear" w:color="auto" w:fill="FFF2CC"/>
        </w:rPr>
        <w:t>(7th Cir., 1985)</w:t>
      </w:r>
    </w:p>
    <w:p w:rsidR="00CD674D" w:rsidRDefault="00047DB3">
      <w:pPr>
        <w:ind w:left="2160" w:firstLine="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City is entitled to prevail on claim preclusion (precluded)</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If had filed in state court, would have lost under claim preclusion, therefore he loses in federal court as well; could have joined a separate constitutional claim to his replevin action</w:t>
      </w:r>
    </w:p>
    <w:p w:rsidR="00CD674D" w:rsidRDefault="00047DB3">
      <w:pPr>
        <w:ind w:left="2880"/>
        <w:rPr>
          <w:rFonts w:ascii="Times New Roman" w:eastAsia="Times New Roman" w:hAnsi="Times New Roman" w:cs="Times New Roman"/>
          <w:b/>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One suit precludes a second “where the parties and the COA are identical”; “identical” where the evidence necessary to sustain a second verdict would sustain the first, where COAs are based upon a common core of operative facts</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Finality – avoid death b</w:t>
      </w:r>
      <w:r>
        <w:rPr>
          <w:rFonts w:ascii="Times New Roman" w:eastAsia="Times New Roman" w:hAnsi="Times New Roman" w:cs="Times New Roman"/>
          <w:sz w:val="20"/>
          <w:szCs w:val="20"/>
        </w:rPr>
        <w:t>y a thousand lawsuits</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Consistency – comes into play when a defendant to the first suit raises a claim in the second suit that was a defense to the plaintiff’s claim in the first suit. Preclusion ensures that the second suit doesn’t undermine the outcom</w:t>
      </w:r>
      <w:r>
        <w:rPr>
          <w:rFonts w:ascii="Times New Roman" w:eastAsia="Times New Roman" w:hAnsi="Times New Roman" w:cs="Times New Roman"/>
          <w:sz w:val="20"/>
          <w:szCs w:val="20"/>
        </w:rPr>
        <w:t>e of the first</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The Same Claim</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Same Transaction Test</w:t>
      </w:r>
      <w:r>
        <w:rPr>
          <w:rFonts w:ascii="Times New Roman" w:eastAsia="Times New Roman" w:hAnsi="Times New Roman" w:cs="Times New Roman"/>
          <w:sz w:val="20"/>
          <w:szCs w:val="20"/>
        </w:rPr>
        <w:t xml:space="preserve"> (federal courts, majority rule for states) – precludes all transactions or series of connected transactions out of which the action arose</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Transaction </w:t>
      </w:r>
      <w:r>
        <w:rPr>
          <w:rFonts w:ascii="Times New Roman" w:eastAsia="Times New Roman" w:hAnsi="Times New Roman" w:cs="Times New Roman"/>
          <w:sz w:val="20"/>
          <w:szCs w:val="20"/>
        </w:rPr>
        <w:t>– preclude all legal theories and claims arising o</w:t>
      </w:r>
      <w:r>
        <w:rPr>
          <w:rFonts w:ascii="Times New Roman" w:eastAsia="Times New Roman" w:hAnsi="Times New Roman" w:cs="Times New Roman"/>
          <w:sz w:val="20"/>
          <w:szCs w:val="20"/>
        </w:rPr>
        <w:t>ut of a “common core of operative facts”</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13(a): Compulsory Counterclaim</w:t>
      </w:r>
      <w:r>
        <w:rPr>
          <w:rFonts w:ascii="Times New Roman" w:eastAsia="Times New Roman" w:hAnsi="Times New Roman" w:cs="Times New Roman"/>
          <w:sz w:val="20"/>
          <w:szCs w:val="20"/>
        </w:rPr>
        <w:t xml:space="preserve"> – (1) In General: A pleading must state as a counterclaim any claim that – at the time of its service – the pleader has against an </w:t>
      </w:r>
      <w:r>
        <w:rPr>
          <w:rFonts w:ascii="Times New Roman" w:eastAsia="Times New Roman" w:hAnsi="Times New Roman" w:cs="Times New Roman"/>
          <w:sz w:val="20"/>
          <w:szCs w:val="20"/>
        </w:rPr>
        <w:lastRenderedPageBreak/>
        <w:t>opposing party if the claim (A) Arises out of th</w:t>
      </w:r>
      <w:r>
        <w:rPr>
          <w:rFonts w:ascii="Times New Roman" w:eastAsia="Times New Roman" w:hAnsi="Times New Roman" w:cs="Times New Roman"/>
          <w:sz w:val="20"/>
          <w:szCs w:val="20"/>
        </w:rPr>
        <w:t>e transaction or occurrence that is the subject matter of the opposing party’s claim</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Same Evidence Test</w:t>
      </w:r>
      <w:r>
        <w:rPr>
          <w:rFonts w:ascii="Times New Roman" w:eastAsia="Times New Roman" w:hAnsi="Times New Roman" w:cs="Times New Roman"/>
          <w:sz w:val="20"/>
          <w:szCs w:val="20"/>
        </w:rPr>
        <w:t xml:space="preserve"> (minority rule for states) – focuses on whether the same evidence would be used in the two causes of action </w:t>
      </w:r>
    </w:p>
    <w:p w:rsidR="00CD674D" w:rsidRDefault="00047DB3">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Rush v. City of Maple Heights</w:t>
      </w:r>
      <w:r>
        <w:rPr>
          <w:rFonts w:ascii="Times New Roman" w:eastAsia="Times New Roman" w:hAnsi="Times New Roman" w:cs="Times New Roman"/>
          <w:color w:val="FF0000"/>
          <w:sz w:val="20"/>
          <w:szCs w:val="20"/>
          <w:shd w:val="clear" w:color="auto" w:fill="FFF2CC"/>
        </w:rPr>
        <w:t xml:space="preserve"> (Ohio St., 1958) </w:t>
      </w:r>
    </w:p>
    <w:p w:rsidR="00CD674D" w:rsidRDefault="00047DB3">
      <w:pPr>
        <w:ind w:left="1440" w:firstLine="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Claim precluded (lost because didn’t bring together in suit #1)</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If plaintiff fails to sue for the entire damage done to him by the tort, a second action for the damages omitted will be precluded by the judgment in the first suit</w:t>
      </w:r>
      <w:r>
        <w:rPr>
          <w:rFonts w:ascii="Times New Roman" w:eastAsia="Times New Roman" w:hAnsi="Times New Roman" w:cs="Times New Roman"/>
          <w:color w:val="FF0000"/>
          <w:sz w:val="20"/>
          <w:szCs w:val="20"/>
        </w:rPr>
        <w:t xml:space="preserve"> brought and tried</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Between the Same Parties (and in the same configuration – same claimant against same defendant)</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Preclusion bars a nonparty to suit #1 from a later suit (</w:t>
      </w:r>
      <w:r>
        <w:rPr>
          <w:rFonts w:ascii="Times New Roman" w:eastAsia="Times New Roman" w:hAnsi="Times New Roman" w:cs="Times New Roman"/>
          <w:i/>
          <w:color w:val="FF0000"/>
          <w:sz w:val="20"/>
          <w:szCs w:val="20"/>
        </w:rPr>
        <w:t>Searle Brothers v. Searle</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Taylor</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i/>
          <w:color w:val="FF0000"/>
          <w:sz w:val="20"/>
          <w:szCs w:val="20"/>
        </w:rPr>
        <w:t>the Seven Tall Men</w:t>
      </w:r>
      <w:r>
        <w:rPr>
          <w:rFonts w:ascii="Times New Roman" w:eastAsia="Times New Roman" w:hAnsi="Times New Roman" w:cs="Times New Roman"/>
          <w:sz w:val="20"/>
          <w:szCs w:val="20"/>
        </w:rPr>
        <w:t>); preclusion bars a non-party to suit #1 from a later suit when there is “privity”:</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Consent – non-party agrees to be bound by the first suit (i.e. in a settlement agreement)</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Substantive legal relationship between the nonparty and a party to the first suit</w:t>
      </w:r>
      <w:r>
        <w:rPr>
          <w:rFonts w:ascii="Times New Roman" w:eastAsia="Times New Roman" w:hAnsi="Times New Roman" w:cs="Times New Roman"/>
          <w:sz w:val="20"/>
          <w:szCs w:val="20"/>
        </w:rPr>
        <w:t xml:space="preserve"> (i.e. successive owners of land)</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Adequate representation (i.e. agent and principal, trustees and beneficiaries, heirs and executors of estates)</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Legislative action (i.e. statutory schemes)</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Procedural representation – (a) class action representatives, (b) assumption of control over litigation, (c) </w:t>
      </w:r>
      <w:r>
        <w:rPr>
          <w:rFonts w:ascii="Times New Roman" w:eastAsia="Times New Roman" w:hAnsi="Times New Roman" w:cs="Times New Roman"/>
          <w:i/>
          <w:sz w:val="20"/>
          <w:szCs w:val="20"/>
        </w:rPr>
        <w:t>virtual representation</w:t>
      </w:r>
      <w:r>
        <w:rPr>
          <w:rFonts w:ascii="Times New Roman" w:eastAsia="Times New Roman" w:hAnsi="Times New Roman" w:cs="Times New Roman"/>
          <w:sz w:val="20"/>
          <w:szCs w:val="20"/>
        </w:rPr>
        <w:t>? (no)</w:t>
      </w:r>
    </w:p>
    <w:p w:rsidR="00CD674D" w:rsidRDefault="00047DB3">
      <w:pPr>
        <w:numPr>
          <w:ilvl w:val="3"/>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Searle Brothers v. Searle</w:t>
      </w:r>
      <w:r>
        <w:rPr>
          <w:rFonts w:ascii="Times New Roman" w:eastAsia="Times New Roman" w:hAnsi="Times New Roman" w:cs="Times New Roman"/>
          <w:color w:val="FF0000"/>
          <w:sz w:val="20"/>
          <w:szCs w:val="20"/>
          <w:shd w:val="clear" w:color="auto" w:fill="FFF2CC"/>
        </w:rPr>
        <w:t xml:space="preserve"> (Utah, 1978)</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Not precluded (not “adequate representation” by father acting as agent of bu</w:t>
      </w:r>
      <w:r>
        <w:rPr>
          <w:rFonts w:ascii="Times New Roman" w:eastAsia="Times New Roman" w:hAnsi="Times New Roman" w:cs="Times New Roman"/>
          <w:color w:val="FF0000"/>
          <w:sz w:val="20"/>
          <w:szCs w:val="20"/>
        </w:rPr>
        <w:t>siness to represent the interests of the sons) because father in the prior suit was acting on his own (not in privity)</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D: </w:t>
      </w:r>
      <w:r>
        <w:rPr>
          <w:rFonts w:ascii="Times New Roman" w:eastAsia="Times New Roman" w:hAnsi="Times New Roman" w:cs="Times New Roman"/>
          <w:color w:val="FF0000"/>
          <w:sz w:val="20"/>
          <w:szCs w:val="20"/>
        </w:rPr>
        <w:t>Brothers (Ps) weren’t unknowingly/unrepresented party to suit #1 – they testified in father’s divorce trial</w:t>
      </w:r>
    </w:p>
    <w:p w:rsidR="00CD674D" w:rsidRDefault="00047DB3">
      <w:pPr>
        <w:numPr>
          <w:ilvl w:val="3"/>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Taylor v. Sturgell</w:t>
      </w:r>
      <w:r>
        <w:rPr>
          <w:rFonts w:ascii="Times New Roman" w:eastAsia="Times New Roman" w:hAnsi="Times New Roman" w:cs="Times New Roman"/>
          <w:color w:val="FF0000"/>
          <w:sz w:val="20"/>
          <w:szCs w:val="20"/>
          <w:shd w:val="clear" w:color="auto" w:fill="FFF2CC"/>
        </w:rPr>
        <w:t xml:space="preserve"> (SCOTUS</w:t>
      </w:r>
      <w:r>
        <w:rPr>
          <w:rFonts w:ascii="Times New Roman" w:eastAsia="Times New Roman" w:hAnsi="Times New Roman" w:cs="Times New Roman"/>
          <w:color w:val="FF0000"/>
          <w:sz w:val="20"/>
          <w:szCs w:val="20"/>
          <w:shd w:val="clear" w:color="auto" w:fill="FFF2CC"/>
        </w:rPr>
        <w:t xml:space="preserve">, 2008) </w:t>
      </w:r>
    </w:p>
    <w:p w:rsidR="00CD674D" w:rsidRDefault="00047DB3">
      <w:pPr>
        <w:ind w:left="2160" w:firstLine="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Not precluded by the judgment against Herrick </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Each individual as a matter of Due Process gets their day in court, e.g. a full and fair opportunity to litigate their claim (court disapproves of doctrine of preclusion by “virtual represent</w:t>
      </w:r>
      <w:r>
        <w:rPr>
          <w:rFonts w:ascii="Times New Roman" w:eastAsia="Times New Roman" w:hAnsi="Times New Roman" w:cs="Times New Roman"/>
          <w:color w:val="FF0000"/>
          <w:sz w:val="20"/>
          <w:szCs w:val="20"/>
        </w:rPr>
        <w:t>ation”)</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(Day in court argument) Other party deserves to get own lawyer, make own litigation choices/decisions, and not be held to prior party’s missteps (consider court strategy decisions, not just lawyer – so ok even though both parties had same lawyer</w:t>
      </w:r>
      <w:r>
        <w:rPr>
          <w:rFonts w:ascii="Times New Roman" w:eastAsia="Times New Roman" w:hAnsi="Times New Roman" w:cs="Times New Roman"/>
          <w:color w:val="FF0000"/>
          <w:sz w:val="20"/>
          <w:szCs w:val="20"/>
        </w:rPr>
        <w:t>)</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After a Final Judgment on the Merits</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judgment final? (If there’s an appeal?)</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it “on the merits?”</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41: Dismissal of Actions</w:t>
      </w:r>
      <w:r>
        <w:rPr>
          <w:rFonts w:ascii="Times New Roman" w:eastAsia="Times New Roman" w:hAnsi="Times New Roman" w:cs="Times New Roman"/>
          <w:sz w:val="20"/>
          <w:szCs w:val="20"/>
        </w:rPr>
        <w:t xml:space="preserve"> </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party had an opportunity to litigate the merits?</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preclusion needed for court to enforce procedural rules (i.e. noncompliance with discovery orders)?</w:t>
      </w:r>
    </w:p>
    <w:p w:rsidR="00CD674D" w:rsidRDefault="00047DB3">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41(b): Involuntary Dismissal; Effect</w:t>
      </w:r>
      <w:r>
        <w:rPr>
          <w:rFonts w:ascii="Times New Roman" w:eastAsia="Times New Roman" w:hAnsi="Times New Roman" w:cs="Times New Roman"/>
          <w:sz w:val="20"/>
          <w:szCs w:val="20"/>
        </w:rPr>
        <w:t xml:space="preserve"> – If the plaintiff fails to prosecute or to comply with these rules or a court order, a defendant may move to d</w:t>
      </w:r>
      <w:r>
        <w:rPr>
          <w:rFonts w:ascii="Times New Roman" w:eastAsia="Times New Roman" w:hAnsi="Times New Roman" w:cs="Times New Roman"/>
          <w:sz w:val="20"/>
          <w:szCs w:val="20"/>
        </w:rPr>
        <w:t>ismiss the action or any claim against it. Unless the dismissal order states otherwise, a dismissal under this subdivision (b) and any dismissal not under this rule – except one for lack of jurisdiction, improper venue, or failure to join a party under Rul</w:t>
      </w:r>
      <w:r>
        <w:rPr>
          <w:rFonts w:ascii="Times New Roman" w:eastAsia="Times New Roman" w:hAnsi="Times New Roman" w:cs="Times New Roman"/>
          <w:sz w:val="20"/>
          <w:szCs w:val="20"/>
        </w:rPr>
        <w:t xml:space="preserve">e 19 – operates as an adjudication on the merits (unless based on jurisdiction, venue, or indispensable parties)  </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“Without prejudice” = </w:t>
      </w:r>
      <w:r>
        <w:rPr>
          <w:rFonts w:ascii="Times New Roman" w:eastAsia="Times New Roman" w:hAnsi="Times New Roman" w:cs="Times New Roman"/>
          <w:i/>
          <w:sz w:val="20"/>
          <w:szCs w:val="20"/>
        </w:rPr>
        <w:t>not</w:t>
      </w:r>
      <w:r>
        <w:rPr>
          <w:rFonts w:ascii="Times New Roman" w:eastAsia="Times New Roman" w:hAnsi="Times New Roman" w:cs="Times New Roman"/>
          <w:sz w:val="20"/>
          <w:szCs w:val="20"/>
        </w:rPr>
        <w:t xml:space="preserve"> on the merits</w:t>
      </w:r>
    </w:p>
    <w:p w:rsidR="00CD674D" w:rsidRDefault="00CD674D">
      <w:pPr>
        <w:ind w:left="2160"/>
        <w:rPr>
          <w:rFonts w:ascii="Times New Roman" w:eastAsia="Times New Roman" w:hAnsi="Times New Roman" w:cs="Times New Roman"/>
          <w:sz w:val="20"/>
          <w:szCs w:val="20"/>
        </w:rPr>
      </w:pPr>
    </w:p>
    <w:p w:rsidR="00CD674D" w:rsidRDefault="00CD674D">
      <w:pPr>
        <w:ind w:left="2160"/>
        <w:rPr>
          <w:rFonts w:ascii="Times New Roman" w:eastAsia="Times New Roman" w:hAnsi="Times New Roman" w:cs="Times New Roman"/>
          <w:sz w:val="20"/>
          <w:szCs w:val="20"/>
        </w:rPr>
      </w:pPr>
    </w:p>
    <w:p w:rsidR="00CD674D" w:rsidRDefault="00CD674D">
      <w:pPr>
        <w:ind w:left="2160"/>
        <w:rPr>
          <w:rFonts w:ascii="Times New Roman" w:eastAsia="Times New Roman" w:hAnsi="Times New Roman" w:cs="Times New Roman"/>
          <w:sz w:val="20"/>
          <w:szCs w:val="20"/>
        </w:rPr>
      </w:pPr>
    </w:p>
    <w:p w:rsidR="00CD674D" w:rsidRDefault="00047DB3">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sz w:val="20"/>
          <w:szCs w:val="20"/>
        </w:rPr>
        <w:t>Issue Preclusion</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Elements: When (1) an issue of fact or law is (2) actually litigated and determined by (3) a valid and final judgment [on the merits]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(4) the determination is essential to the judgment, the determination is conclusive in a subsequent action </w:t>
      </w:r>
      <w:r>
        <w:rPr>
          <w:rFonts w:ascii="Times New Roman" w:eastAsia="Times New Roman" w:hAnsi="Times New Roman" w:cs="Times New Roman"/>
          <w:i/>
          <w:sz w:val="20"/>
          <w:szCs w:val="20"/>
        </w:rPr>
        <w:t>between the</w:t>
      </w:r>
      <w:r>
        <w:rPr>
          <w:rFonts w:ascii="Times New Roman" w:eastAsia="Times New Roman" w:hAnsi="Times New Roman" w:cs="Times New Roman"/>
          <w:i/>
          <w:sz w:val="20"/>
          <w:szCs w:val="20"/>
        </w:rPr>
        <w:t xml:space="preserve"> parties</w:t>
      </w:r>
      <w:r>
        <w:rPr>
          <w:rFonts w:ascii="Times New Roman" w:eastAsia="Times New Roman" w:hAnsi="Times New Roman" w:cs="Times New Roman"/>
          <w:sz w:val="20"/>
          <w:szCs w:val="20"/>
        </w:rPr>
        <w:t xml:space="preserve">, whether on the same or a different claim </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Goals: </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Finality – protect litigants from relitigating identical issues</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Judicial Economy – simplify litigation by trying only the “new issues”</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Consistency</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Same Issue</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 a substantive matte</w:t>
      </w:r>
      <w:r>
        <w:rPr>
          <w:rFonts w:ascii="Times New Roman" w:eastAsia="Times New Roman" w:hAnsi="Times New Roman" w:cs="Times New Roman"/>
          <w:sz w:val="20"/>
          <w:szCs w:val="20"/>
        </w:rPr>
        <w:t>r, are they the same issues? (i.e. citizenship)</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 a procedural matter, are they the same issue? (re burdens of proof)</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Actually </w:t>
      </w:r>
      <w:r>
        <w:rPr>
          <w:rFonts w:ascii="Times New Roman" w:eastAsia="Times New Roman" w:hAnsi="Times New Roman" w:cs="Times New Roman"/>
          <w:i/>
          <w:sz w:val="20"/>
          <w:szCs w:val="20"/>
        </w:rPr>
        <w:t>litigated</w:t>
      </w:r>
      <w:r>
        <w:rPr>
          <w:rFonts w:ascii="Times New Roman" w:eastAsia="Times New Roman" w:hAnsi="Times New Roman" w:cs="Times New Roman"/>
          <w:sz w:val="20"/>
          <w:szCs w:val="20"/>
        </w:rPr>
        <w:t xml:space="preserve"> and determined </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Issue preclusion is inappropriate when the prior judgment is ambivalent </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Illinois Central v. Parks</w:t>
      </w:r>
      <w:r>
        <w:rPr>
          <w:rFonts w:ascii="Times New Roman" w:eastAsia="Times New Roman" w:hAnsi="Times New Roman" w:cs="Times New Roman"/>
          <w:sz w:val="20"/>
          <w:szCs w:val="20"/>
        </w:rPr>
        <w:t xml:space="preserve"> – either the issue (contributory negligence) was or was not decided, if you can’t tell from the verdict then </w:t>
      </w:r>
      <w:r>
        <w:rPr>
          <w:rFonts w:ascii="Times New Roman" w:eastAsia="Times New Roman" w:hAnsi="Times New Roman" w:cs="Times New Roman"/>
          <w:i/>
          <w:sz w:val="20"/>
          <w:szCs w:val="20"/>
        </w:rPr>
        <w:t>no</w:t>
      </w:r>
      <w:r>
        <w:rPr>
          <w:rFonts w:ascii="Times New Roman" w:eastAsia="Times New Roman" w:hAnsi="Times New Roman" w:cs="Times New Roman"/>
          <w:sz w:val="20"/>
          <w:szCs w:val="20"/>
        </w:rPr>
        <w:t xml:space="preserve"> issue preclusion </w:t>
      </w:r>
    </w:p>
    <w:p w:rsidR="00CD674D" w:rsidRDefault="00047DB3">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Illinois Central Gulf Railroad v. Parks</w:t>
      </w:r>
      <w:r>
        <w:rPr>
          <w:rFonts w:ascii="Times New Roman" w:eastAsia="Times New Roman" w:hAnsi="Times New Roman" w:cs="Times New Roman"/>
          <w:color w:val="FF0000"/>
          <w:sz w:val="20"/>
          <w:szCs w:val="20"/>
          <w:shd w:val="clear" w:color="auto" w:fill="FFF2CC"/>
        </w:rPr>
        <w:t xml:space="preserve"> (Ind. App., 1979)</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Defendant failed to meet its burden of showing that the judgment in prior action against J could not have been rendered without deciding that J was contributorily negligent in the action</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Issue preclusion is only </w:t>
      </w:r>
      <w:r>
        <w:rPr>
          <w:rFonts w:ascii="Times New Roman" w:eastAsia="Times New Roman" w:hAnsi="Times New Roman" w:cs="Times New Roman"/>
          <w:i/>
          <w:color w:val="FF0000"/>
          <w:sz w:val="20"/>
          <w:szCs w:val="20"/>
        </w:rPr>
        <w:t>presumptively conclusive</w:t>
      </w:r>
      <w:r>
        <w:rPr>
          <w:rFonts w:ascii="Times New Roman" w:eastAsia="Times New Roman" w:hAnsi="Times New Roman" w:cs="Times New Roman"/>
          <w:color w:val="FF0000"/>
          <w:sz w:val="20"/>
          <w:szCs w:val="20"/>
        </w:rPr>
        <w:t xml:space="preserve"> when it appea</w:t>
      </w:r>
      <w:r>
        <w:rPr>
          <w:rFonts w:ascii="Times New Roman" w:eastAsia="Times New Roman" w:hAnsi="Times New Roman" w:cs="Times New Roman"/>
          <w:color w:val="FF0000"/>
          <w:sz w:val="20"/>
          <w:szCs w:val="20"/>
        </w:rPr>
        <w:t>rs that the judgment could not have been rendered without deciding the particular matter brought in question; it is therefore necessary to look to the complete record to ascertain what was the question at issue</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Courts are reluctant to speculate about wh</w:t>
      </w:r>
      <w:r>
        <w:rPr>
          <w:rFonts w:ascii="Times New Roman" w:eastAsia="Times New Roman" w:hAnsi="Times New Roman" w:cs="Times New Roman"/>
          <w:color w:val="FF0000"/>
          <w:sz w:val="20"/>
          <w:szCs w:val="20"/>
        </w:rPr>
        <w:t>at goes on in the jury room (don’t know with enough confidence); public policy to give day in court</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Essential to the judgment </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Restatement 1: If two findings of fact by judge then preclude both (most popular)</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Restatement 2: If two findings of fact by j</w:t>
      </w:r>
      <w:r>
        <w:rPr>
          <w:rFonts w:ascii="Times New Roman" w:eastAsia="Times New Roman" w:hAnsi="Times New Roman" w:cs="Times New Roman"/>
          <w:sz w:val="20"/>
          <w:szCs w:val="20"/>
        </w:rPr>
        <w:t>udge then preclude neither (preclude no facts found in an alternative grounds case)</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 Which privileges efficiency and finality (R.1), which privileges accuracy (R.2)</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 (Con ^): If two findings, one may not have been as fully litigated as the othe</w:t>
      </w:r>
      <w:r>
        <w:rPr>
          <w:rFonts w:ascii="Times New Roman" w:eastAsia="Times New Roman" w:hAnsi="Times New Roman" w:cs="Times New Roman"/>
          <w:sz w:val="20"/>
          <w:szCs w:val="20"/>
        </w:rPr>
        <w:t>r and/or judge may not have been as careful on one if other finding was “obvious”</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Examine the incentives to appeal</w:t>
      </w:r>
    </w:p>
    <w:p w:rsidR="00CD674D" w:rsidRDefault="00047DB3">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going to be precluded on both (R.1) SMJ and PJ, appeal both </w:t>
      </w:r>
    </w:p>
    <w:p w:rsidR="00CD674D" w:rsidRDefault="00047DB3">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going to be precluded by neither (R.2) SMJ and PJ, don’t appeal</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Mutuality (</w:t>
      </w:r>
      <w:r>
        <w:rPr>
          <w:rFonts w:ascii="Times New Roman" w:eastAsia="Times New Roman" w:hAnsi="Times New Roman" w:cs="Times New Roman"/>
          <w:i/>
          <w:sz w:val="20"/>
          <w:szCs w:val="20"/>
        </w:rPr>
        <w:t>between the parties</w:t>
      </w:r>
      <w:r>
        <w:rPr>
          <w:rFonts w:ascii="Times New Roman" w:eastAsia="Times New Roman" w:hAnsi="Times New Roman" w:cs="Times New Roman"/>
          <w:sz w:val="20"/>
          <w:szCs w:val="20"/>
        </w:rPr>
        <w:t>) – must both parties be bound by the judgment in the first suit?</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Key: Due Process – did the “victim” of  preclusion have a full and fair opportunity to litigate the issue in the first suit?</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Same Parties/Mutuality Inquiry (Non-mutual collateral estoppel): </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Was there a full and fair opportunity to litigate? (i.e.Was the victim of preclusion a party to suit #1?) If not, no preclusion.</w:t>
      </w:r>
    </w:p>
    <w:p w:rsidR="00CD674D" w:rsidRDefault="00047DB3">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yes, is it the </w:t>
      </w:r>
      <w:r>
        <w:rPr>
          <w:rFonts w:ascii="Times New Roman" w:eastAsia="Times New Roman" w:hAnsi="Times New Roman" w:cs="Times New Roman"/>
          <w:i/>
          <w:sz w:val="20"/>
          <w:szCs w:val="20"/>
        </w:rPr>
        <w:t xml:space="preserve">defendant </w:t>
      </w:r>
      <w:r>
        <w:rPr>
          <w:rFonts w:ascii="Times New Roman" w:eastAsia="Times New Roman" w:hAnsi="Times New Roman" w:cs="Times New Roman"/>
          <w:sz w:val="20"/>
          <w:szCs w:val="20"/>
        </w:rPr>
        <w:t>(defensive)</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or </w:t>
      </w:r>
      <w:r>
        <w:rPr>
          <w:rFonts w:ascii="Times New Roman" w:eastAsia="Times New Roman" w:hAnsi="Times New Roman" w:cs="Times New Roman"/>
          <w:i/>
          <w:sz w:val="20"/>
          <w:szCs w:val="20"/>
        </w:rPr>
        <w:t>plaintiff</w:t>
      </w:r>
      <w:r>
        <w:rPr>
          <w:rFonts w:ascii="Times New Roman" w:eastAsia="Times New Roman" w:hAnsi="Times New Roman" w:cs="Times New Roman"/>
          <w:sz w:val="20"/>
          <w:szCs w:val="20"/>
        </w:rPr>
        <w:t xml:space="preserve"> (offensi</w:t>
      </w:r>
      <w:r>
        <w:rPr>
          <w:rFonts w:ascii="Times New Roman" w:eastAsia="Times New Roman" w:hAnsi="Times New Roman" w:cs="Times New Roman"/>
          <w:sz w:val="20"/>
          <w:szCs w:val="20"/>
        </w:rPr>
        <w:t>ve) who is seeking preclusion in suit #2?</w:t>
      </w:r>
    </w:p>
    <w:p w:rsidR="00CD674D" w:rsidRDefault="00047DB3">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Defensive, non-mutual collateral estoppel: A defendant can use collateral estoppel against a plaintiff who was a party in a prior suit (</w:t>
      </w:r>
      <w:r>
        <w:rPr>
          <w:rFonts w:ascii="Times New Roman" w:eastAsia="Times New Roman" w:hAnsi="Times New Roman" w:cs="Times New Roman"/>
          <w:i/>
          <w:color w:val="FF0000"/>
          <w:sz w:val="20"/>
          <w:szCs w:val="20"/>
        </w:rPr>
        <w:t>Blonder-Tongue</w:t>
      </w:r>
      <w:r>
        <w:rPr>
          <w:rFonts w:ascii="Times New Roman" w:eastAsia="Times New Roman" w:hAnsi="Times New Roman" w:cs="Times New Roman"/>
          <w:sz w:val="20"/>
          <w:szCs w:val="20"/>
        </w:rPr>
        <w:t>)</w:t>
      </w:r>
    </w:p>
    <w:p w:rsidR="00CD674D" w:rsidRDefault="00047DB3">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Blonder-Tongue</w:t>
      </w:r>
    </w:p>
    <w:p w:rsidR="00CD674D" w:rsidRDefault="00047DB3">
      <w:pPr>
        <w:ind w:left="3600" w:firstLine="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Defendant may preclude plaintiff on issue lo</w:t>
      </w:r>
      <w:r>
        <w:rPr>
          <w:rFonts w:ascii="Times New Roman" w:eastAsia="Times New Roman" w:hAnsi="Times New Roman" w:cs="Times New Roman"/>
          <w:color w:val="FF0000"/>
          <w:sz w:val="20"/>
          <w:szCs w:val="20"/>
        </w:rPr>
        <w:t>st in suit #1 (first time)</w:t>
      </w:r>
    </w:p>
    <w:p w:rsidR="00CD674D" w:rsidRDefault="00047DB3">
      <w:pPr>
        <w:ind w:left="43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So long as plaintiff had a full and fair opportunity in suit #1, ok to preclude in suit #2 even though different defendant (e.g. precluded unless plaintiff can show no full and fair opportunity to litigate in suit #1)</w:t>
      </w:r>
    </w:p>
    <w:p w:rsidR="00CD674D" w:rsidRDefault="00047DB3">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Offensiv</w:t>
      </w:r>
      <w:r>
        <w:rPr>
          <w:rFonts w:ascii="Times New Roman" w:eastAsia="Times New Roman" w:hAnsi="Times New Roman" w:cs="Times New Roman"/>
          <w:sz w:val="20"/>
          <w:szCs w:val="20"/>
        </w:rPr>
        <w:t>e, non-mutual collateral estoppel: A Plaintiff can use collateral estoppel against a defendant who was a party in a prior suit if it</w:t>
      </w:r>
    </w:p>
    <w:p w:rsidR="00CD674D" w:rsidRDefault="00047DB3">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Promotes judicial economy (not a “wait-and-see” plaintiff)</w:t>
      </w:r>
    </w:p>
    <w:p w:rsidR="00CD674D" w:rsidRDefault="00047DB3">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 not unfair to the defendant: </w:t>
      </w:r>
    </w:p>
    <w:p w:rsidR="00CD674D" w:rsidRDefault="00047DB3">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Sufficient stakes in first suit</w:t>
      </w:r>
      <w:r>
        <w:rPr>
          <w:rFonts w:ascii="Times New Roman" w:eastAsia="Times New Roman" w:hAnsi="Times New Roman" w:cs="Times New Roman"/>
          <w:sz w:val="20"/>
          <w:szCs w:val="20"/>
        </w:rPr>
        <w:t>/later suits foreseeable</w:t>
      </w:r>
    </w:p>
    <w:p w:rsidR="00CD674D" w:rsidRDefault="00047DB3">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prior inconsistent judgments</w:t>
      </w:r>
    </w:p>
    <w:p w:rsidR="00CD674D" w:rsidRDefault="00047DB3">
      <w:pPr>
        <w:numPr>
          <w:ilvl w:val="7"/>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lastRenderedPageBreak/>
        <w:t>State Farm Fire &amp; Casualty Co. v. Century Home Components</w:t>
      </w:r>
      <w:r>
        <w:rPr>
          <w:rFonts w:ascii="Times New Roman" w:eastAsia="Times New Roman" w:hAnsi="Times New Roman" w:cs="Times New Roman"/>
          <w:color w:val="FF0000"/>
          <w:sz w:val="20"/>
          <w:szCs w:val="20"/>
          <w:shd w:val="clear" w:color="auto" w:fill="FFF2CC"/>
        </w:rPr>
        <w:t xml:space="preserve"> (Or., 1976) </w:t>
      </w:r>
    </w:p>
    <w:p w:rsidR="00CD674D" w:rsidRDefault="00047DB3">
      <w:pPr>
        <w:ind w:left="57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No preclusion, </w:t>
      </w: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 xml:space="preserve">Prior judgments are inconsistent and circumstances are such that it would be unfair to preclude defendants from relitigating the issue of liability </w:t>
      </w:r>
    </w:p>
    <w:p w:rsidR="00CD674D" w:rsidRDefault="00047DB3">
      <w:pPr>
        <w:numPr>
          <w:ilvl w:val="6"/>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Adequate procedural opportunities in first suit (</w:t>
      </w:r>
      <w:r>
        <w:rPr>
          <w:rFonts w:ascii="Times New Roman" w:eastAsia="Times New Roman" w:hAnsi="Times New Roman" w:cs="Times New Roman"/>
          <w:i/>
          <w:color w:val="FF0000"/>
          <w:sz w:val="20"/>
          <w:szCs w:val="20"/>
        </w:rPr>
        <w:t>Parklane</w:t>
      </w:r>
      <w:r>
        <w:rPr>
          <w:rFonts w:ascii="Times New Roman" w:eastAsia="Times New Roman" w:hAnsi="Times New Roman" w:cs="Times New Roman"/>
          <w:sz w:val="20"/>
          <w:szCs w:val="20"/>
        </w:rPr>
        <w:t>)</w:t>
      </w:r>
    </w:p>
    <w:p w:rsidR="00CD674D" w:rsidRDefault="00047DB3">
      <w:pPr>
        <w:numPr>
          <w:ilvl w:val="7"/>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Parklane Hosiery Co. v. Shore</w:t>
      </w:r>
      <w:r>
        <w:rPr>
          <w:rFonts w:ascii="Times New Roman" w:eastAsia="Times New Roman" w:hAnsi="Times New Roman" w:cs="Times New Roman"/>
          <w:color w:val="FF0000"/>
          <w:sz w:val="20"/>
          <w:szCs w:val="20"/>
          <w:shd w:val="clear" w:color="auto" w:fill="FFF2CC"/>
        </w:rPr>
        <w:t xml:space="preserve"> (SCOTUS, 1979) </w:t>
      </w:r>
    </w:p>
    <w:p w:rsidR="00CD674D" w:rsidRDefault="00047DB3">
      <w:pPr>
        <w:ind w:left="5040" w:firstLine="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Precluded</w:t>
      </w:r>
    </w:p>
    <w:p w:rsidR="00CD674D" w:rsidRDefault="00047DB3">
      <w:pPr>
        <w:ind w:left="57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Two reasons for treating defensive and offensive issue preclusion differently: (1) Judicial economy and (2) fairness</w:t>
      </w:r>
    </w:p>
    <w:p w:rsidR="00CD674D" w:rsidRDefault="00047DB3">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sz w:val="20"/>
          <w:szCs w:val="20"/>
        </w:rPr>
        <w:t xml:space="preserve">Repose: Collateral Attack and Reopened Judgments </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Full Faith and Credit as a Bar to Collateral Attack – if judgment from one court, must give that judgment full faith and credit/full regard </w:t>
      </w:r>
    </w:p>
    <w:p w:rsidR="00CD674D" w:rsidRDefault="00047DB3">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Collateral Attack – an attempt to impeach/overturn a judgment rendered in a judicial proceeding made in a proceedin</w:t>
      </w:r>
      <w:r>
        <w:rPr>
          <w:rFonts w:ascii="Times New Roman" w:eastAsia="Times New Roman" w:hAnsi="Times New Roman" w:cs="Times New Roman"/>
          <w:sz w:val="20"/>
          <w:szCs w:val="20"/>
        </w:rPr>
        <w:t>g other than within the original action or an appeal form it</w:t>
      </w:r>
    </w:p>
    <w:p w:rsidR="00CD674D" w:rsidRDefault="00047DB3">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Durfee v. Duke</w:t>
      </w:r>
      <w:r>
        <w:rPr>
          <w:rFonts w:ascii="Times New Roman" w:eastAsia="Times New Roman" w:hAnsi="Times New Roman" w:cs="Times New Roman"/>
          <w:color w:val="FF0000"/>
          <w:sz w:val="20"/>
          <w:szCs w:val="20"/>
          <w:shd w:val="clear" w:color="auto" w:fill="FFF2CC"/>
        </w:rPr>
        <w:t xml:space="preserve"> (SCOTUS, 1963)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Precluded, H1: Had the power and duty to inquire into the jurisdiction of Nebraska courts to render the decree quieting title to the land and H2: That inquiry di</w:t>
      </w:r>
      <w:r>
        <w:rPr>
          <w:rFonts w:ascii="Times New Roman" w:eastAsia="Times New Roman" w:hAnsi="Times New Roman" w:cs="Times New Roman"/>
          <w:color w:val="FF0000"/>
          <w:sz w:val="20"/>
          <w:szCs w:val="20"/>
        </w:rPr>
        <w:t>sclosed that jurisdictional issues had been fully and fairly litigated by the parties and finally determined in the Nebraska courts so the federal court in Missouri was correct in ruling that any further inquiry was precluded</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FF&amp;C requires every stat</w:t>
      </w:r>
      <w:r>
        <w:rPr>
          <w:rFonts w:ascii="Times New Roman" w:eastAsia="Times New Roman" w:hAnsi="Times New Roman" w:cs="Times New Roman"/>
          <w:color w:val="FF0000"/>
          <w:sz w:val="20"/>
          <w:szCs w:val="20"/>
        </w:rPr>
        <w:t xml:space="preserve">e to give a judgment the preclusive effect that the court in the first suit would have rendered and preclusion applies even to questions of jurisdiction so long as the victim of preclusion had a full and fair opportunity to litigate the issue in the first </w:t>
      </w:r>
      <w:r>
        <w:rPr>
          <w:rFonts w:ascii="Times New Roman" w:eastAsia="Times New Roman" w:hAnsi="Times New Roman" w:cs="Times New Roman"/>
          <w:color w:val="FF0000"/>
          <w:sz w:val="20"/>
          <w:szCs w:val="20"/>
        </w:rPr>
        <w:t>suit</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When Is Jurisdiction Precluded?</w:t>
      </w:r>
      <w:r>
        <w:rPr>
          <w:rFonts w:ascii="Times New Roman" w:eastAsia="Times New Roman" w:hAnsi="Times New Roman" w:cs="Times New Roman"/>
          <w:color w:val="FF0000"/>
          <w:sz w:val="20"/>
          <w:szCs w:val="20"/>
        </w:rPr>
        <w:t xml:space="preserve"> See chart below</w:t>
      </w:r>
    </w:p>
    <w:p w:rsidR="00CD674D" w:rsidRDefault="00047DB3">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Reopened Judgment as an Alternative to Collateral Attack </w:t>
      </w:r>
    </w:p>
    <w:p w:rsidR="00CD674D" w:rsidRDefault="00047DB3">
      <w:pPr>
        <w:numPr>
          <w:ilvl w:val="2"/>
          <w:numId w:val="4"/>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United States v. Beggerly </w:t>
      </w:r>
      <w:r>
        <w:rPr>
          <w:rFonts w:ascii="Times New Roman" w:eastAsia="Times New Roman" w:hAnsi="Times New Roman" w:cs="Times New Roman"/>
          <w:color w:val="FF0000"/>
          <w:sz w:val="20"/>
          <w:szCs w:val="20"/>
          <w:shd w:val="clear" w:color="auto" w:fill="FFF2CC"/>
        </w:rPr>
        <w:t xml:space="preserve">(SCOTUS, 1998)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Independent actions are still permitted under R.60 but independent actions are only available to</w:t>
      </w:r>
      <w:r>
        <w:rPr>
          <w:rFonts w:ascii="Times New Roman" w:eastAsia="Times New Roman" w:hAnsi="Times New Roman" w:cs="Times New Roman"/>
          <w:color w:val="FF0000"/>
          <w:sz w:val="20"/>
          <w:szCs w:val="20"/>
        </w:rPr>
        <w:t xml:space="preserve"> prevent a grave miscarriage of justice (</w:t>
      </w: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and present case does not rise to that threshold (</w:t>
      </w:r>
      <w:r>
        <w:rPr>
          <w:rFonts w:ascii="Times New Roman" w:eastAsia="Times New Roman" w:hAnsi="Times New Roman" w:cs="Times New Roman"/>
          <w:b/>
          <w:color w:val="FF0000"/>
          <w:sz w:val="20"/>
          <w:szCs w:val="20"/>
        </w:rPr>
        <w:t>R</w:t>
      </w:r>
      <w:r>
        <w:rPr>
          <w:rFonts w:ascii="Times New Roman" w:eastAsia="Times New Roman" w:hAnsi="Times New Roman" w:cs="Times New Roman"/>
          <w:color w:val="FF0000"/>
          <w:sz w:val="20"/>
          <w:szCs w:val="20"/>
        </w:rPr>
        <w:t>)</w:t>
      </w:r>
    </w:p>
    <w:p w:rsidR="00CD674D" w:rsidRDefault="00047DB3">
      <w:pPr>
        <w:numPr>
          <w:ilvl w:val="1"/>
          <w:numId w:val="4"/>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28 U.S.C. § 1738: State and Territorial statutes and judicial proceedings; full faith and credit – </w:t>
      </w:r>
      <w:r>
        <w:rPr>
          <w:rFonts w:ascii="Times New Roman" w:eastAsia="Times New Roman" w:hAnsi="Times New Roman" w:cs="Times New Roman"/>
          <w:sz w:val="20"/>
          <w:szCs w:val="20"/>
        </w:rPr>
        <w:t>“The records and judicial proceedings of any court of any… State… shall have the same full faith and credit in every court within the United States… as they have by law or usage in the courts of such State… from which they are taken.”</w:t>
      </w:r>
    </w:p>
    <w:p w:rsidR="00CD674D" w:rsidRDefault="00CD674D">
      <w:pPr>
        <w:rPr>
          <w:rFonts w:ascii="Times New Roman" w:eastAsia="Times New Roman" w:hAnsi="Times New Roman" w:cs="Times New Roman"/>
          <w:sz w:val="20"/>
          <w:szCs w:val="20"/>
        </w:rPr>
      </w:pPr>
    </w:p>
    <w:tbl>
      <w:tblPr>
        <w:tblStyle w:val="a1"/>
        <w:tblW w:w="100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0"/>
        <w:gridCol w:w="1840"/>
        <w:gridCol w:w="1940"/>
        <w:gridCol w:w="2120"/>
        <w:gridCol w:w="3160"/>
      </w:tblGrid>
      <w:tr w:rsidR="00CD674D">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ISSUE</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Appeared and L</w:t>
            </w:r>
            <w:r>
              <w:rPr>
                <w:rFonts w:ascii="Times New Roman" w:eastAsia="Times New Roman" w:hAnsi="Times New Roman" w:cs="Times New Roman"/>
                <w:b/>
                <w:sz w:val="20"/>
                <w:szCs w:val="20"/>
              </w:rPr>
              <w:t>itigated Issue</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Appeared but Did Not Raise Issue</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Didn’t Appear/No Notice of Suit</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Notified but Defaulted</w:t>
            </w:r>
          </w:p>
        </w:tc>
      </w:tr>
      <w:tr w:rsidR="00CD674D">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PJ</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Precluded (</w:t>
            </w:r>
            <w:r>
              <w:rPr>
                <w:rFonts w:ascii="Times New Roman" w:eastAsia="Times New Roman" w:hAnsi="Times New Roman" w:cs="Times New Roman"/>
                <w:i/>
                <w:sz w:val="20"/>
                <w:szCs w:val="20"/>
              </w:rPr>
              <w:t>Baldwin</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Durfee</w:t>
            </w:r>
            <w:r>
              <w:rPr>
                <w:rFonts w:ascii="Times New Roman" w:eastAsia="Times New Roman" w:hAnsi="Times New Roman" w:cs="Times New Roman"/>
                <w:sz w:val="20"/>
                <w:szCs w:val="20"/>
              </w:rPr>
              <w:t>)</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Waived per FRCP 12(h)</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Not precluded (</w:t>
            </w:r>
            <w:r>
              <w:rPr>
                <w:rFonts w:ascii="Times New Roman" w:eastAsia="Times New Roman" w:hAnsi="Times New Roman" w:cs="Times New Roman"/>
                <w:i/>
                <w:sz w:val="20"/>
                <w:szCs w:val="20"/>
              </w:rPr>
              <w:t>Pennoyer</w:t>
            </w:r>
            <w:r>
              <w:rPr>
                <w:rFonts w:ascii="Times New Roman" w:eastAsia="Times New Roman" w:hAnsi="Times New Roman" w:cs="Times New Roman"/>
                <w:sz w:val="20"/>
                <w:szCs w:val="20"/>
              </w:rPr>
              <w:t>)</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Collateral attack permitted </w:t>
            </w:r>
          </w:p>
        </w:tc>
      </w:tr>
      <w:tr w:rsidR="00CD674D">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SMJ</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Precluded (</w:t>
            </w:r>
            <w:r>
              <w:rPr>
                <w:rFonts w:ascii="Times New Roman" w:eastAsia="Times New Roman" w:hAnsi="Times New Roman" w:cs="Times New Roman"/>
                <w:i/>
                <w:sz w:val="20"/>
                <w:szCs w:val="20"/>
              </w:rPr>
              <w:t>Durfee</w:t>
            </w:r>
            <w:r>
              <w:rPr>
                <w:rFonts w:ascii="Times New Roman" w:eastAsia="Times New Roman" w:hAnsi="Times New Roman" w:cs="Times New Roman"/>
                <w:sz w:val="20"/>
                <w:szCs w:val="20"/>
              </w:rPr>
              <w:t>)</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Precluded? </w:t>
            </w:r>
            <w:r>
              <w:rPr>
                <w:rFonts w:ascii="Times New Roman" w:eastAsia="Times New Roman" w:hAnsi="Times New Roman" w:cs="Times New Roman"/>
                <w:i/>
                <w:sz w:val="20"/>
                <w:szCs w:val="20"/>
              </w:rPr>
              <w:t>Chicot</w:t>
            </w:r>
            <w:r>
              <w:rPr>
                <w:rFonts w:ascii="Times New Roman" w:eastAsia="Times New Roman" w:hAnsi="Times New Roman" w:cs="Times New Roman"/>
                <w:sz w:val="20"/>
                <w:szCs w:val="20"/>
              </w:rPr>
              <w:t xml:space="preserve"> (in notes)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suggests yes</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Probably/very likely not (</w:t>
            </w:r>
            <w:r>
              <w:rPr>
                <w:rFonts w:ascii="Times New Roman" w:eastAsia="Times New Roman" w:hAnsi="Times New Roman" w:cs="Times New Roman"/>
                <w:i/>
                <w:sz w:val="20"/>
                <w:szCs w:val="20"/>
              </w:rPr>
              <w:t>Durfee</w:t>
            </w:r>
            <w:r>
              <w:rPr>
                <w:rFonts w:ascii="Times New Roman" w:eastAsia="Times New Roman" w:hAnsi="Times New Roman" w:cs="Times New Roman"/>
                <w:sz w:val="20"/>
                <w:szCs w:val="20"/>
              </w:rPr>
              <w:t xml:space="preserve"> &amp; Due Process Clause)</w:t>
            </w:r>
          </w:p>
        </w:tc>
        <w:tc>
          <w:tcPr>
            <w:tcW w:w="0" w:type="auto"/>
            <w:shd w:val="clear" w:color="auto" w:fill="auto"/>
            <w:tcMar>
              <w:top w:w="100" w:type="dxa"/>
              <w:left w:w="100" w:type="dxa"/>
              <w:bottom w:w="100" w:type="dxa"/>
              <w:right w:w="100" w:type="dxa"/>
            </w:tcMar>
          </w:tcPr>
          <w:p w:rsidR="00CD674D" w:rsidRDefault="00047DB3">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i/>
                <w:sz w:val="20"/>
                <w:szCs w:val="20"/>
              </w:rPr>
              <w:t>Chicot</w:t>
            </w:r>
            <w:r>
              <w:rPr>
                <w:rFonts w:ascii="Times New Roman" w:eastAsia="Times New Roman" w:hAnsi="Times New Roman" w:cs="Times New Roman"/>
                <w:sz w:val="20"/>
                <w:szCs w:val="20"/>
              </w:rPr>
              <w:t xml:space="preserve"> – precluded </w:t>
            </w:r>
            <w:r>
              <w:rPr>
                <w:rFonts w:ascii="Times New Roman" w:eastAsia="Times New Roman" w:hAnsi="Times New Roman" w:cs="Times New Roman"/>
                <w:i/>
                <w:sz w:val="20"/>
                <w:szCs w:val="20"/>
              </w:rPr>
              <w:t xml:space="preserve">Kalb </w:t>
            </w:r>
            <w:r>
              <w:rPr>
                <w:rFonts w:ascii="Times New Roman" w:eastAsia="Times New Roman" w:hAnsi="Times New Roman" w:cs="Times New Roman"/>
                <w:sz w:val="20"/>
                <w:szCs w:val="20"/>
              </w:rPr>
              <w:t>– not precluded if statutory exception/implied for important reason, (e.g. preemption or sovereign immunity); state court – FF&amp;C issue</w:t>
            </w:r>
          </w:p>
        </w:tc>
      </w:tr>
    </w:tbl>
    <w:p w:rsidR="00CD674D" w:rsidRDefault="00CD674D">
      <w:pPr>
        <w:rPr>
          <w:rFonts w:ascii="Times New Roman" w:eastAsia="Times New Roman" w:hAnsi="Times New Roman" w:cs="Times New Roman"/>
          <w:sz w:val="20"/>
          <w:szCs w:val="20"/>
        </w:rPr>
      </w:pPr>
    </w:p>
    <w:p w:rsidR="00CD674D" w:rsidRDefault="00CD674D">
      <w:pPr>
        <w:ind w:left="5040"/>
        <w:rPr>
          <w:rFonts w:ascii="Times New Roman" w:eastAsia="Times New Roman" w:hAnsi="Times New Roman" w:cs="Times New Roman"/>
          <w:b/>
          <w:color w:val="FF0000"/>
          <w:sz w:val="20"/>
          <w:szCs w:val="20"/>
        </w:rPr>
      </w:pPr>
    </w:p>
    <w:p w:rsidR="00CD674D" w:rsidRDefault="00CD674D">
      <w:pPr>
        <w:jc w:val="center"/>
        <w:rPr>
          <w:rFonts w:ascii="Times New Roman" w:eastAsia="Times New Roman" w:hAnsi="Times New Roman" w:cs="Times New Roman"/>
          <w:sz w:val="24"/>
          <w:szCs w:val="24"/>
        </w:rPr>
      </w:pPr>
    </w:p>
    <w:p w:rsidR="00CD674D" w:rsidRDefault="00CD674D">
      <w:pPr>
        <w:jc w:val="center"/>
        <w:rPr>
          <w:rFonts w:ascii="Times New Roman" w:eastAsia="Times New Roman" w:hAnsi="Times New Roman" w:cs="Times New Roman"/>
          <w:sz w:val="24"/>
          <w:szCs w:val="24"/>
        </w:rPr>
      </w:pPr>
    </w:p>
    <w:p w:rsidR="00CD674D" w:rsidRDefault="00047DB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Joinder</w:t>
      </w:r>
    </w:p>
    <w:p w:rsidR="00CD674D" w:rsidRDefault="00047DB3">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(CB 791-820, 861-868; FRCP 13, 14, 18, 20, 21, 23, 42; USC § 1367)</w:t>
      </w:r>
    </w:p>
    <w:p w:rsidR="00CD674D" w:rsidRDefault="00047DB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Joinder of Claims, Two-Part Inquiry:</w:t>
      </w:r>
    </w:p>
    <w:p w:rsidR="00CD674D" w:rsidRDefault="00047DB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Drives Joinder: Efficiency, Restricts Joinder: Plaintiff’s Autonomy and Manageability </w:t>
      </w:r>
    </w:p>
    <w:p w:rsidR="00CD674D" w:rsidRDefault="00047DB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 the Rules permit combining the claims (FRCPs 13, 14, 15, 18, </w:t>
      </w:r>
      <w:r>
        <w:rPr>
          <w:rFonts w:ascii="Times New Roman" w:eastAsia="Times New Roman" w:hAnsi="Times New Roman" w:cs="Times New Roman"/>
          <w:strike/>
          <w:sz w:val="20"/>
          <w:szCs w:val="20"/>
        </w:rPr>
        <w:t>1</w:t>
      </w:r>
      <w:r>
        <w:rPr>
          <w:rFonts w:ascii="Times New Roman" w:eastAsia="Times New Roman" w:hAnsi="Times New Roman" w:cs="Times New Roman"/>
          <w:strike/>
          <w:sz w:val="20"/>
          <w:szCs w:val="20"/>
        </w:rPr>
        <w:t>9</w:t>
      </w:r>
      <w:r>
        <w:rPr>
          <w:rFonts w:ascii="Times New Roman" w:eastAsia="Times New Roman" w:hAnsi="Times New Roman" w:cs="Times New Roman"/>
          <w:sz w:val="20"/>
          <w:szCs w:val="20"/>
        </w:rPr>
        <w:t xml:space="preserve">, 20, 21, 23, </w:t>
      </w:r>
      <w:r>
        <w:rPr>
          <w:rFonts w:ascii="Times New Roman" w:eastAsia="Times New Roman" w:hAnsi="Times New Roman" w:cs="Times New Roman"/>
          <w:strike/>
          <w:sz w:val="20"/>
          <w:szCs w:val="20"/>
        </w:rPr>
        <w:t>24</w:t>
      </w:r>
      <w:r>
        <w:rPr>
          <w:rFonts w:ascii="Times New Roman" w:eastAsia="Times New Roman" w:hAnsi="Times New Roman" w:cs="Times New Roman"/>
          <w:sz w:val="20"/>
          <w:szCs w:val="20"/>
        </w:rPr>
        <w:t>, 42)? If no, don’t do it. It’s against the rules.</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Plaintiff’s Tools: May join parties under R.20 and claims under R.18</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Defendant’s Tools: May join counterclaims under R.13, new parties under R.14 (“impleader”), and additional claims under</w:t>
      </w:r>
      <w:r>
        <w:rPr>
          <w:rFonts w:ascii="Times New Roman" w:eastAsia="Times New Roman" w:hAnsi="Times New Roman" w:cs="Times New Roman"/>
          <w:sz w:val="20"/>
          <w:szCs w:val="20"/>
        </w:rPr>
        <w:t xml:space="preserve"> R.18</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All Parties’ Tools: May use R.21 to challenge joinder</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Judge’s Tools: May rule on parties’ motions under the Rules and may consolidate or sever claims under R.42 and R.20(b)</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R.20 Permissive Joinder of Parties (</w:t>
      </w:r>
      <w:r>
        <w:rPr>
          <w:rFonts w:ascii="Times New Roman" w:eastAsia="Times New Roman" w:hAnsi="Times New Roman" w:cs="Times New Roman"/>
          <w:i/>
          <w:color w:val="FF0000"/>
          <w:sz w:val="20"/>
          <w:szCs w:val="20"/>
        </w:rPr>
        <w:t>Mosley</w:t>
      </w:r>
      <w:r>
        <w:rPr>
          <w:rFonts w:ascii="Times New Roman" w:eastAsia="Times New Roman" w:hAnsi="Times New Roman" w:cs="Times New Roman"/>
          <w:sz w:val="20"/>
          <w:szCs w:val="20"/>
        </w:rPr>
        <w:t xml:space="preserve">): </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Plaintiffs assert any right</w:t>
      </w:r>
      <w:r>
        <w:rPr>
          <w:rFonts w:ascii="Times New Roman" w:eastAsia="Times New Roman" w:hAnsi="Times New Roman" w:cs="Times New Roman"/>
          <w:sz w:val="20"/>
          <w:szCs w:val="20"/>
        </w:rPr>
        <w:t xml:space="preserve"> to relief arising from the same transaction or occurrence (“logically related” test) </w:t>
      </w:r>
      <w:r>
        <w:rPr>
          <w:rFonts w:ascii="Times New Roman" w:eastAsia="Times New Roman" w:hAnsi="Times New Roman" w:cs="Times New Roman"/>
          <w:i/>
          <w:sz w:val="20"/>
          <w:szCs w:val="20"/>
        </w:rPr>
        <w:t>and</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Any question of law or fact common to all plaintiffs will arise in the action </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 To promote trial convenience and expedite the final determination of dispu</w:t>
      </w:r>
      <w:r>
        <w:rPr>
          <w:rFonts w:ascii="Times New Roman" w:eastAsia="Times New Roman" w:hAnsi="Times New Roman" w:cs="Times New Roman"/>
          <w:sz w:val="20"/>
          <w:szCs w:val="20"/>
        </w:rPr>
        <w:t xml:space="preserve">te, preventing multiple lawsuits </w:t>
      </w:r>
    </w:p>
    <w:p w:rsidR="00CD674D" w:rsidRDefault="00047DB3">
      <w:pPr>
        <w:numPr>
          <w:ilvl w:val="3"/>
          <w:numId w:val="3"/>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Mosley v. General Motors Corp. </w:t>
      </w:r>
      <w:r>
        <w:rPr>
          <w:rFonts w:ascii="Times New Roman" w:eastAsia="Times New Roman" w:hAnsi="Times New Roman" w:cs="Times New Roman"/>
          <w:color w:val="FF0000"/>
          <w:sz w:val="20"/>
          <w:szCs w:val="20"/>
          <w:shd w:val="clear" w:color="auto" w:fill="FFF2CC"/>
        </w:rPr>
        <w:t xml:space="preserve"> (8th Cir., 1974) </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Both requirements met (Req. 2: Discriminatory character of defendants’ conduct is basic to each plaintiff’s recovery, were all wronged by racially discriminatory policies on the part of the defendants)</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R.20 two-part test: (1) A right to relief must b</w:t>
      </w:r>
      <w:r>
        <w:rPr>
          <w:rFonts w:ascii="Times New Roman" w:eastAsia="Times New Roman" w:hAnsi="Times New Roman" w:cs="Times New Roman"/>
          <w:color w:val="FF0000"/>
          <w:sz w:val="20"/>
          <w:szCs w:val="20"/>
        </w:rPr>
        <w:t xml:space="preserve">e asserted by or against each plaintiff or defendant relating to or arising out of the same transaction or occurrence or series of transactions or occurrences (logical relations test)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(2) some question of law or fact common to all the parties must aris</w:t>
      </w:r>
      <w:r>
        <w:rPr>
          <w:rFonts w:ascii="Times New Roman" w:eastAsia="Times New Roman" w:hAnsi="Times New Roman" w:cs="Times New Roman"/>
          <w:color w:val="FF0000"/>
          <w:sz w:val="20"/>
          <w:szCs w:val="20"/>
        </w:rPr>
        <w:t>e in the same action</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R.14 Impleading a Third Party (</w:t>
      </w:r>
      <w:r>
        <w:rPr>
          <w:rFonts w:ascii="Times New Roman" w:eastAsia="Times New Roman" w:hAnsi="Times New Roman" w:cs="Times New Roman"/>
          <w:i/>
          <w:color w:val="FF0000"/>
          <w:sz w:val="20"/>
          <w:szCs w:val="20"/>
        </w:rPr>
        <w:t>Price v. CTB</w:t>
      </w:r>
      <w:r>
        <w:rPr>
          <w:rFonts w:ascii="Times New Roman" w:eastAsia="Times New Roman" w:hAnsi="Times New Roman" w:cs="Times New Roman"/>
          <w:sz w:val="20"/>
          <w:szCs w:val="20"/>
        </w:rPr>
        <w:t xml:space="preserve">) – allows the defendant to join a third party defendant because they are or may be liable to defendant for all or part of the underlying claim against the defendant (claim for indemnity </w:t>
      </w:r>
      <w:r>
        <w:rPr>
          <w:rFonts w:ascii="Times New Roman" w:eastAsia="Times New Roman" w:hAnsi="Times New Roman" w:cs="Times New Roman"/>
          <w:i/>
          <w:sz w:val="20"/>
          <w:szCs w:val="20"/>
        </w:rPr>
        <w:t>or</w:t>
      </w:r>
      <w:r>
        <w:rPr>
          <w:rFonts w:ascii="Times New Roman" w:eastAsia="Times New Roman" w:hAnsi="Times New Roman" w:cs="Times New Roman"/>
          <w:sz w:val="20"/>
          <w:szCs w:val="20"/>
        </w:rPr>
        <w:t xml:space="preserve"> co</w:t>
      </w:r>
      <w:r>
        <w:rPr>
          <w:rFonts w:ascii="Times New Roman" w:eastAsia="Times New Roman" w:hAnsi="Times New Roman" w:cs="Times New Roman"/>
          <w:sz w:val="20"/>
          <w:szCs w:val="20"/>
        </w:rPr>
        <w:t>ntribution)</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Impleading requires derivative liability – if and only if the defendant is liable to the plaintiff, the third party may be liable to the defendant </w:t>
      </w:r>
    </w:p>
    <w:p w:rsidR="00CD674D" w:rsidRDefault="00047DB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Careful: Impleader focuses on the third party’s liability to the defendant, not to the plaintiff</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Litmus Test: An impleader attempt will fail if the defendant can win the case against the main plaintiff and still have a case against the third party defendant</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 against third party defendant (review all claims independently, moving through supplemental </w:t>
      </w:r>
      <w:r>
        <w:rPr>
          <w:rFonts w:ascii="Times New Roman" w:eastAsia="Times New Roman" w:hAnsi="Times New Roman" w:cs="Times New Roman"/>
          <w:sz w:val="20"/>
          <w:szCs w:val="20"/>
        </w:rPr>
        <w:t>JD analysis below)</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 against TPD (plaintiff so where no diversity no SMJ ) </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TPD against P (can and does invoke SMJ where no diversity because not the plaintiff) – permitted as long as arises from the same T/O </w:t>
      </w:r>
    </w:p>
    <w:p w:rsidR="00CD674D" w:rsidRDefault="00047DB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Kroger</w:t>
      </w:r>
      <w:r>
        <w:rPr>
          <w:rFonts w:ascii="Times New Roman" w:eastAsia="Times New Roman" w:hAnsi="Times New Roman" w:cs="Times New Roman"/>
          <w:sz w:val="20"/>
          <w:szCs w:val="20"/>
        </w:rPr>
        <w:t xml:space="preserve"> (see book)</w:t>
      </w:r>
    </w:p>
    <w:p w:rsidR="00CD674D" w:rsidRDefault="00047DB3">
      <w:pPr>
        <w:numPr>
          <w:ilvl w:val="3"/>
          <w:numId w:val="3"/>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 xml:space="preserve">Price v. CTB, Inc. </w:t>
      </w:r>
      <w:r>
        <w:rPr>
          <w:rFonts w:ascii="Times New Roman" w:eastAsia="Times New Roman" w:hAnsi="Times New Roman" w:cs="Times New Roman"/>
          <w:color w:val="FF0000"/>
          <w:sz w:val="20"/>
          <w:szCs w:val="20"/>
          <w:shd w:val="clear" w:color="auto" w:fill="FFF2CC"/>
        </w:rPr>
        <w:t xml:space="preserve">(M.D. Ala., 2001)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Proper COA in common law indemnity</w:t>
      </w:r>
    </w:p>
    <w:p w:rsidR="00CD674D" w:rsidRDefault="00047DB3">
      <w:pPr>
        <w:ind w:left="2880"/>
        <w:rPr>
          <w:rFonts w:ascii="Times New Roman" w:eastAsia="Times New Roman" w:hAnsi="Times New Roman" w:cs="Times New Roman"/>
          <w:b/>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 xml:space="preserve">R.14 Impleader requires (1) derivative liability (two types: Indemnity and contribution) and (2) (“Litmus test”) impleader will fail it D can win case against P and still have a claim against </w:t>
      </w:r>
      <w:r>
        <w:rPr>
          <w:rFonts w:ascii="Times New Roman" w:eastAsia="Times New Roman" w:hAnsi="Times New Roman" w:cs="Times New Roman"/>
          <w:color w:val="FF0000"/>
          <w:sz w:val="20"/>
          <w:szCs w:val="20"/>
        </w:rPr>
        <w:t>the third party (e.g. will not work if separate/independent claims)</w:t>
      </w:r>
    </w:p>
    <w:p w:rsidR="00CD674D" w:rsidRDefault="00047DB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If yes, does the federal court have jurisdiction over the joined claim? Original jurisdiction (§ 1331, 1332), supplemental jurisdiction (§ 1367), </w:t>
      </w:r>
      <w:r>
        <w:rPr>
          <w:rFonts w:ascii="Times New Roman" w:eastAsia="Times New Roman" w:hAnsi="Times New Roman" w:cs="Times New Roman"/>
          <w:i/>
          <w:sz w:val="20"/>
          <w:szCs w:val="20"/>
        </w:rPr>
        <w:t xml:space="preserve">and </w:t>
      </w:r>
      <w:r>
        <w:rPr>
          <w:rFonts w:ascii="Times New Roman" w:eastAsia="Times New Roman" w:hAnsi="Times New Roman" w:cs="Times New Roman"/>
          <w:sz w:val="20"/>
          <w:szCs w:val="20"/>
        </w:rPr>
        <w:t>personal jurisdiction?</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Questi</w:t>
      </w:r>
      <w:r>
        <w:rPr>
          <w:rFonts w:ascii="Times New Roman" w:eastAsia="Times New Roman" w:hAnsi="Times New Roman" w:cs="Times New Roman"/>
          <w:sz w:val="20"/>
          <w:szCs w:val="20"/>
        </w:rPr>
        <w:t>on (§ 1331) or Diversity (§ 1332) Jurisdiction?</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1367 Supplemental Jurisdiction Inquiry: If not all claims have original SMJ, do the claims form part of the same case or controversy? (§ 1367(a))</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Plant</w:t>
      </w:r>
      <w:r>
        <w:rPr>
          <w:rFonts w:ascii="Times New Roman" w:eastAsia="Times New Roman" w:hAnsi="Times New Roman" w:cs="Times New Roman"/>
          <w:sz w:val="20"/>
          <w:szCs w:val="20"/>
        </w:rPr>
        <w:t xml:space="preserve">: Confirms there is supplemental jurisdiction over all </w:t>
      </w:r>
      <w:r>
        <w:rPr>
          <w:rFonts w:ascii="Times New Roman" w:eastAsia="Times New Roman" w:hAnsi="Times New Roman" w:cs="Times New Roman"/>
          <w:i/>
          <w:sz w:val="20"/>
          <w:szCs w:val="20"/>
        </w:rPr>
        <w:t xml:space="preserve">compulsory </w:t>
      </w:r>
      <w:r>
        <w:rPr>
          <w:rFonts w:ascii="Times New Roman" w:eastAsia="Times New Roman" w:hAnsi="Times New Roman" w:cs="Times New Roman"/>
          <w:sz w:val="20"/>
          <w:szCs w:val="20"/>
        </w:rPr>
        <w:t xml:space="preserve">counterclaims, i.e. claims arising from the same transaction or occurrence; may sweep in some </w:t>
      </w:r>
      <w:r>
        <w:rPr>
          <w:rFonts w:ascii="Times New Roman" w:eastAsia="Times New Roman" w:hAnsi="Times New Roman" w:cs="Times New Roman"/>
          <w:i/>
          <w:sz w:val="20"/>
          <w:szCs w:val="20"/>
        </w:rPr>
        <w:t xml:space="preserve">permissive </w:t>
      </w:r>
      <w:r>
        <w:rPr>
          <w:rFonts w:ascii="Times New Roman" w:eastAsia="Times New Roman" w:hAnsi="Times New Roman" w:cs="Times New Roman"/>
          <w:sz w:val="20"/>
          <w:szCs w:val="20"/>
        </w:rPr>
        <w:t>counterclaims if “same case or controversy” in § 1367(a) is broader than “same transaction or occurrence” in FRCP 13(a)</w:t>
      </w:r>
    </w:p>
    <w:p w:rsidR="00CD674D" w:rsidRDefault="00047DB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Compulsory countercl</w:t>
      </w:r>
      <w:r>
        <w:rPr>
          <w:rFonts w:ascii="Times New Roman" w:eastAsia="Times New Roman" w:hAnsi="Times New Roman" w:cs="Times New Roman"/>
          <w:sz w:val="20"/>
          <w:szCs w:val="20"/>
        </w:rPr>
        <w:t>aims – claims arising from the same transaction or occurrence (use it or lose it (waive))</w:t>
      </w:r>
    </w:p>
    <w:p w:rsidR="00CD674D" w:rsidRDefault="00047DB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Permissive counterclaims – any claims against opposing party; not arising from the same transaction or occurrence, may but don’t have to bring</w:t>
      </w:r>
    </w:p>
    <w:p w:rsidR="00CD674D" w:rsidRDefault="00047DB3">
      <w:pPr>
        <w:numPr>
          <w:ilvl w:val="4"/>
          <w:numId w:val="3"/>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Plant v. Blazer Financi</w:t>
      </w:r>
      <w:r>
        <w:rPr>
          <w:rFonts w:ascii="Times New Roman" w:eastAsia="Times New Roman" w:hAnsi="Times New Roman" w:cs="Times New Roman"/>
          <w:i/>
          <w:color w:val="FF0000"/>
          <w:sz w:val="20"/>
          <w:szCs w:val="20"/>
          <w:shd w:val="clear" w:color="auto" w:fill="FFF2CC"/>
        </w:rPr>
        <w:t>al Services</w:t>
      </w:r>
      <w:r>
        <w:rPr>
          <w:rFonts w:ascii="Times New Roman" w:eastAsia="Times New Roman" w:hAnsi="Times New Roman" w:cs="Times New Roman"/>
          <w:color w:val="FF0000"/>
          <w:sz w:val="20"/>
          <w:szCs w:val="20"/>
          <w:shd w:val="clear" w:color="auto" w:fill="FFF2CC"/>
        </w:rPr>
        <w:t xml:space="preserve"> (5th Cir., 1979) </w:t>
      </w:r>
    </w:p>
    <w:p w:rsidR="00CD674D" w:rsidRDefault="00047DB3">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Claim is compulsory </w:t>
      </w:r>
    </w:p>
    <w:p w:rsidR="00CD674D" w:rsidRDefault="00047DB3">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 </w:t>
      </w:r>
      <w:r>
        <w:rPr>
          <w:rFonts w:ascii="Times New Roman" w:eastAsia="Times New Roman" w:hAnsi="Times New Roman" w:cs="Times New Roman"/>
          <w:color w:val="FF0000"/>
          <w:sz w:val="20"/>
          <w:szCs w:val="20"/>
        </w:rPr>
        <w:t>It arises out of same transaction or occurrence when some logical relation between two claims)</w:t>
      </w:r>
    </w:p>
    <w:p w:rsidR="00CD674D" w:rsidRDefault="00047DB3">
      <w:pPr>
        <w:ind w:left="288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ab/>
        <w:t>Rule:</w:t>
      </w:r>
      <w:r>
        <w:rPr>
          <w:rFonts w:ascii="Times New Roman" w:eastAsia="Times New Roman" w:hAnsi="Times New Roman" w:cs="Times New Roman"/>
          <w:color w:val="FF0000"/>
          <w:sz w:val="20"/>
          <w:szCs w:val="20"/>
        </w:rPr>
        <w:t xml:space="preserve"> Adopts logical relations test: When same common core of operative facts</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Crossclaim – </w:t>
      </w:r>
      <w:r>
        <w:rPr>
          <w:rFonts w:ascii="Times New Roman" w:eastAsia="Times New Roman" w:hAnsi="Times New Roman" w:cs="Times New Roman"/>
          <w:i/>
          <w:sz w:val="20"/>
          <w:szCs w:val="20"/>
        </w:rPr>
        <w:t>by definitio</w:t>
      </w:r>
      <w:r>
        <w:rPr>
          <w:rFonts w:ascii="Times New Roman" w:eastAsia="Times New Roman" w:hAnsi="Times New Roman" w:cs="Times New Roman"/>
          <w:i/>
          <w:sz w:val="20"/>
          <w:szCs w:val="20"/>
        </w:rPr>
        <w:t>n</w:t>
      </w:r>
      <w:r>
        <w:rPr>
          <w:rFonts w:ascii="Times New Roman" w:eastAsia="Times New Roman" w:hAnsi="Times New Roman" w:cs="Times New Roman"/>
          <w:sz w:val="20"/>
          <w:szCs w:val="20"/>
        </w:rPr>
        <w:t xml:space="preserve"> arises from the same T/O</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 impleader (indemnity or contribution): Can’t imagine a situation where not going to be out of same case/controversy</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what’s the basis for original jurisdiction?</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federal question jurisdiction, allow joinder.</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diversity jurisdiction (§ 1367(b)), go to step #3</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diversity jurisdiction] is the plaintiff or defendant seeking to invoke supplemental jurisdiction?</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defendant, allow joinder.</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plaintiff, go to step #4</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plaintiff], is the plaintiff seeking to</w:t>
      </w:r>
      <w:r>
        <w:rPr>
          <w:rFonts w:ascii="Times New Roman" w:eastAsia="Times New Roman" w:hAnsi="Times New Roman" w:cs="Times New Roman"/>
          <w:sz w:val="20"/>
          <w:szCs w:val="20"/>
        </w:rPr>
        <w:t xml:space="preserve"> join a claim against a party whose joinder would destroy diversity?</w:t>
      </w:r>
    </w:p>
    <w:p w:rsidR="00CD674D" w:rsidRDefault="00047DB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These Rules join claims against other parties: FRCPs 14, 19, 20, 24. If joining them would destroy diversity, no jurisdiction per § 1367(b).</w:t>
      </w:r>
    </w:p>
    <w:p w:rsidR="00CD674D" w:rsidRDefault="00047DB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Preclusion may require joinder: Claim preclusion (e.g. “use it or lose it”), issue preclusion (e.g. “wait-and-see”)</w:t>
      </w:r>
    </w:p>
    <w:p w:rsidR="00CD674D" w:rsidRDefault="00047DB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 23 Class Action – where a representative sues on behalf of a group governed by R.23</w:t>
      </w:r>
    </w:p>
    <w:p w:rsidR="00CD674D" w:rsidRDefault="00047DB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R.23(a) Initial Requirements: (1) Too numerous for pr</w:t>
      </w:r>
      <w:r>
        <w:rPr>
          <w:rFonts w:ascii="Times New Roman" w:eastAsia="Times New Roman" w:hAnsi="Times New Roman" w:cs="Times New Roman"/>
          <w:sz w:val="20"/>
          <w:szCs w:val="20"/>
        </w:rPr>
        <w:t>acticable joinder, (2) commonality (must be some common question of law or fact), (3) representative’s claims must be representative of the class (representative’s adequacy) and (4) lawyer’s adequacy (not in R.23(a) but court will look to)</w:t>
      </w:r>
    </w:p>
    <w:p w:rsidR="00CD674D" w:rsidRDefault="00047DB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With 3 &amp; 4 DP co</w:t>
      </w:r>
      <w:r>
        <w:rPr>
          <w:rFonts w:ascii="Times New Roman" w:eastAsia="Times New Roman" w:hAnsi="Times New Roman" w:cs="Times New Roman"/>
          <w:sz w:val="20"/>
          <w:szCs w:val="20"/>
        </w:rPr>
        <w:t>ncern because going to bind the class</w:t>
      </w:r>
    </w:p>
    <w:p w:rsidR="00CD674D" w:rsidRDefault="00047DB3">
      <w:pPr>
        <w:numPr>
          <w:ilvl w:val="2"/>
          <w:numId w:val="3"/>
        </w:numPr>
        <w:contextualSpacing/>
        <w:rPr>
          <w:rFonts w:ascii="Times New Roman" w:eastAsia="Times New Roman" w:hAnsi="Times New Roman" w:cs="Times New Roman"/>
          <w:sz w:val="20"/>
          <w:szCs w:val="20"/>
          <w:shd w:val="clear" w:color="auto" w:fill="FFF2CC"/>
        </w:rPr>
      </w:pPr>
      <w:r>
        <w:rPr>
          <w:rFonts w:ascii="Times New Roman" w:eastAsia="Times New Roman" w:hAnsi="Times New Roman" w:cs="Times New Roman"/>
          <w:i/>
          <w:color w:val="FF0000"/>
          <w:sz w:val="20"/>
          <w:szCs w:val="20"/>
          <w:shd w:val="clear" w:color="auto" w:fill="FFF2CC"/>
        </w:rPr>
        <w:t>Hansberry v. Lee</w:t>
      </w:r>
      <w:r>
        <w:rPr>
          <w:rFonts w:ascii="Times New Roman" w:eastAsia="Times New Roman" w:hAnsi="Times New Roman" w:cs="Times New Roman"/>
          <w:color w:val="FF0000"/>
          <w:sz w:val="20"/>
          <w:szCs w:val="20"/>
          <w:shd w:val="clear" w:color="auto" w:fill="FFF2CC"/>
        </w:rPr>
        <w:t xml:space="preserve"> (SCOTUS, 1940) </w:t>
      </w:r>
    </w:p>
    <w:p w:rsidR="00CD674D" w:rsidRDefault="00047DB3">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No preclusion because not adequately represented (requirement of R.23), </w:t>
      </w:r>
      <w:r>
        <w:rPr>
          <w:rFonts w:ascii="Times New Roman" w:eastAsia="Times New Roman" w:hAnsi="Times New Roman" w:cs="Times New Roman"/>
          <w:b/>
          <w:color w:val="FF0000"/>
          <w:sz w:val="20"/>
          <w:szCs w:val="20"/>
        </w:rPr>
        <w:t>R:</w:t>
      </w:r>
      <w:r>
        <w:rPr>
          <w:rFonts w:ascii="Times New Roman" w:eastAsia="Times New Roman" w:hAnsi="Times New Roman" w:cs="Times New Roman"/>
          <w:color w:val="FF0000"/>
          <w:sz w:val="20"/>
          <w:szCs w:val="20"/>
        </w:rPr>
        <w:t xml:space="preserve"> Direction of the </w:t>
      </w:r>
      <w:r>
        <w:rPr>
          <w:rFonts w:ascii="Times New Roman" w:eastAsia="Times New Roman" w:hAnsi="Times New Roman" w:cs="Times New Roman"/>
          <w:color w:val="FF0000"/>
          <w:sz w:val="20"/>
          <w:szCs w:val="20"/>
        </w:rPr>
        <w:tab/>
        <w:t xml:space="preserve">claim must be the same (before wanted to uphold racially restrictive covenant, here want </w:t>
      </w:r>
      <w:r>
        <w:rPr>
          <w:rFonts w:ascii="Times New Roman" w:eastAsia="Times New Roman" w:hAnsi="Times New Roman" w:cs="Times New Roman"/>
          <w:color w:val="FF0000"/>
          <w:sz w:val="20"/>
          <w:szCs w:val="20"/>
        </w:rPr>
        <w:t>to defeat it)</w:t>
      </w:r>
    </w:p>
    <w:p w:rsidR="00CD674D" w:rsidRDefault="00047DB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R.23(b) Must meet one of three kinds of classes: (1) Prejudice class action (class treatment is necessary to avoid harm either to class members of opponent to the class; individual suits may cause incompatible suits for the defendant (e.g. so</w:t>
      </w:r>
      <w:r>
        <w:rPr>
          <w:rFonts w:ascii="Times New Roman" w:eastAsia="Times New Roman" w:hAnsi="Times New Roman" w:cs="Times New Roman"/>
          <w:sz w:val="20"/>
          <w:szCs w:val="20"/>
        </w:rPr>
        <w:t>me may win, lose, varying remedies)), (2) individual suits would impair the individual’s ability to protect their own interests (if limited fund pot of money will be depleted), (3) damages</w:t>
      </w:r>
    </w:p>
    <w:p w:rsidR="00CD674D" w:rsidRDefault="00047DB3">
      <w:pPr>
        <w:rPr>
          <w:rFonts w:ascii="Times New Roman" w:eastAsia="Times New Roman" w:hAnsi="Times New Roman" w:cs="Times New Roman"/>
          <w:sz w:val="20"/>
          <w:szCs w:val="20"/>
        </w:rPr>
      </w:pPr>
      <w:r>
        <w:rPr>
          <w:noProof/>
        </w:rPr>
        <mc:AlternateContent>
          <mc:Choice Requires="wpg">
            <w:drawing>
              <wp:anchor distT="114300" distB="114300" distL="114300" distR="114300" simplePos="0" relativeHeight="251660288" behindDoc="1" locked="0" layoutInCell="1" hidden="0" allowOverlap="1">
                <wp:simplePos x="0" y="0"/>
                <wp:positionH relativeFrom="margin">
                  <wp:posOffset>1031875</wp:posOffset>
                </wp:positionH>
                <wp:positionV relativeFrom="paragraph">
                  <wp:posOffset>0</wp:posOffset>
                </wp:positionV>
                <wp:extent cx="3822700" cy="4055555"/>
                <wp:effectExtent l="0" t="0" r="0" b="0"/>
                <wp:wrapTopAndBottom distT="114300" distB="114300"/>
                <wp:docPr id="43" name="Group 43"/>
                <wp:cNvGraphicFramePr/>
                <a:graphic xmlns:a="http://schemas.openxmlformats.org/drawingml/2006/main">
                  <a:graphicData uri="http://schemas.microsoft.com/office/word/2010/wordprocessingGroup">
                    <wpg:wgp>
                      <wpg:cNvGrpSpPr/>
                      <wpg:grpSpPr>
                        <a:xfrm>
                          <a:off x="0" y="0"/>
                          <a:ext cx="3822700" cy="4055555"/>
                          <a:chOff x="1894500" y="69525"/>
                          <a:chExt cx="4606275" cy="4910008"/>
                        </a:xfrm>
                      </wpg:grpSpPr>
                      <wpg:grpSp>
                        <wpg:cNvPr id="44" name="Group 44"/>
                        <wpg:cNvGrpSpPr/>
                        <wpg:grpSpPr>
                          <a:xfrm>
                            <a:off x="1919300" y="69525"/>
                            <a:ext cx="4502350" cy="2367508"/>
                            <a:chOff x="1995500" y="450525"/>
                            <a:chExt cx="4502350" cy="2367508"/>
                          </a:xfrm>
                        </wpg:grpSpPr>
                        <wps:wsp>
                          <wps:cNvPr id="45" name="Oval 45"/>
                          <wps:cNvSpPr/>
                          <wps:spPr>
                            <a:xfrm>
                              <a:off x="2247900" y="958633"/>
                              <a:ext cx="1942800" cy="1859400"/>
                            </a:xfrm>
                            <a:prstGeom prst="ellipse">
                              <a:avLst/>
                            </a:prstGeom>
                            <a:solidFill>
                              <a:srgbClr val="CFE2F3"/>
                            </a:solidFill>
                            <a:ln w="9525" cap="flat" cmpd="sng">
                              <a:solidFill>
                                <a:srgbClr val="000000"/>
                              </a:solidFill>
                              <a:prstDash val="solid"/>
                              <a:round/>
                              <a:headEnd type="none" w="med" len="med"/>
                              <a:tailEnd type="none" w="med" len="med"/>
                            </a:ln>
                          </wps:spPr>
                          <wps:txbx>
                            <w:txbxContent>
                              <w:p w:rsidR="00CD674D" w:rsidRDefault="00CD674D">
                                <w:pPr>
                                  <w:spacing w:line="240" w:lineRule="auto"/>
                                  <w:textDirection w:val="btLr"/>
                                </w:pPr>
                              </w:p>
                            </w:txbxContent>
                          </wps:txbx>
                          <wps:bodyPr spcFirstLastPara="1" wrap="square" lIns="91425" tIns="91425" rIns="91425" bIns="91425" anchor="ctr" anchorCtr="0"/>
                        </wps:wsp>
                        <wps:wsp>
                          <wps:cNvPr id="46" name="Oval 46"/>
                          <wps:cNvSpPr/>
                          <wps:spPr>
                            <a:xfrm>
                              <a:off x="2850348" y="1520537"/>
                              <a:ext cx="738000" cy="735600"/>
                            </a:xfrm>
                            <a:prstGeom prst="ellipse">
                              <a:avLst/>
                            </a:prstGeom>
                            <a:solidFill>
                              <a:srgbClr val="6FA8DC"/>
                            </a:solidFill>
                            <a:ln w="9525" cap="flat" cmpd="sng">
                              <a:solidFill>
                                <a:srgbClr val="000000"/>
                              </a:solidFill>
                              <a:prstDash val="solid"/>
                              <a:round/>
                              <a:headEnd type="none" w="med" len="med"/>
                              <a:tailEnd type="none" w="med" len="med"/>
                            </a:ln>
                          </wps:spPr>
                          <wps:txbx>
                            <w:txbxContent>
                              <w:p w:rsidR="00CD674D" w:rsidRDefault="00CD674D">
                                <w:pPr>
                                  <w:spacing w:line="240" w:lineRule="auto"/>
                                  <w:textDirection w:val="btLr"/>
                                </w:pPr>
                              </w:p>
                            </w:txbxContent>
                          </wps:txbx>
                          <wps:bodyPr spcFirstLastPara="1" wrap="square" lIns="91425" tIns="91425" rIns="91425" bIns="91425" anchor="ctr" anchorCtr="0"/>
                        </wps:wsp>
                        <wps:wsp>
                          <wps:cNvPr id="47" name="Straight Arrow Connector 47"/>
                          <wps:cNvCnPr/>
                          <wps:spPr>
                            <a:xfrm rot="10800000" flipH="1">
                              <a:off x="3223344" y="909541"/>
                              <a:ext cx="1242000" cy="987000"/>
                            </a:xfrm>
                            <a:prstGeom prst="straightConnector1">
                              <a:avLst/>
                            </a:prstGeom>
                            <a:noFill/>
                            <a:ln w="9525" cap="flat" cmpd="sng">
                              <a:solidFill>
                                <a:srgbClr val="000000"/>
                              </a:solidFill>
                              <a:prstDash val="solid"/>
                              <a:round/>
                              <a:headEnd type="none" w="lg" len="lg"/>
                              <a:tailEnd type="none" w="lg" len="lg"/>
                            </a:ln>
                          </wps:spPr>
                          <wps:bodyPr/>
                        </wps:wsp>
                        <wps:wsp>
                          <wps:cNvPr id="48" name="Straight Arrow Connector 48"/>
                          <wps:cNvCnPr/>
                          <wps:spPr>
                            <a:xfrm rot="10800000" flipH="1">
                              <a:off x="3588348" y="1346837"/>
                              <a:ext cx="823500" cy="541500"/>
                            </a:xfrm>
                            <a:prstGeom prst="straightConnector1">
                              <a:avLst/>
                            </a:prstGeom>
                            <a:noFill/>
                            <a:ln w="9525" cap="flat" cmpd="sng">
                              <a:solidFill>
                                <a:srgbClr val="000000"/>
                              </a:solidFill>
                              <a:prstDash val="solid"/>
                              <a:round/>
                              <a:headEnd type="none" w="lg" len="lg"/>
                              <a:tailEnd type="none" w="lg" len="lg"/>
                            </a:ln>
                          </wps:spPr>
                          <wps:bodyPr/>
                        </wps:wsp>
                        <wps:wsp>
                          <wps:cNvPr id="49" name="Straight Arrow Connector 49"/>
                          <wps:cNvCnPr/>
                          <wps:spPr>
                            <a:xfrm rot="10800000" flipH="1">
                              <a:off x="3745350" y="1756975"/>
                              <a:ext cx="666600" cy="198600"/>
                            </a:xfrm>
                            <a:prstGeom prst="straightConnector1">
                              <a:avLst/>
                            </a:prstGeom>
                            <a:noFill/>
                            <a:ln w="9525" cap="flat" cmpd="sng">
                              <a:solidFill>
                                <a:srgbClr val="000000"/>
                              </a:solidFill>
                              <a:prstDash val="solid"/>
                              <a:round/>
                              <a:headEnd type="none" w="lg" len="lg"/>
                              <a:tailEnd type="none" w="lg" len="lg"/>
                            </a:ln>
                          </wps:spPr>
                          <wps:bodyPr/>
                        </wps:wsp>
                        <wps:wsp>
                          <wps:cNvPr id="50" name="Text Box 50"/>
                          <wps:cNvSpPr txBox="1"/>
                          <wps:spPr>
                            <a:xfrm>
                              <a:off x="4391025" y="644525"/>
                              <a:ext cx="2085900" cy="6096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R.13 Compulsory Counterclaim (same transaction or occurrence)</w:t>
                                </w:r>
                              </w:p>
                            </w:txbxContent>
                          </wps:txbx>
                          <wps:bodyPr spcFirstLastPara="1" wrap="square" lIns="91425" tIns="91425" rIns="91425" bIns="91425" anchor="t" anchorCtr="0"/>
                        </wps:wsp>
                        <wps:wsp>
                          <wps:cNvPr id="51" name="Text Box 51"/>
                          <wps:cNvSpPr txBox="1"/>
                          <wps:spPr>
                            <a:xfrm>
                              <a:off x="4411950" y="1042000"/>
                              <a:ext cx="2085900" cy="6096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 xml:space="preserve">SMJ (scope lines up with scope of R.13) </w:t>
                                </w:r>
                              </w:p>
                            </w:txbxContent>
                          </wps:txbx>
                          <wps:bodyPr spcFirstLastPara="1" wrap="square" lIns="91425" tIns="91425" rIns="91425" bIns="91425" anchor="t" anchorCtr="0"/>
                        </wps:wsp>
                        <wps:wsp>
                          <wps:cNvPr id="52" name="Text Box 52"/>
                          <wps:cNvSpPr txBox="1"/>
                          <wps:spPr>
                            <a:xfrm>
                              <a:off x="4411950" y="1452175"/>
                              <a:ext cx="2085900" cy="6096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R.13 Permissive Counterclaims (any claim against opposing party)</w:t>
                                </w:r>
                              </w:p>
                            </w:txbxContent>
                          </wps:txbx>
                          <wps:bodyPr spcFirstLastPara="1" wrap="square" lIns="91425" tIns="91425" rIns="91425" bIns="91425" anchor="t" anchorCtr="0"/>
                        </wps:wsp>
                        <wps:wsp>
                          <wps:cNvPr id="53" name="Text Box 53"/>
                          <wps:cNvSpPr txBox="1"/>
                          <wps:spPr>
                            <a:xfrm>
                              <a:off x="1995500" y="450525"/>
                              <a:ext cx="3376800" cy="3465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4"/>
                                  </w:rPr>
                                  <w:t>Counterclaims R.13 &amp; SMJ: Same T or O</w:t>
                                </w:r>
                              </w:p>
                            </w:txbxContent>
                          </wps:txbx>
                          <wps:bodyPr spcFirstLastPara="1" wrap="square" lIns="91425" tIns="91425" rIns="91425" bIns="91425" anchor="t" anchorCtr="0"/>
                        </wps:wsp>
                      </wpg:grpSp>
                      <wps:wsp>
                        <wps:cNvPr id="54" name="Text Box 54"/>
                        <wps:cNvSpPr txBox="1"/>
                        <wps:spPr>
                          <a:xfrm>
                            <a:off x="1894500" y="2665625"/>
                            <a:ext cx="3069000" cy="4545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4"/>
                                </w:rPr>
                                <w:t>Counterclaims R.13 &amp; SMJ after 1367</w:t>
                              </w:r>
                            </w:p>
                          </w:txbxContent>
                        </wps:txbx>
                        <wps:bodyPr spcFirstLastPara="1" wrap="square" lIns="91425" tIns="91425" rIns="91425" bIns="91425" anchor="t" anchorCtr="0"/>
                      </wps:wsp>
                      <wps:wsp>
                        <wps:cNvPr id="55" name="Oval 55"/>
                        <wps:cNvSpPr/>
                        <wps:spPr>
                          <a:xfrm>
                            <a:off x="2238375" y="3120133"/>
                            <a:ext cx="1942800" cy="1859400"/>
                          </a:xfrm>
                          <a:prstGeom prst="ellipse">
                            <a:avLst/>
                          </a:prstGeom>
                          <a:solidFill>
                            <a:srgbClr val="CFE2F3"/>
                          </a:solidFill>
                          <a:ln w="9525" cap="flat" cmpd="sng">
                            <a:solidFill>
                              <a:srgbClr val="000000"/>
                            </a:solidFill>
                            <a:prstDash val="solid"/>
                            <a:round/>
                            <a:headEnd type="none" w="med" len="med"/>
                            <a:tailEnd type="none" w="med" len="med"/>
                          </a:ln>
                        </wps:spPr>
                        <wps:txbx>
                          <w:txbxContent>
                            <w:p w:rsidR="00CD674D" w:rsidRDefault="00CD674D">
                              <w:pPr>
                                <w:spacing w:line="240" w:lineRule="auto"/>
                                <w:textDirection w:val="btLr"/>
                              </w:pPr>
                            </w:p>
                          </w:txbxContent>
                        </wps:txbx>
                        <wps:bodyPr spcFirstLastPara="1" wrap="square" lIns="91425" tIns="91425" rIns="91425" bIns="91425" anchor="ctr" anchorCtr="0"/>
                      </wps:wsp>
                      <wps:wsp>
                        <wps:cNvPr id="56" name="Oval 56"/>
                        <wps:cNvSpPr/>
                        <wps:spPr>
                          <a:xfrm>
                            <a:off x="2609925" y="3470825"/>
                            <a:ext cx="1199700" cy="1158000"/>
                          </a:xfrm>
                          <a:prstGeom prst="ellipse">
                            <a:avLst/>
                          </a:prstGeom>
                          <a:solidFill>
                            <a:srgbClr val="3D85C6"/>
                          </a:solidFill>
                          <a:ln w="9525" cap="flat" cmpd="sng">
                            <a:solidFill>
                              <a:srgbClr val="000000"/>
                            </a:solidFill>
                            <a:prstDash val="solid"/>
                            <a:round/>
                            <a:headEnd type="none" w="med" len="med"/>
                            <a:tailEnd type="none" w="med" len="med"/>
                          </a:ln>
                        </wps:spPr>
                        <wps:txbx>
                          <w:txbxContent>
                            <w:p w:rsidR="00CD674D" w:rsidRDefault="00CD674D">
                              <w:pPr>
                                <w:spacing w:line="240" w:lineRule="auto"/>
                                <w:textDirection w:val="btLr"/>
                              </w:pPr>
                            </w:p>
                          </w:txbxContent>
                        </wps:txbx>
                        <wps:bodyPr spcFirstLastPara="1" wrap="square" lIns="91425" tIns="91425" rIns="91425" bIns="91425" anchor="ctr" anchorCtr="0"/>
                      </wps:wsp>
                      <wps:wsp>
                        <wps:cNvPr id="57" name="Oval 57"/>
                        <wps:cNvSpPr/>
                        <wps:spPr>
                          <a:xfrm>
                            <a:off x="2840773" y="3682037"/>
                            <a:ext cx="738000" cy="735600"/>
                          </a:xfrm>
                          <a:prstGeom prst="ellipse">
                            <a:avLst/>
                          </a:prstGeom>
                          <a:solidFill>
                            <a:srgbClr val="6FA8DC"/>
                          </a:solidFill>
                          <a:ln w="9525" cap="flat" cmpd="sng">
                            <a:solidFill>
                              <a:srgbClr val="000000"/>
                            </a:solidFill>
                            <a:prstDash val="solid"/>
                            <a:round/>
                            <a:headEnd type="none" w="med" len="med"/>
                            <a:tailEnd type="none" w="med" len="med"/>
                          </a:ln>
                        </wps:spPr>
                        <wps:txbx>
                          <w:txbxContent>
                            <w:p w:rsidR="00CD674D" w:rsidRDefault="00CD674D">
                              <w:pPr>
                                <w:spacing w:line="240" w:lineRule="auto"/>
                                <w:textDirection w:val="btLr"/>
                              </w:pPr>
                            </w:p>
                          </w:txbxContent>
                        </wps:txbx>
                        <wps:bodyPr spcFirstLastPara="1" wrap="square" lIns="91425" tIns="91425" rIns="91425" bIns="91425" anchor="ctr" anchorCtr="0"/>
                      </wps:wsp>
                      <wps:wsp>
                        <wps:cNvPr id="58" name="Straight Arrow Connector 58"/>
                        <wps:cNvCnPr/>
                        <wps:spPr>
                          <a:xfrm rot="10800000" flipH="1">
                            <a:off x="3196669" y="3120116"/>
                            <a:ext cx="1242000" cy="987000"/>
                          </a:xfrm>
                          <a:prstGeom prst="straightConnector1">
                            <a:avLst/>
                          </a:prstGeom>
                          <a:noFill/>
                          <a:ln w="9525" cap="flat" cmpd="sng">
                            <a:solidFill>
                              <a:srgbClr val="000000"/>
                            </a:solidFill>
                            <a:prstDash val="solid"/>
                            <a:round/>
                            <a:headEnd type="none" w="lg" len="lg"/>
                            <a:tailEnd type="none" w="lg" len="lg"/>
                          </a:ln>
                        </wps:spPr>
                        <wps:bodyPr/>
                      </wps:wsp>
                      <wps:wsp>
                        <wps:cNvPr id="59" name="Text Box 59"/>
                        <wps:cNvSpPr txBox="1"/>
                        <wps:spPr>
                          <a:xfrm>
                            <a:off x="4414875" y="2861225"/>
                            <a:ext cx="2085900" cy="6096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R.13 Compulsory Counterclaim (same transaction or occurrence)</w:t>
                              </w:r>
                            </w:p>
                          </w:txbxContent>
                        </wps:txbx>
                        <wps:bodyPr spcFirstLastPara="1" wrap="square" lIns="91425" tIns="91425" rIns="91425" bIns="91425" anchor="t" anchorCtr="0"/>
                      </wps:wsp>
                      <wps:wsp>
                        <wps:cNvPr id="60" name="Text Box 60"/>
                        <wps:cNvSpPr txBox="1"/>
                        <wps:spPr>
                          <a:xfrm>
                            <a:off x="4414875" y="3328375"/>
                            <a:ext cx="2085900" cy="6096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1367(a) (same case or controversy)</w:t>
                              </w:r>
                            </w:p>
                          </w:txbxContent>
                        </wps:txbx>
                        <wps:bodyPr spcFirstLastPara="1" wrap="square" lIns="91425" tIns="91425" rIns="91425" bIns="91425" anchor="t" anchorCtr="0"/>
                      </wps:wsp>
                      <wps:wsp>
                        <wps:cNvPr id="61" name="Straight Arrow Connector 61"/>
                        <wps:cNvCnPr/>
                        <wps:spPr>
                          <a:xfrm rot="10800000" flipH="1">
                            <a:off x="3615173" y="3537787"/>
                            <a:ext cx="823500" cy="541500"/>
                          </a:xfrm>
                          <a:prstGeom prst="straightConnector1">
                            <a:avLst/>
                          </a:prstGeom>
                          <a:noFill/>
                          <a:ln w="9525" cap="flat" cmpd="sng">
                            <a:solidFill>
                              <a:srgbClr val="000000"/>
                            </a:solidFill>
                            <a:prstDash val="solid"/>
                            <a:round/>
                            <a:headEnd type="none" w="lg" len="lg"/>
                            <a:tailEnd type="none" w="lg" len="lg"/>
                          </a:ln>
                        </wps:spPr>
                        <wps:bodyPr/>
                      </wps:wsp>
                      <wps:wsp>
                        <wps:cNvPr id="62" name="Straight Arrow Connector 62"/>
                        <wps:cNvCnPr/>
                        <wps:spPr>
                          <a:xfrm rot="10800000" flipH="1">
                            <a:off x="3915725" y="3889025"/>
                            <a:ext cx="482100" cy="204600"/>
                          </a:xfrm>
                          <a:prstGeom prst="straightConnector1">
                            <a:avLst/>
                          </a:prstGeom>
                          <a:noFill/>
                          <a:ln w="9525" cap="flat" cmpd="sng">
                            <a:solidFill>
                              <a:srgbClr val="000000"/>
                            </a:solidFill>
                            <a:prstDash val="solid"/>
                            <a:round/>
                            <a:headEnd type="none" w="lg" len="lg"/>
                            <a:tailEnd type="none" w="lg" len="lg"/>
                          </a:ln>
                        </wps:spPr>
                        <wps:bodyPr/>
                      </wps:wsp>
                      <wps:wsp>
                        <wps:cNvPr id="63" name="Text Box 63"/>
                        <wps:cNvSpPr txBox="1"/>
                        <wps:spPr>
                          <a:xfrm>
                            <a:off x="4414875" y="3709375"/>
                            <a:ext cx="2085900" cy="609600"/>
                          </a:xfrm>
                          <a:prstGeom prst="rect">
                            <a:avLst/>
                          </a:prstGeom>
                          <a:noFill/>
                          <a:ln>
                            <a:noFill/>
                          </a:ln>
                        </wps:spPr>
                        <wps:txbx>
                          <w:txbxContent>
                            <w:p w:rsidR="00CD674D" w:rsidRDefault="00047DB3">
                              <w:pPr>
                                <w:spacing w:line="240" w:lineRule="auto"/>
                                <w:textDirection w:val="btLr"/>
                              </w:pPr>
                              <w:r>
                                <w:rPr>
                                  <w:rFonts w:ascii="Times New Roman" w:eastAsia="Times New Roman" w:hAnsi="Times New Roman" w:cs="Times New Roman"/>
                                  <w:sz w:val="20"/>
                                </w:rPr>
                                <w:t>R.13 Permissive Counterclaims (any claim against opposing party)</w:t>
                              </w:r>
                            </w:p>
                          </w:txbxContent>
                        </wps:txbx>
                        <wps:bodyPr spcFirstLastPara="1" wrap="square" lIns="91425" tIns="91425" rIns="91425" bIns="91425" anchor="t" anchorCtr="0"/>
                      </wps:w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posOffset>1031875</wp:posOffset>
                </wp:positionH>
                <wp:positionV relativeFrom="paragraph">
                  <wp:posOffset>0</wp:posOffset>
                </wp:positionV>
                <wp:extent cx="3822700" cy="4055555"/>
                <wp:effectExtent b="0" l="0" r="0" t="0"/>
                <wp:wrapTopAndBottom distB="114300" distT="11430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822700" cy="4055555"/>
                        </a:xfrm>
                        <a:prstGeom prst="rect"/>
                        <a:ln/>
                      </pic:spPr>
                    </pic:pic>
                  </a:graphicData>
                </a:graphic>
              </wp:anchor>
            </w:drawing>
          </mc:Fallback>
        </mc:AlternateContent>
      </w:r>
    </w:p>
    <w:p w:rsidR="00CD674D" w:rsidRDefault="00CD674D">
      <w:pPr>
        <w:jc w:val="center"/>
        <w:rPr>
          <w:rFonts w:ascii="Times New Roman" w:eastAsia="Times New Roman" w:hAnsi="Times New Roman" w:cs="Times New Roman"/>
          <w:sz w:val="16"/>
          <w:szCs w:val="16"/>
        </w:rPr>
      </w:pPr>
    </w:p>
    <w:sectPr w:rsidR="00CD674D">
      <w:pgSz w:w="12240" w:h="15840"/>
      <w:pgMar w:top="720" w:right="1080" w:bottom="720" w:left="108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FB1E74"/>
    <w:multiLevelType w:val="multilevel"/>
    <w:tmpl w:val="FFC49380"/>
    <w:lvl w:ilvl="0">
      <w:start w:val="1"/>
      <w:numFmt w:val="upperRoman"/>
      <w:lvlText w:val="%1."/>
      <w:lvlJc w:val="right"/>
      <w:pPr>
        <w:ind w:left="720" w:hanging="360"/>
      </w:pPr>
      <w:rPr>
        <w:u w:val="none"/>
      </w:rPr>
    </w:lvl>
    <w:lvl w:ilvl="1">
      <w:start w:val="1"/>
      <w:numFmt w:val="upperLetter"/>
      <w:lvlText w:val="%2."/>
      <w:lvlJc w:val="left"/>
      <w:pPr>
        <w:ind w:left="1440" w:hanging="360"/>
      </w:pPr>
      <w:rPr>
        <w:b w:val="0"/>
        <w:i w:val="0"/>
        <w:color w:val="000000"/>
        <w:u w:val="none"/>
      </w:rPr>
    </w:lvl>
    <w:lvl w:ilvl="2">
      <w:start w:val="1"/>
      <w:numFmt w:val="decimal"/>
      <w:lvlText w:val="%3."/>
      <w:lvlJc w:val="left"/>
      <w:pPr>
        <w:ind w:left="2160" w:hanging="360"/>
      </w:pPr>
      <w:rPr>
        <w:b w:val="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9625C37"/>
    <w:multiLevelType w:val="multilevel"/>
    <w:tmpl w:val="FCBC70F4"/>
    <w:lvl w:ilvl="0">
      <w:start w:val="1"/>
      <w:numFmt w:val="upperRoman"/>
      <w:lvlText w:val="%1."/>
      <w:lvlJc w:val="right"/>
      <w:pPr>
        <w:ind w:left="720" w:hanging="360"/>
      </w:pPr>
      <w:rPr>
        <w:sz w:val="20"/>
        <w:szCs w:val="20"/>
        <w:u w:val="none"/>
      </w:rPr>
    </w:lvl>
    <w:lvl w:ilvl="1">
      <w:start w:val="1"/>
      <w:numFmt w:val="upperLetter"/>
      <w:lvlText w:val="%2."/>
      <w:lvlJc w:val="left"/>
      <w:pPr>
        <w:ind w:left="1440" w:hanging="360"/>
      </w:pPr>
      <w:rPr>
        <w:b w:val="0"/>
        <w:u w:val="none"/>
        <w:shd w:val="clear" w:color="auto" w:fill="auto"/>
      </w:rPr>
    </w:lvl>
    <w:lvl w:ilvl="2">
      <w:start w:val="1"/>
      <w:numFmt w:val="decimal"/>
      <w:lvlText w:val="%3."/>
      <w:lvlJc w:val="left"/>
      <w:pPr>
        <w:ind w:left="2160" w:hanging="360"/>
      </w:pPr>
      <w:rPr>
        <w:i w:val="0"/>
        <w:u w:val="none"/>
      </w:rPr>
    </w:lvl>
    <w:lvl w:ilvl="3">
      <w:start w:val="1"/>
      <w:numFmt w:val="lowerLetter"/>
      <w:lvlText w:val="%4)"/>
      <w:lvlJc w:val="left"/>
      <w:pPr>
        <w:ind w:left="2880" w:hanging="360"/>
      </w:pPr>
      <w:rPr>
        <w:i w:val="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D781C78"/>
    <w:multiLevelType w:val="multilevel"/>
    <w:tmpl w:val="B6349516"/>
    <w:lvl w:ilvl="0">
      <w:start w:val="1"/>
      <w:numFmt w:val="upperRoman"/>
      <w:lvlText w:val="%1."/>
      <w:lvlJc w:val="right"/>
      <w:pPr>
        <w:ind w:left="720" w:hanging="360"/>
      </w:pPr>
      <w:rPr>
        <w:color w:val="000000"/>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i w:val="0"/>
        <w:color w:val="00000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i w:val="0"/>
        <w:u w:val="none"/>
      </w:rPr>
    </w:lvl>
    <w:lvl w:ilvl="5">
      <w:start w:val="1"/>
      <w:numFmt w:val="lowerLetter"/>
      <w:lvlText w:val="(%6)"/>
      <w:lvlJc w:val="left"/>
      <w:pPr>
        <w:ind w:left="4320" w:hanging="360"/>
      </w:pPr>
      <w:rPr>
        <w:i w:val="0"/>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68A0309"/>
    <w:multiLevelType w:val="multilevel"/>
    <w:tmpl w:val="1C08AF5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b w:val="0"/>
        <w:u w:val="none"/>
        <w:shd w:val="clear" w:color="auto" w:fill="auto"/>
      </w:rPr>
    </w:lvl>
    <w:lvl w:ilvl="4">
      <w:start w:val="1"/>
      <w:numFmt w:val="decimal"/>
      <w:lvlText w:val="(%5)"/>
      <w:lvlJc w:val="left"/>
      <w:pPr>
        <w:ind w:left="3600" w:hanging="360"/>
      </w:pPr>
      <w:rPr>
        <w:b w:val="0"/>
        <w:u w:val="none"/>
        <w:shd w:val="clear" w:color="auto" w:fill="auto"/>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9802D74"/>
    <w:multiLevelType w:val="multilevel"/>
    <w:tmpl w:val="EDEE67B4"/>
    <w:lvl w:ilvl="0">
      <w:start w:val="1"/>
      <w:numFmt w:val="upperRoman"/>
      <w:lvlText w:val="%1."/>
      <w:lvlJc w:val="right"/>
      <w:pPr>
        <w:ind w:left="720" w:hanging="360"/>
      </w:pPr>
      <w:rPr>
        <w:u w:val="none"/>
      </w:rPr>
    </w:lvl>
    <w:lvl w:ilvl="1">
      <w:start w:val="5"/>
      <w:numFmt w:val="upperLetter"/>
      <w:lvlText w:val="%2."/>
      <w:lvlJc w:val="left"/>
      <w:pPr>
        <w:ind w:left="1440" w:hanging="360"/>
      </w:pPr>
      <w:rPr>
        <w:i w:val="0"/>
        <w:color w:val="000000"/>
        <w:u w:val="none"/>
      </w:rPr>
    </w:lvl>
    <w:lvl w:ilvl="2">
      <w:start w:val="1"/>
      <w:numFmt w:val="decimal"/>
      <w:lvlText w:val="%3."/>
      <w:lvlJc w:val="left"/>
      <w:pPr>
        <w:ind w:left="2160" w:hanging="360"/>
      </w:pPr>
      <w:rPr>
        <w:i w:val="0"/>
        <w:color w:val="00000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i w:val="0"/>
        <w:u w:val="none"/>
      </w:rPr>
    </w:lvl>
    <w:lvl w:ilvl="5">
      <w:start w:val="1"/>
      <w:numFmt w:val="lowerLetter"/>
      <w:lvlText w:val="(%6)"/>
      <w:lvlJc w:val="left"/>
      <w:pPr>
        <w:ind w:left="4320" w:hanging="360"/>
      </w:pPr>
      <w:rPr>
        <w:i w:val="0"/>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CD674D"/>
    <w:rsid w:val="00047DB3"/>
    <w:rsid w:val="00CD6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613C8D"/>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6504</Words>
  <Characters>37079</Characters>
  <Application>Microsoft Office Word</Application>
  <DocSecurity>0</DocSecurity>
  <Lines>308</Lines>
  <Paragraphs>86</Paragraphs>
  <ScaleCrop>false</ScaleCrop>
  <Company/>
  <LinksUpToDate>false</LinksUpToDate>
  <CharactersWithSpaces>43497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2018-04-10T18:37:00Z</dcterms:created>
  <dcterms:modified xsi:type="dcterms:W3CDTF">2018-04-10T18:37:00Z</dcterms:modified>
</cp:coreProperties>
</file>