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body>
    <w:p w:rsidR="00E45F3B" w:rsidRDefault="006A3871">
      <w:pPr>
        <w:jc w:val="center"/>
        <w:rPr>
          <w:rFonts w:ascii="Times New Roman" w:eastAsia="Times New Roman" w:hAnsi="Times New Roman" w:cs="Times New Roman"/>
          <w:sz w:val="24"/>
          <w:szCs w:val="24"/>
        </w:rPr>
      </w:pPr>
      <w:r>
        <w:rPr>
          <w:rFonts w:ascii="Times New Roman" w:eastAsia="Times New Roman" w:hAnsi="Times New Roman" w:cs="Times New Roman"/>
          <w:b/>
          <w:sz w:val="24"/>
          <w:szCs w:val="24"/>
        </w:rPr>
        <w:t>Civil Procedure I Outline</w:t>
      </w:r>
    </w:p>
    <w:p w:rsidR="00C56FE3" w:rsidRDefault="00C56FE3">
      <w:pPr>
        <w:jc w:val="center"/>
        <w:rPr>
          <w:rFonts w:ascii="Times New Roman" w:eastAsia="Times New Roman" w:hAnsi="Times New Roman" w:cs="Times New Roman"/>
          <w:sz w:val="16"/>
          <w:szCs w:val="16"/>
        </w:rPr>
      </w:pPr>
    </w:p>
    <w:p w:rsidR="00E45F3B" w:rsidRDefault="006A3871">
      <w:pPr>
        <w:jc w:val="center"/>
        <w:rPr>
          <w:rFonts w:ascii="Times New Roman" w:eastAsia="Times New Roman" w:hAnsi="Times New Roman" w:cs="Times New Roman"/>
          <w:sz w:val="16"/>
          <w:szCs w:val="16"/>
        </w:rPr>
      </w:pPr>
      <w:bookmarkStart w:id="0" w:name="_GoBack"/>
      <w:bookmarkEnd w:id="0"/>
      <w:r>
        <w:rPr>
          <w:rFonts w:ascii="Times New Roman" w:eastAsia="Times New Roman" w:hAnsi="Times New Roman" w:cs="Times New Roman"/>
          <w:sz w:val="16"/>
          <w:szCs w:val="16"/>
        </w:rPr>
        <w:t>Fall 2015</w:t>
      </w:r>
    </w:p>
    <w:p w:rsidR="00E45F3B" w:rsidRDefault="00E45F3B">
      <w:pPr>
        <w:jc w:val="center"/>
        <w:rPr>
          <w:rFonts w:ascii="Times New Roman" w:eastAsia="Times New Roman" w:hAnsi="Times New Roman" w:cs="Times New Roman"/>
          <w:sz w:val="20"/>
          <w:szCs w:val="20"/>
        </w:rPr>
      </w:pPr>
    </w:p>
    <w:p w:rsidR="00E45F3B" w:rsidRDefault="006A3871">
      <w:pPr>
        <w:jc w:val="center"/>
        <w:rPr>
          <w:rFonts w:ascii="Times New Roman" w:eastAsia="Times New Roman" w:hAnsi="Times New Roman" w:cs="Times New Roman"/>
          <w:sz w:val="24"/>
          <w:szCs w:val="24"/>
        </w:rPr>
      </w:pPr>
      <w:r>
        <w:rPr>
          <w:rFonts w:ascii="Times New Roman" w:eastAsia="Times New Roman" w:hAnsi="Times New Roman" w:cs="Times New Roman"/>
          <w:sz w:val="24"/>
          <w:szCs w:val="24"/>
        </w:rPr>
        <w:t>Introduction to Civil Procedure</w:t>
      </w:r>
    </w:p>
    <w:p w:rsidR="00E45F3B" w:rsidRDefault="006A3871">
      <w:pPr>
        <w:numPr>
          <w:ilvl w:val="0"/>
          <w:numId w:val="6"/>
        </w:numPr>
        <w:contextualSpacing/>
        <w:rPr>
          <w:rFonts w:ascii="Times New Roman" w:eastAsia="Times New Roman" w:hAnsi="Times New Roman" w:cs="Times New Roman"/>
          <w:sz w:val="20"/>
          <w:szCs w:val="20"/>
        </w:rPr>
      </w:pPr>
      <w:r>
        <w:rPr>
          <w:rFonts w:ascii="Times New Roman" w:eastAsia="Times New Roman" w:hAnsi="Times New Roman" w:cs="Times New Roman"/>
          <w:i/>
          <w:color w:val="FF0000"/>
          <w:sz w:val="20"/>
          <w:szCs w:val="20"/>
        </w:rPr>
        <w:t xml:space="preserve">Walker v. Birmingham </w:t>
      </w:r>
      <w:r>
        <w:rPr>
          <w:rFonts w:ascii="Times New Roman" w:eastAsia="Times New Roman" w:hAnsi="Times New Roman" w:cs="Times New Roman"/>
          <w:color w:val="FF0000"/>
          <w:sz w:val="20"/>
          <w:szCs w:val="20"/>
        </w:rPr>
        <w:t>(SCOTUS, 1968)</w:t>
      </w:r>
    </w:p>
    <w:p w:rsidR="00E45F3B" w:rsidRDefault="006A3871">
      <w:pPr>
        <w:ind w:left="720"/>
        <w:rPr>
          <w:rFonts w:ascii="Times New Roman" w:eastAsia="Times New Roman" w:hAnsi="Times New Roman" w:cs="Times New Roman"/>
          <w:color w:val="FF0000"/>
          <w:sz w:val="20"/>
          <w:szCs w:val="20"/>
        </w:rPr>
      </w:pPr>
      <w:r>
        <w:rPr>
          <w:rFonts w:ascii="Times New Roman" w:eastAsia="Times New Roman" w:hAnsi="Times New Roman" w:cs="Times New Roman"/>
          <w:b/>
          <w:color w:val="FF0000"/>
          <w:sz w:val="20"/>
          <w:szCs w:val="20"/>
        </w:rPr>
        <w:t xml:space="preserve">H: </w:t>
      </w:r>
      <w:r>
        <w:rPr>
          <w:rFonts w:ascii="Times New Roman" w:eastAsia="Times New Roman" w:hAnsi="Times New Roman" w:cs="Times New Roman"/>
          <w:color w:val="FF0000"/>
          <w:sz w:val="20"/>
          <w:szCs w:val="20"/>
        </w:rPr>
        <w:t>Petitioners cannot bypass ordinary judicial review of injunction before disobeying it, must respect the judicial process – should have appealed for expedited hearing before violating injunction and marching; Takeaway: Procedure can trump substantive law/ri</w:t>
      </w:r>
      <w:r>
        <w:rPr>
          <w:rFonts w:ascii="Times New Roman" w:eastAsia="Times New Roman" w:hAnsi="Times New Roman" w:cs="Times New Roman"/>
          <w:color w:val="FF0000"/>
          <w:sz w:val="20"/>
          <w:szCs w:val="20"/>
        </w:rPr>
        <w:t>ghts</w:t>
      </w:r>
    </w:p>
    <w:p w:rsidR="00E45F3B" w:rsidRDefault="006A3871">
      <w:pPr>
        <w:numPr>
          <w:ilvl w:val="0"/>
          <w:numId w:val="6"/>
        </w:numPr>
        <w:contextualSpacing/>
        <w:rPr>
          <w:rFonts w:ascii="Times New Roman" w:eastAsia="Times New Roman" w:hAnsi="Times New Roman" w:cs="Times New Roman"/>
          <w:sz w:val="20"/>
          <w:szCs w:val="20"/>
        </w:rPr>
      </w:pPr>
      <w:r>
        <w:rPr>
          <w:rFonts w:ascii="Times New Roman" w:eastAsia="Times New Roman" w:hAnsi="Times New Roman" w:cs="Times New Roman"/>
          <w:b/>
          <w:sz w:val="20"/>
          <w:szCs w:val="20"/>
        </w:rPr>
        <w:t>FRCP 65: Injunctions and Restraining Orders</w:t>
      </w:r>
    </w:p>
    <w:p w:rsidR="00E45F3B" w:rsidRDefault="00E45F3B">
      <w:pPr>
        <w:rPr>
          <w:rFonts w:ascii="Times New Roman" w:eastAsia="Times New Roman" w:hAnsi="Times New Roman" w:cs="Times New Roman"/>
          <w:b/>
          <w:sz w:val="20"/>
          <w:szCs w:val="20"/>
        </w:rPr>
      </w:pPr>
    </w:p>
    <w:p w:rsidR="00E45F3B" w:rsidRDefault="006A3871">
      <w:pPr>
        <w:jc w:val="center"/>
        <w:rPr>
          <w:rFonts w:ascii="Times New Roman" w:eastAsia="Times New Roman" w:hAnsi="Times New Roman" w:cs="Times New Roman"/>
          <w:sz w:val="24"/>
          <w:szCs w:val="24"/>
        </w:rPr>
      </w:pPr>
      <w:r>
        <w:rPr>
          <w:rFonts w:ascii="Times New Roman" w:eastAsia="Times New Roman" w:hAnsi="Times New Roman" w:cs="Times New Roman"/>
          <w:sz w:val="24"/>
          <w:szCs w:val="24"/>
        </w:rPr>
        <w:t>Personal Jurisdiction: Power, Consent, &amp; Notice</w:t>
      </w:r>
    </w:p>
    <w:p w:rsidR="00E45F3B" w:rsidRDefault="006A3871">
      <w:pPr>
        <w:numPr>
          <w:ilvl w:val="0"/>
          <w:numId w:val="1"/>
        </w:numPr>
        <w:contextualSpacing/>
        <w:rPr>
          <w:rFonts w:ascii="Times New Roman" w:eastAsia="Times New Roman" w:hAnsi="Times New Roman" w:cs="Times New Roman"/>
          <w:sz w:val="20"/>
          <w:szCs w:val="20"/>
        </w:rPr>
      </w:pPr>
      <w:r>
        <w:rPr>
          <w:rFonts w:ascii="Times New Roman" w:eastAsia="Times New Roman" w:hAnsi="Times New Roman" w:cs="Times New Roman"/>
          <w:sz w:val="20"/>
          <w:szCs w:val="20"/>
        </w:rPr>
        <w:t xml:space="preserve">Origins of PJ – the power to issue a binding judgment; with PJ, can force D to show up in court or face default judgment </w:t>
      </w:r>
    </w:p>
    <w:p w:rsidR="00E45F3B" w:rsidRDefault="006A3871">
      <w:pPr>
        <w:numPr>
          <w:ilvl w:val="1"/>
          <w:numId w:val="1"/>
        </w:numPr>
        <w:contextualSpacing/>
        <w:rPr>
          <w:rFonts w:ascii="Times New Roman" w:eastAsia="Times New Roman" w:hAnsi="Times New Roman" w:cs="Times New Roman"/>
          <w:sz w:val="20"/>
          <w:szCs w:val="20"/>
        </w:rPr>
      </w:pPr>
      <w:r>
        <w:rPr>
          <w:rFonts w:ascii="Times New Roman" w:eastAsia="Times New Roman" w:hAnsi="Times New Roman" w:cs="Times New Roman"/>
          <w:i/>
          <w:color w:val="FF0000"/>
          <w:sz w:val="20"/>
          <w:szCs w:val="20"/>
        </w:rPr>
        <w:t xml:space="preserve">Pennoyer v. Neff </w:t>
      </w:r>
      <w:r>
        <w:rPr>
          <w:rFonts w:ascii="Times New Roman" w:eastAsia="Times New Roman" w:hAnsi="Times New Roman" w:cs="Times New Roman"/>
          <w:color w:val="FF0000"/>
          <w:sz w:val="20"/>
          <w:szCs w:val="20"/>
        </w:rPr>
        <w:t>(SCOTUS, 1877)</w:t>
      </w:r>
    </w:p>
    <w:p w:rsidR="00E45F3B" w:rsidRDefault="006A3871">
      <w:pPr>
        <w:ind w:left="1440"/>
        <w:rPr>
          <w:rFonts w:ascii="Times New Roman" w:eastAsia="Times New Roman" w:hAnsi="Times New Roman" w:cs="Times New Roman"/>
          <w:color w:val="FF0000"/>
          <w:sz w:val="20"/>
          <w:szCs w:val="20"/>
        </w:rPr>
      </w:pPr>
      <w:r>
        <w:rPr>
          <w:rFonts w:ascii="Times New Roman" w:eastAsia="Times New Roman" w:hAnsi="Times New Roman" w:cs="Times New Roman"/>
          <w:b/>
          <w:color w:val="FF0000"/>
          <w:sz w:val="20"/>
          <w:szCs w:val="20"/>
        </w:rPr>
        <w:t xml:space="preserve">H: </w:t>
      </w:r>
      <w:r>
        <w:rPr>
          <w:rFonts w:ascii="Times New Roman" w:eastAsia="Times New Roman" w:hAnsi="Times New Roman" w:cs="Times New Roman"/>
          <w:color w:val="FF0000"/>
          <w:sz w:val="20"/>
          <w:szCs w:val="20"/>
        </w:rPr>
        <w:t>No jurisdiction over Neff (holding in suit #1 is baseless) because Neff is absent (no presence), a non-resident, with no state property (property must be attached when suit filed as a pre-trial remedy, to prevent D from selling during trial)</w:t>
      </w:r>
    </w:p>
    <w:p w:rsidR="00E45F3B" w:rsidRDefault="006A3871">
      <w:pPr>
        <w:numPr>
          <w:ilvl w:val="2"/>
          <w:numId w:val="1"/>
        </w:numPr>
        <w:contextualSpacing/>
        <w:rPr>
          <w:rFonts w:ascii="Times New Roman" w:eastAsia="Times New Roman" w:hAnsi="Times New Roman" w:cs="Times New Roman"/>
          <w:color w:val="FF0000"/>
          <w:sz w:val="20"/>
          <w:szCs w:val="20"/>
        </w:rPr>
      </w:pPr>
      <w:r>
        <w:rPr>
          <w:rFonts w:ascii="Times New Roman" w:eastAsia="Times New Roman" w:hAnsi="Times New Roman" w:cs="Times New Roman"/>
          <w:color w:val="FF0000"/>
          <w:sz w:val="20"/>
          <w:szCs w:val="20"/>
        </w:rPr>
        <w:t>Suit #1 (</w:t>
      </w:r>
      <w:r>
        <w:rPr>
          <w:rFonts w:ascii="Times New Roman" w:eastAsia="Times New Roman" w:hAnsi="Times New Roman" w:cs="Times New Roman"/>
          <w:i/>
          <w:color w:val="FF0000"/>
          <w:sz w:val="20"/>
          <w:szCs w:val="20"/>
        </w:rPr>
        <w:t>Mitch</w:t>
      </w:r>
      <w:r>
        <w:rPr>
          <w:rFonts w:ascii="Times New Roman" w:eastAsia="Times New Roman" w:hAnsi="Times New Roman" w:cs="Times New Roman"/>
          <w:i/>
          <w:color w:val="FF0000"/>
          <w:sz w:val="20"/>
          <w:szCs w:val="20"/>
        </w:rPr>
        <w:t>ell v. Neff</w:t>
      </w:r>
      <w:r>
        <w:rPr>
          <w:rFonts w:ascii="Times New Roman" w:eastAsia="Times New Roman" w:hAnsi="Times New Roman" w:cs="Times New Roman"/>
          <w:color w:val="FF0000"/>
          <w:sz w:val="20"/>
          <w:szCs w:val="20"/>
        </w:rPr>
        <w:t>): Suit for legal fees in OR state court; court enters default judgment for Mitchell and Sheriff sells Neff’s land to Pennoyer to satisfy Mitchell’s judgment against Neff</w:t>
      </w:r>
    </w:p>
    <w:p w:rsidR="00E45F3B" w:rsidRDefault="006A3871">
      <w:pPr>
        <w:numPr>
          <w:ilvl w:val="2"/>
          <w:numId w:val="1"/>
        </w:numPr>
        <w:contextualSpacing/>
        <w:rPr>
          <w:rFonts w:ascii="Times New Roman" w:eastAsia="Times New Roman" w:hAnsi="Times New Roman" w:cs="Times New Roman"/>
          <w:color w:val="FF0000"/>
          <w:sz w:val="20"/>
          <w:szCs w:val="20"/>
        </w:rPr>
      </w:pPr>
      <w:r>
        <w:rPr>
          <w:rFonts w:ascii="Times New Roman" w:eastAsia="Times New Roman" w:hAnsi="Times New Roman" w:cs="Times New Roman"/>
          <w:color w:val="FF0000"/>
          <w:sz w:val="20"/>
          <w:szCs w:val="20"/>
        </w:rPr>
        <w:t>Suit #2 (</w:t>
      </w:r>
      <w:r>
        <w:rPr>
          <w:rFonts w:ascii="Times New Roman" w:eastAsia="Times New Roman" w:hAnsi="Times New Roman" w:cs="Times New Roman"/>
          <w:i/>
          <w:color w:val="FF0000"/>
          <w:sz w:val="20"/>
          <w:szCs w:val="20"/>
        </w:rPr>
        <w:t>Pennoyer v. Neff</w:t>
      </w:r>
      <w:r>
        <w:rPr>
          <w:rFonts w:ascii="Times New Roman" w:eastAsia="Times New Roman" w:hAnsi="Times New Roman" w:cs="Times New Roman"/>
          <w:color w:val="FF0000"/>
          <w:sz w:val="20"/>
          <w:szCs w:val="20"/>
        </w:rPr>
        <w:t xml:space="preserve">): Collateral attack on suit #1 filed in federal </w:t>
      </w:r>
      <w:r>
        <w:rPr>
          <w:rFonts w:ascii="Times New Roman" w:eastAsia="Times New Roman" w:hAnsi="Times New Roman" w:cs="Times New Roman"/>
          <w:color w:val="FF0000"/>
          <w:sz w:val="20"/>
          <w:szCs w:val="20"/>
        </w:rPr>
        <w:t>court for ejectment; Seizure in suit #1 does not stand, because (1) unknown whether Neff know about the lawsuit because published, no service of process (court didn’t decide), (2) no PJ because need attachment of property at outset of suit</w:t>
      </w:r>
    </w:p>
    <w:p w:rsidR="00E45F3B" w:rsidRDefault="006A3871">
      <w:pPr>
        <w:numPr>
          <w:ilvl w:val="1"/>
          <w:numId w:val="1"/>
        </w:numPr>
        <w:rPr>
          <w:rFonts w:ascii="Times New Roman" w:eastAsia="Times New Roman" w:hAnsi="Times New Roman" w:cs="Times New Roman"/>
          <w:sz w:val="20"/>
          <w:szCs w:val="20"/>
        </w:rPr>
      </w:pPr>
      <w:r>
        <w:rPr>
          <w:rFonts w:ascii="Times New Roman" w:eastAsia="Times New Roman" w:hAnsi="Times New Roman" w:cs="Times New Roman"/>
          <w:b/>
          <w:color w:val="FF0000"/>
          <w:sz w:val="20"/>
          <w:szCs w:val="20"/>
        </w:rPr>
        <w:t xml:space="preserve">Rule: </w:t>
      </w:r>
      <w:r>
        <w:rPr>
          <w:rFonts w:ascii="Times New Roman" w:eastAsia="Times New Roman" w:hAnsi="Times New Roman" w:cs="Times New Roman"/>
          <w:i/>
          <w:sz w:val="20"/>
          <w:szCs w:val="20"/>
        </w:rPr>
        <w:t>Pennoyer</w:t>
      </w:r>
      <w:r>
        <w:rPr>
          <w:rFonts w:ascii="Times New Roman" w:eastAsia="Times New Roman" w:hAnsi="Times New Roman" w:cs="Times New Roman"/>
          <w:sz w:val="20"/>
          <w:szCs w:val="20"/>
        </w:rPr>
        <w:t xml:space="preserve"> P</w:t>
      </w:r>
      <w:r>
        <w:rPr>
          <w:rFonts w:ascii="Times New Roman" w:eastAsia="Times New Roman" w:hAnsi="Times New Roman" w:cs="Times New Roman"/>
          <w:sz w:val="20"/>
          <w:szCs w:val="20"/>
        </w:rPr>
        <w:t>J Inquiry – presence, consent, and property rule</w:t>
      </w:r>
    </w:p>
    <w:p w:rsidR="00E45F3B" w:rsidRDefault="006A3871">
      <w:pPr>
        <w:numPr>
          <w:ilvl w:val="2"/>
          <w:numId w:val="1"/>
        </w:numPr>
        <w:contextualSpacing/>
        <w:rPr>
          <w:rFonts w:ascii="Times New Roman" w:eastAsia="Times New Roman" w:hAnsi="Times New Roman" w:cs="Times New Roman"/>
          <w:sz w:val="20"/>
          <w:szCs w:val="20"/>
        </w:rPr>
      </w:pPr>
      <w:r>
        <w:rPr>
          <w:rFonts w:ascii="Times New Roman" w:eastAsia="Times New Roman" w:hAnsi="Times New Roman" w:cs="Times New Roman"/>
          <w:sz w:val="20"/>
          <w:szCs w:val="20"/>
        </w:rPr>
        <w:t>Is the D “present” in the forum state?</w:t>
      </w:r>
    </w:p>
    <w:p w:rsidR="00E45F3B" w:rsidRDefault="006A3871">
      <w:pPr>
        <w:numPr>
          <w:ilvl w:val="3"/>
          <w:numId w:val="1"/>
        </w:numPr>
        <w:contextualSpacing/>
        <w:rPr>
          <w:rFonts w:ascii="Times New Roman" w:eastAsia="Times New Roman" w:hAnsi="Times New Roman" w:cs="Times New Roman"/>
          <w:sz w:val="20"/>
          <w:szCs w:val="20"/>
        </w:rPr>
      </w:pPr>
      <w:r>
        <w:rPr>
          <w:rFonts w:ascii="Times New Roman" w:eastAsia="Times New Roman" w:hAnsi="Times New Roman" w:cs="Times New Roman"/>
          <w:sz w:val="20"/>
          <w:szCs w:val="20"/>
        </w:rPr>
        <w:t>Physical presence in state – the “gold standard” to assert PJ over an in-state defendant through personal service of process on the D in the forum state</w:t>
      </w:r>
    </w:p>
    <w:p w:rsidR="00E45F3B" w:rsidRDefault="006A3871">
      <w:pPr>
        <w:numPr>
          <w:ilvl w:val="3"/>
          <w:numId w:val="1"/>
        </w:numPr>
        <w:contextualSpacing/>
        <w:rPr>
          <w:rFonts w:ascii="Times New Roman" w:eastAsia="Times New Roman" w:hAnsi="Times New Roman" w:cs="Times New Roman"/>
          <w:sz w:val="20"/>
          <w:szCs w:val="20"/>
        </w:rPr>
      </w:pPr>
      <w:r>
        <w:rPr>
          <w:rFonts w:ascii="Times New Roman" w:eastAsia="Times New Roman" w:hAnsi="Times New Roman" w:cs="Times New Roman"/>
          <w:sz w:val="20"/>
          <w:szCs w:val="20"/>
        </w:rPr>
        <w:t>Residence of st</w:t>
      </w:r>
      <w:r>
        <w:rPr>
          <w:rFonts w:ascii="Times New Roman" w:eastAsia="Times New Roman" w:hAnsi="Times New Roman" w:cs="Times New Roman"/>
          <w:sz w:val="20"/>
          <w:szCs w:val="20"/>
        </w:rPr>
        <w:t>ate</w:t>
      </w:r>
    </w:p>
    <w:p w:rsidR="00E45F3B" w:rsidRDefault="006A3871">
      <w:pPr>
        <w:numPr>
          <w:ilvl w:val="3"/>
          <w:numId w:val="1"/>
        </w:numPr>
        <w:contextualSpacing/>
        <w:rPr>
          <w:rFonts w:ascii="Times New Roman" w:eastAsia="Times New Roman" w:hAnsi="Times New Roman" w:cs="Times New Roman"/>
          <w:sz w:val="20"/>
          <w:szCs w:val="20"/>
        </w:rPr>
      </w:pPr>
      <w:r>
        <w:rPr>
          <w:rFonts w:ascii="Times New Roman" w:eastAsia="Times New Roman" w:hAnsi="Times New Roman" w:cs="Times New Roman"/>
          <w:sz w:val="20"/>
          <w:szCs w:val="20"/>
        </w:rPr>
        <w:t>“Appeared” in the suit</w:t>
      </w:r>
    </w:p>
    <w:p w:rsidR="00E45F3B" w:rsidRDefault="006A3871">
      <w:pPr>
        <w:numPr>
          <w:ilvl w:val="2"/>
          <w:numId w:val="1"/>
        </w:numPr>
        <w:contextualSpacing/>
        <w:rPr>
          <w:rFonts w:ascii="Times New Roman" w:eastAsia="Times New Roman" w:hAnsi="Times New Roman" w:cs="Times New Roman"/>
          <w:sz w:val="20"/>
          <w:szCs w:val="20"/>
        </w:rPr>
      </w:pPr>
      <w:r>
        <w:rPr>
          <w:rFonts w:ascii="Times New Roman" w:eastAsia="Times New Roman" w:hAnsi="Times New Roman" w:cs="Times New Roman"/>
          <w:sz w:val="20"/>
          <w:szCs w:val="20"/>
        </w:rPr>
        <w:t>Did D consent to PJ?</w:t>
      </w:r>
    </w:p>
    <w:p w:rsidR="00E45F3B" w:rsidRDefault="006A3871">
      <w:pPr>
        <w:numPr>
          <w:ilvl w:val="3"/>
          <w:numId w:val="1"/>
        </w:numPr>
        <w:contextualSpacing/>
        <w:rPr>
          <w:rFonts w:ascii="Times New Roman" w:eastAsia="Times New Roman" w:hAnsi="Times New Roman" w:cs="Times New Roman"/>
          <w:sz w:val="20"/>
          <w:szCs w:val="20"/>
        </w:rPr>
      </w:pPr>
      <w:r>
        <w:rPr>
          <w:rFonts w:ascii="Times New Roman" w:eastAsia="Times New Roman" w:hAnsi="Times New Roman" w:cs="Times New Roman"/>
          <w:sz w:val="20"/>
          <w:szCs w:val="20"/>
        </w:rPr>
        <w:t xml:space="preserve">Explicitly – by waiving right to contest PJ, by failing to contest it in a timely manner (FRCP Rules 12(b)(2), 12(g), and 12(h)), </w:t>
      </w:r>
      <w:r>
        <w:rPr>
          <w:rFonts w:ascii="Times New Roman" w:eastAsia="Times New Roman" w:hAnsi="Times New Roman" w:cs="Times New Roman"/>
          <w:sz w:val="20"/>
          <w:szCs w:val="20"/>
          <w:u w:val="single"/>
        </w:rPr>
        <w:t>or</w:t>
      </w:r>
      <w:r>
        <w:rPr>
          <w:rFonts w:ascii="Times New Roman" w:eastAsia="Times New Roman" w:hAnsi="Times New Roman" w:cs="Times New Roman"/>
          <w:sz w:val="20"/>
          <w:szCs w:val="20"/>
        </w:rPr>
        <w:t xml:space="preserve"> by contract</w:t>
      </w:r>
    </w:p>
    <w:p w:rsidR="00E45F3B" w:rsidRDefault="006A3871">
      <w:pPr>
        <w:numPr>
          <w:ilvl w:val="4"/>
          <w:numId w:val="1"/>
        </w:numPr>
        <w:contextualSpacing/>
        <w:rPr>
          <w:rFonts w:ascii="Times New Roman" w:eastAsia="Times New Roman" w:hAnsi="Times New Roman" w:cs="Times New Roman"/>
          <w:sz w:val="20"/>
          <w:szCs w:val="20"/>
        </w:rPr>
      </w:pPr>
      <w:r>
        <w:rPr>
          <w:rFonts w:ascii="Times New Roman" w:eastAsia="Times New Roman" w:hAnsi="Times New Roman" w:cs="Times New Roman"/>
          <w:sz w:val="20"/>
          <w:szCs w:val="20"/>
        </w:rPr>
        <w:t>Appearance in court solely to contest PJ, if argues on merits then consenting to PJ and therefore to the case</w:t>
      </w:r>
    </w:p>
    <w:p w:rsidR="00E45F3B" w:rsidRDefault="006A3871">
      <w:pPr>
        <w:numPr>
          <w:ilvl w:val="3"/>
          <w:numId w:val="1"/>
        </w:numPr>
        <w:contextualSpacing/>
        <w:rPr>
          <w:rFonts w:ascii="Times New Roman" w:eastAsia="Times New Roman" w:hAnsi="Times New Roman" w:cs="Times New Roman"/>
          <w:sz w:val="20"/>
          <w:szCs w:val="20"/>
        </w:rPr>
      </w:pPr>
      <w:r>
        <w:rPr>
          <w:rFonts w:ascii="Times New Roman" w:eastAsia="Times New Roman" w:hAnsi="Times New Roman" w:cs="Times New Roman"/>
          <w:sz w:val="20"/>
          <w:szCs w:val="20"/>
        </w:rPr>
        <w:t>Implicitly – Statute names the Secretary of State as the agent for service of process for any corporation doing business in the state</w:t>
      </w:r>
    </w:p>
    <w:p w:rsidR="00E45F3B" w:rsidRDefault="006A3871">
      <w:pPr>
        <w:numPr>
          <w:ilvl w:val="2"/>
          <w:numId w:val="1"/>
        </w:numPr>
        <w:contextualSpacing/>
        <w:rPr>
          <w:rFonts w:ascii="Times New Roman" w:eastAsia="Times New Roman" w:hAnsi="Times New Roman" w:cs="Times New Roman"/>
          <w:sz w:val="20"/>
          <w:szCs w:val="20"/>
        </w:rPr>
      </w:pPr>
      <w:r>
        <w:rPr>
          <w:rFonts w:ascii="Times New Roman" w:eastAsia="Times New Roman" w:hAnsi="Times New Roman" w:cs="Times New Roman"/>
          <w:sz w:val="20"/>
          <w:szCs w:val="20"/>
        </w:rPr>
        <w:t xml:space="preserve">Does D have </w:t>
      </w:r>
      <w:r>
        <w:rPr>
          <w:rFonts w:ascii="Times New Roman" w:eastAsia="Times New Roman" w:hAnsi="Times New Roman" w:cs="Times New Roman"/>
          <w:sz w:val="20"/>
          <w:szCs w:val="20"/>
        </w:rPr>
        <w:t>property in the state?</w:t>
      </w:r>
    </w:p>
    <w:p w:rsidR="00E45F3B" w:rsidRDefault="006A3871">
      <w:pPr>
        <w:numPr>
          <w:ilvl w:val="3"/>
          <w:numId w:val="1"/>
        </w:numPr>
        <w:contextualSpacing/>
        <w:rPr>
          <w:rFonts w:ascii="Times New Roman" w:eastAsia="Times New Roman" w:hAnsi="Times New Roman" w:cs="Times New Roman"/>
          <w:sz w:val="20"/>
          <w:szCs w:val="20"/>
        </w:rPr>
      </w:pPr>
      <w:r>
        <w:rPr>
          <w:rFonts w:ascii="Times New Roman" w:eastAsia="Times New Roman" w:hAnsi="Times New Roman" w:cs="Times New Roman"/>
          <w:sz w:val="20"/>
          <w:szCs w:val="20"/>
        </w:rPr>
        <w:t xml:space="preserve">If yes, the court has power over the defendant’s property and therefore the power to determine the defendant’s rights and liabilities; must be real property, can exercise power by seizing/attaching the property </w:t>
      </w:r>
      <w:r>
        <w:rPr>
          <w:rFonts w:ascii="Times New Roman" w:eastAsia="Times New Roman" w:hAnsi="Times New Roman" w:cs="Times New Roman"/>
          <w:i/>
          <w:sz w:val="20"/>
          <w:szCs w:val="20"/>
        </w:rPr>
        <w:t>at outset of the suit</w:t>
      </w:r>
    </w:p>
    <w:p w:rsidR="00E45F3B" w:rsidRDefault="006A3871">
      <w:pPr>
        <w:ind w:left="1440"/>
        <w:rPr>
          <w:rFonts w:ascii="Times New Roman" w:eastAsia="Times New Roman" w:hAnsi="Times New Roman" w:cs="Times New Roman"/>
          <w:sz w:val="20"/>
          <w:szCs w:val="20"/>
        </w:rPr>
      </w:pPr>
      <w:r>
        <w:rPr>
          <w:rFonts w:ascii="Cardo" w:eastAsia="Cardo" w:hAnsi="Cardo" w:cs="Cardo"/>
          <w:sz w:val="20"/>
          <w:szCs w:val="20"/>
        </w:rPr>
        <w:t xml:space="preserve">→ Tag jurisdiction still relevant </w:t>
      </w:r>
      <w:r>
        <w:rPr>
          <w:rFonts w:ascii="Times New Roman" w:eastAsia="Times New Roman" w:hAnsi="Times New Roman" w:cs="Times New Roman"/>
          <w:sz w:val="20"/>
          <w:szCs w:val="20"/>
        </w:rPr>
        <w:t>(see Burnham); Brennan v. Scalia opinions (both pluralities, neither binding)</w:t>
      </w:r>
      <w:r>
        <w:rPr>
          <w:rFonts w:ascii="Times New Roman" w:eastAsia="Times New Roman" w:hAnsi="Times New Roman" w:cs="Times New Roman"/>
          <w:sz w:val="20"/>
          <w:szCs w:val="20"/>
        </w:rPr>
        <w:tab/>
      </w:r>
    </w:p>
    <w:p w:rsidR="00E45F3B" w:rsidRDefault="006A3871">
      <w:pPr>
        <w:numPr>
          <w:ilvl w:val="1"/>
          <w:numId w:val="1"/>
        </w:numPr>
        <w:contextualSpacing/>
        <w:rPr>
          <w:rFonts w:ascii="Times New Roman" w:eastAsia="Times New Roman" w:hAnsi="Times New Roman" w:cs="Times New Roman"/>
          <w:sz w:val="20"/>
          <w:szCs w:val="20"/>
        </w:rPr>
      </w:pPr>
      <w:r>
        <w:rPr>
          <w:rFonts w:ascii="Times New Roman" w:eastAsia="Times New Roman" w:hAnsi="Times New Roman" w:cs="Times New Roman"/>
          <w:sz w:val="20"/>
          <w:szCs w:val="20"/>
        </w:rPr>
        <w:t>Rationale of PJ: Respect for other states’ jurisdictions (state sovereignty), without suggested that chaos would ensue; rooted in Constitution’s Full Faith and Credit Clause (respect for fellow states) and Due Process (court should not encroach on personal</w:t>
      </w:r>
      <w:r>
        <w:rPr>
          <w:rFonts w:ascii="Times New Roman" w:eastAsia="Times New Roman" w:hAnsi="Times New Roman" w:cs="Times New Roman"/>
          <w:sz w:val="20"/>
          <w:szCs w:val="20"/>
        </w:rPr>
        <w:t xml:space="preserve"> rights)</w:t>
      </w:r>
    </w:p>
    <w:p w:rsidR="00E45F3B" w:rsidRDefault="006A3871">
      <w:pPr>
        <w:numPr>
          <w:ilvl w:val="1"/>
          <w:numId w:val="1"/>
        </w:numPr>
        <w:contextualSpacing/>
        <w:rPr>
          <w:rFonts w:ascii="Times New Roman" w:eastAsia="Times New Roman" w:hAnsi="Times New Roman" w:cs="Times New Roman"/>
          <w:sz w:val="20"/>
          <w:szCs w:val="20"/>
        </w:rPr>
      </w:pPr>
      <w:r>
        <w:rPr>
          <w:rFonts w:ascii="Times New Roman" w:eastAsia="Times New Roman" w:hAnsi="Times New Roman" w:cs="Times New Roman"/>
          <w:b/>
          <w:sz w:val="20"/>
          <w:szCs w:val="20"/>
        </w:rPr>
        <w:t>28 USC § 41: Number and Composition of Circuits</w:t>
      </w:r>
    </w:p>
    <w:p w:rsidR="00E45F3B" w:rsidRDefault="006A3871">
      <w:pPr>
        <w:numPr>
          <w:ilvl w:val="1"/>
          <w:numId w:val="1"/>
        </w:numPr>
        <w:contextualSpacing/>
        <w:rPr>
          <w:rFonts w:ascii="Times New Roman" w:eastAsia="Times New Roman" w:hAnsi="Times New Roman" w:cs="Times New Roman"/>
          <w:sz w:val="20"/>
          <w:szCs w:val="20"/>
        </w:rPr>
      </w:pPr>
      <w:r>
        <w:rPr>
          <w:rFonts w:ascii="Times New Roman" w:eastAsia="Times New Roman" w:hAnsi="Times New Roman" w:cs="Times New Roman"/>
          <w:b/>
          <w:sz w:val="20"/>
          <w:szCs w:val="20"/>
        </w:rPr>
        <w:t>28 USC § 133: Appointment and Number of District Judges</w:t>
      </w:r>
    </w:p>
    <w:p w:rsidR="00E45F3B" w:rsidRDefault="006A3871">
      <w:pPr>
        <w:numPr>
          <w:ilvl w:val="0"/>
          <w:numId w:val="1"/>
        </w:numPr>
        <w:contextualSpacing/>
        <w:rPr>
          <w:rFonts w:ascii="Times New Roman" w:eastAsia="Times New Roman" w:hAnsi="Times New Roman" w:cs="Times New Roman"/>
          <w:sz w:val="20"/>
          <w:szCs w:val="20"/>
        </w:rPr>
      </w:pPr>
      <w:r>
        <w:rPr>
          <w:rFonts w:ascii="Times New Roman" w:eastAsia="Times New Roman" w:hAnsi="Times New Roman" w:cs="Times New Roman"/>
          <w:sz w:val="20"/>
          <w:szCs w:val="20"/>
        </w:rPr>
        <w:t>Constitutional Power</w:t>
      </w:r>
    </w:p>
    <w:p w:rsidR="00E45F3B" w:rsidRDefault="006A3871">
      <w:pPr>
        <w:numPr>
          <w:ilvl w:val="1"/>
          <w:numId w:val="1"/>
        </w:numPr>
        <w:contextualSpacing/>
        <w:rPr>
          <w:rFonts w:ascii="Times New Roman" w:eastAsia="Times New Roman" w:hAnsi="Times New Roman" w:cs="Times New Roman"/>
          <w:sz w:val="20"/>
          <w:szCs w:val="20"/>
        </w:rPr>
      </w:pPr>
      <w:r>
        <w:rPr>
          <w:rFonts w:ascii="Times New Roman" w:eastAsia="Times New Roman" w:hAnsi="Times New Roman" w:cs="Times New Roman"/>
          <w:i/>
          <w:color w:val="FF0000"/>
          <w:sz w:val="20"/>
          <w:szCs w:val="20"/>
        </w:rPr>
        <w:t xml:space="preserve">International Shoe Co. v. Washington </w:t>
      </w:r>
      <w:r>
        <w:rPr>
          <w:rFonts w:ascii="Times New Roman" w:eastAsia="Times New Roman" w:hAnsi="Times New Roman" w:cs="Times New Roman"/>
          <w:color w:val="FF0000"/>
          <w:sz w:val="20"/>
          <w:szCs w:val="20"/>
        </w:rPr>
        <w:t>(SCOTUS, 1945)</w:t>
      </w:r>
    </w:p>
    <w:p w:rsidR="00E45F3B" w:rsidRDefault="006A3871">
      <w:pPr>
        <w:ind w:left="1440"/>
        <w:rPr>
          <w:rFonts w:ascii="Times New Roman" w:eastAsia="Times New Roman" w:hAnsi="Times New Roman" w:cs="Times New Roman"/>
          <w:color w:val="FF0000"/>
          <w:sz w:val="20"/>
          <w:szCs w:val="20"/>
        </w:rPr>
      </w:pPr>
      <w:r>
        <w:rPr>
          <w:rFonts w:ascii="Times New Roman" w:eastAsia="Times New Roman" w:hAnsi="Times New Roman" w:cs="Times New Roman"/>
          <w:b/>
          <w:color w:val="FF0000"/>
          <w:sz w:val="20"/>
          <w:szCs w:val="20"/>
        </w:rPr>
        <w:lastRenderedPageBreak/>
        <w:t xml:space="preserve">H: </w:t>
      </w:r>
      <w:r>
        <w:rPr>
          <w:rFonts w:ascii="Cardo" w:eastAsia="Cardo" w:hAnsi="Cardo" w:cs="Cardo"/>
          <w:color w:val="FF0000"/>
          <w:sz w:val="20"/>
          <w:szCs w:val="20"/>
        </w:rPr>
        <w:t>Court creates new approach for assessing PJ using traditional notio</w:t>
      </w:r>
      <w:r>
        <w:rPr>
          <w:rFonts w:ascii="Cardo" w:eastAsia="Cardo" w:hAnsi="Cardo" w:cs="Cardo"/>
          <w:color w:val="FF0000"/>
          <w:sz w:val="20"/>
          <w:szCs w:val="20"/>
        </w:rPr>
        <w:t xml:space="preserve">ns of fair play and substantial justice where D served in-state (WA) by mailman; no building/address, not registered as a WA business, sales people are not agents of the corporation, no inventory, no contracts → under </w:t>
      </w:r>
      <w:r>
        <w:rPr>
          <w:rFonts w:ascii="Times New Roman" w:eastAsia="Times New Roman" w:hAnsi="Times New Roman" w:cs="Times New Roman"/>
          <w:i/>
          <w:color w:val="FF0000"/>
          <w:sz w:val="20"/>
          <w:szCs w:val="20"/>
        </w:rPr>
        <w:t>Pennoyer</w:t>
      </w:r>
      <w:r>
        <w:rPr>
          <w:rFonts w:ascii="Times New Roman" w:eastAsia="Times New Roman" w:hAnsi="Times New Roman" w:cs="Times New Roman"/>
          <w:color w:val="FF0000"/>
          <w:sz w:val="20"/>
          <w:szCs w:val="20"/>
        </w:rPr>
        <w:t xml:space="preserve"> test no PJ</w:t>
      </w:r>
    </w:p>
    <w:p w:rsidR="00E45F3B" w:rsidRDefault="006A3871">
      <w:pPr>
        <w:numPr>
          <w:ilvl w:val="1"/>
          <w:numId w:val="1"/>
        </w:numPr>
        <w:contextualSpacing/>
        <w:rPr>
          <w:rFonts w:ascii="Times New Roman" w:eastAsia="Times New Roman" w:hAnsi="Times New Roman" w:cs="Times New Roman"/>
          <w:sz w:val="20"/>
          <w:szCs w:val="20"/>
        </w:rPr>
      </w:pPr>
      <w:r>
        <w:rPr>
          <w:rFonts w:ascii="Times New Roman" w:eastAsia="Times New Roman" w:hAnsi="Times New Roman" w:cs="Times New Roman"/>
          <w:b/>
          <w:color w:val="FF0000"/>
          <w:sz w:val="20"/>
          <w:szCs w:val="20"/>
        </w:rPr>
        <w:t xml:space="preserve">Rule: </w:t>
      </w:r>
      <w:r>
        <w:rPr>
          <w:rFonts w:ascii="Times New Roman" w:eastAsia="Times New Roman" w:hAnsi="Times New Roman" w:cs="Times New Roman"/>
          <w:sz w:val="20"/>
          <w:szCs w:val="20"/>
        </w:rPr>
        <w:t>Minimum cont</w:t>
      </w:r>
      <w:r>
        <w:rPr>
          <w:rFonts w:ascii="Times New Roman" w:eastAsia="Times New Roman" w:hAnsi="Times New Roman" w:cs="Times New Roman"/>
          <w:sz w:val="20"/>
          <w:szCs w:val="20"/>
        </w:rPr>
        <w:t>acts test – broadened by International Shoe</w:t>
      </w:r>
    </w:p>
    <w:p w:rsidR="00E45F3B" w:rsidRDefault="006A3871">
      <w:pPr>
        <w:numPr>
          <w:ilvl w:val="2"/>
          <w:numId w:val="1"/>
        </w:numPr>
        <w:contextualSpacing/>
        <w:rPr>
          <w:rFonts w:ascii="Times New Roman" w:eastAsia="Times New Roman" w:hAnsi="Times New Roman" w:cs="Times New Roman"/>
          <w:sz w:val="20"/>
          <w:szCs w:val="20"/>
        </w:rPr>
      </w:pPr>
      <w:r>
        <w:rPr>
          <w:rFonts w:ascii="Times New Roman" w:eastAsia="Times New Roman" w:hAnsi="Times New Roman" w:cs="Times New Roman"/>
          <w:sz w:val="20"/>
          <w:szCs w:val="20"/>
        </w:rPr>
        <w:t xml:space="preserve">(1) Nature of International Shoe’s contacts with forum state </w:t>
      </w:r>
      <w:r>
        <w:rPr>
          <w:rFonts w:ascii="Times New Roman" w:eastAsia="Times New Roman" w:hAnsi="Times New Roman" w:cs="Times New Roman"/>
          <w:sz w:val="20"/>
          <w:szCs w:val="20"/>
          <w:u w:val="single"/>
        </w:rPr>
        <w:t>and</w:t>
      </w:r>
    </w:p>
    <w:p w:rsidR="00E45F3B" w:rsidRDefault="006A3871">
      <w:pPr>
        <w:numPr>
          <w:ilvl w:val="3"/>
          <w:numId w:val="1"/>
        </w:numPr>
        <w:contextualSpacing/>
        <w:rPr>
          <w:rFonts w:ascii="Times New Roman" w:eastAsia="Times New Roman" w:hAnsi="Times New Roman" w:cs="Times New Roman"/>
          <w:sz w:val="20"/>
          <w:szCs w:val="20"/>
        </w:rPr>
      </w:pPr>
      <w:r>
        <w:rPr>
          <w:rFonts w:ascii="Times New Roman" w:eastAsia="Times New Roman" w:hAnsi="Times New Roman" w:cs="Times New Roman"/>
          <w:sz w:val="20"/>
          <w:szCs w:val="20"/>
        </w:rPr>
        <w:t>The relationship that D has created with the forum state through activities in or affecting the forum state</w:t>
      </w:r>
    </w:p>
    <w:p w:rsidR="00E45F3B" w:rsidRDefault="006A3871">
      <w:pPr>
        <w:numPr>
          <w:ilvl w:val="4"/>
          <w:numId w:val="1"/>
        </w:numPr>
        <w:contextualSpacing/>
        <w:rPr>
          <w:rFonts w:ascii="Times New Roman" w:eastAsia="Times New Roman" w:hAnsi="Times New Roman" w:cs="Times New Roman"/>
          <w:sz w:val="20"/>
          <w:szCs w:val="20"/>
        </w:rPr>
      </w:pPr>
      <w:r>
        <w:rPr>
          <w:rFonts w:ascii="Times New Roman" w:eastAsia="Times New Roman" w:hAnsi="Times New Roman" w:cs="Times New Roman"/>
          <w:sz w:val="20"/>
          <w:szCs w:val="20"/>
        </w:rPr>
        <w:t>Continuous and systematic versus isolat</w:t>
      </w:r>
      <w:r>
        <w:rPr>
          <w:rFonts w:ascii="Times New Roman" w:eastAsia="Times New Roman" w:hAnsi="Times New Roman" w:cs="Times New Roman"/>
          <w:sz w:val="20"/>
          <w:szCs w:val="20"/>
        </w:rPr>
        <w:t>ed activities</w:t>
      </w:r>
    </w:p>
    <w:p w:rsidR="00E45F3B" w:rsidRDefault="006A3871">
      <w:pPr>
        <w:numPr>
          <w:ilvl w:val="2"/>
          <w:numId w:val="1"/>
        </w:numPr>
        <w:contextualSpacing/>
        <w:rPr>
          <w:rFonts w:ascii="Times New Roman" w:eastAsia="Times New Roman" w:hAnsi="Times New Roman" w:cs="Times New Roman"/>
          <w:sz w:val="20"/>
          <w:szCs w:val="20"/>
        </w:rPr>
      </w:pPr>
      <w:r>
        <w:rPr>
          <w:rFonts w:ascii="Times New Roman" w:eastAsia="Times New Roman" w:hAnsi="Times New Roman" w:cs="Times New Roman"/>
          <w:sz w:val="20"/>
          <w:szCs w:val="20"/>
        </w:rPr>
        <w:t>(2) Extent to which the cause of action relates to/arose out of that relationship (relationship of contacts with forum state and the claim) (imagine xy plot)</w:t>
      </w:r>
    </w:p>
    <w:p w:rsidR="00E45F3B" w:rsidRDefault="006A3871">
      <w:pPr>
        <w:numPr>
          <w:ilvl w:val="3"/>
          <w:numId w:val="1"/>
        </w:numPr>
        <w:contextualSpacing/>
        <w:rPr>
          <w:rFonts w:ascii="Times New Roman" w:eastAsia="Times New Roman" w:hAnsi="Times New Roman" w:cs="Times New Roman"/>
          <w:sz w:val="20"/>
          <w:szCs w:val="20"/>
        </w:rPr>
      </w:pPr>
      <w:r>
        <w:rPr>
          <w:rFonts w:ascii="Cardo" w:eastAsia="Cardo" w:hAnsi="Cardo" w:cs="Cardo"/>
          <w:sz w:val="20"/>
          <w:szCs w:val="20"/>
        </w:rPr>
        <w:t>Strong relationship and strong contacts → PJ</w:t>
      </w:r>
    </w:p>
    <w:p w:rsidR="00E45F3B" w:rsidRDefault="006A3871">
      <w:pPr>
        <w:numPr>
          <w:ilvl w:val="3"/>
          <w:numId w:val="1"/>
        </w:numPr>
        <w:contextualSpacing/>
        <w:rPr>
          <w:rFonts w:ascii="Times New Roman" w:eastAsia="Times New Roman" w:hAnsi="Times New Roman" w:cs="Times New Roman"/>
          <w:sz w:val="20"/>
          <w:szCs w:val="20"/>
        </w:rPr>
      </w:pPr>
      <w:r>
        <w:rPr>
          <w:rFonts w:ascii="Cardo" w:eastAsia="Cardo" w:hAnsi="Cardo" w:cs="Cardo"/>
          <w:sz w:val="20"/>
          <w:szCs w:val="20"/>
        </w:rPr>
        <w:t>Strong relationship and weak contacts or weak relationship and strong contacts → PJ?</w:t>
      </w:r>
    </w:p>
    <w:p w:rsidR="00E45F3B" w:rsidRDefault="006A3871">
      <w:pPr>
        <w:numPr>
          <w:ilvl w:val="3"/>
          <w:numId w:val="1"/>
        </w:numPr>
        <w:contextualSpacing/>
        <w:rPr>
          <w:rFonts w:ascii="Times New Roman" w:eastAsia="Times New Roman" w:hAnsi="Times New Roman" w:cs="Times New Roman"/>
          <w:sz w:val="20"/>
          <w:szCs w:val="20"/>
        </w:rPr>
      </w:pPr>
      <w:r>
        <w:rPr>
          <w:rFonts w:ascii="Cardo" w:eastAsia="Cardo" w:hAnsi="Cardo" w:cs="Cardo"/>
          <w:sz w:val="20"/>
          <w:szCs w:val="20"/>
        </w:rPr>
        <w:t>Weak relationship and weak contacts → no PJ</w:t>
      </w:r>
    </w:p>
    <w:p w:rsidR="00E45F3B" w:rsidRDefault="006A3871">
      <w:pPr>
        <w:numPr>
          <w:ilvl w:val="2"/>
          <w:numId w:val="1"/>
        </w:numPr>
        <w:contextualSpacing/>
        <w:rPr>
          <w:rFonts w:ascii="Times New Roman" w:eastAsia="Times New Roman" w:hAnsi="Times New Roman" w:cs="Times New Roman"/>
          <w:sz w:val="20"/>
          <w:szCs w:val="20"/>
        </w:rPr>
      </w:pPr>
      <w:r>
        <w:rPr>
          <w:rFonts w:ascii="Times New Roman" w:eastAsia="Times New Roman" w:hAnsi="Times New Roman" w:cs="Times New Roman"/>
          <w:sz w:val="20"/>
          <w:szCs w:val="20"/>
        </w:rPr>
        <w:t>Rationale of test: Ps may be harmed but courts have no PJ (protection of P); not unfair to D because has privilege of conductin</w:t>
      </w:r>
      <w:r>
        <w:rPr>
          <w:rFonts w:ascii="Times New Roman" w:eastAsia="Times New Roman" w:hAnsi="Times New Roman" w:cs="Times New Roman"/>
          <w:sz w:val="20"/>
          <w:szCs w:val="20"/>
        </w:rPr>
        <w:t>g business with state and therefore must also be held liable for consequences of that business (measures fairness of subjecting D to PJ); changing of interstate commerce in modern times</w:t>
      </w:r>
    </w:p>
    <w:p w:rsidR="00E45F3B" w:rsidRDefault="006A3871">
      <w:pPr>
        <w:numPr>
          <w:ilvl w:val="1"/>
          <w:numId w:val="1"/>
        </w:numPr>
        <w:contextualSpacing/>
        <w:rPr>
          <w:rFonts w:ascii="Times New Roman" w:eastAsia="Times New Roman" w:hAnsi="Times New Roman" w:cs="Times New Roman"/>
          <w:b/>
          <w:sz w:val="20"/>
          <w:szCs w:val="20"/>
        </w:rPr>
      </w:pPr>
      <w:r>
        <w:rPr>
          <w:rFonts w:ascii="Times New Roman" w:eastAsia="Times New Roman" w:hAnsi="Times New Roman" w:cs="Times New Roman"/>
          <w:b/>
          <w:color w:val="FF0000"/>
          <w:sz w:val="20"/>
          <w:szCs w:val="20"/>
        </w:rPr>
        <w:t xml:space="preserve">Application: </w:t>
      </w:r>
      <w:r>
        <w:rPr>
          <w:rFonts w:ascii="Times New Roman" w:eastAsia="Times New Roman" w:hAnsi="Times New Roman" w:cs="Times New Roman"/>
          <w:color w:val="FF0000"/>
          <w:sz w:val="20"/>
          <w:szCs w:val="20"/>
        </w:rPr>
        <w:t>(1)</w:t>
      </w:r>
      <w:r>
        <w:rPr>
          <w:rFonts w:ascii="Times New Roman" w:eastAsia="Times New Roman" w:hAnsi="Times New Roman" w:cs="Times New Roman"/>
          <w:b/>
          <w:color w:val="FF0000"/>
          <w:sz w:val="20"/>
          <w:szCs w:val="20"/>
        </w:rPr>
        <w:t xml:space="preserve"> </w:t>
      </w:r>
      <w:r>
        <w:rPr>
          <w:rFonts w:ascii="Times New Roman" w:eastAsia="Times New Roman" w:hAnsi="Times New Roman" w:cs="Times New Roman"/>
          <w:color w:val="FF0000"/>
          <w:sz w:val="20"/>
          <w:szCs w:val="20"/>
        </w:rPr>
        <w:t>11-13 salesmen, $31K in sales, renting, advertisement</w:t>
      </w:r>
      <w:r>
        <w:rPr>
          <w:rFonts w:ascii="Times New Roman" w:eastAsia="Times New Roman" w:hAnsi="Times New Roman" w:cs="Times New Roman"/>
          <w:color w:val="FF0000"/>
          <w:sz w:val="20"/>
          <w:szCs w:val="20"/>
        </w:rPr>
        <w:t>, shoes coming into WA, (2) relationship between unemployment and lawsuit</w:t>
      </w:r>
      <w:r>
        <w:rPr>
          <w:rFonts w:ascii="Cardo" w:eastAsia="Cardo" w:hAnsi="Cardo" w:cs="Cardo"/>
          <w:color w:val="FF0000"/>
          <w:sz w:val="20"/>
          <w:szCs w:val="20"/>
        </w:rPr>
        <w:t xml:space="preserve"> → sufficient to establish a “presence” in-state and therefore sufficient to establish PJ</w:t>
      </w:r>
    </w:p>
    <w:p w:rsidR="00E45F3B" w:rsidRDefault="006A3871">
      <w:pPr>
        <w:numPr>
          <w:ilvl w:val="1"/>
          <w:numId w:val="1"/>
        </w:numPr>
        <w:contextualSpacing/>
        <w:rPr>
          <w:rFonts w:ascii="Times New Roman" w:eastAsia="Times New Roman" w:hAnsi="Times New Roman" w:cs="Times New Roman"/>
          <w:sz w:val="20"/>
          <w:szCs w:val="20"/>
        </w:rPr>
      </w:pPr>
      <w:r>
        <w:rPr>
          <w:rFonts w:ascii="Times New Roman" w:eastAsia="Times New Roman" w:hAnsi="Times New Roman" w:cs="Times New Roman"/>
          <w:i/>
          <w:color w:val="FF0000"/>
          <w:sz w:val="20"/>
          <w:szCs w:val="20"/>
        </w:rPr>
        <w:t xml:space="preserve">McGee v. International Life Insurance Co. </w:t>
      </w:r>
      <w:r>
        <w:rPr>
          <w:rFonts w:ascii="Times New Roman" w:eastAsia="Times New Roman" w:hAnsi="Times New Roman" w:cs="Times New Roman"/>
          <w:color w:val="FF0000"/>
          <w:sz w:val="20"/>
          <w:szCs w:val="20"/>
        </w:rPr>
        <w:t>(SCOTUS, 1957)</w:t>
      </w:r>
    </w:p>
    <w:p w:rsidR="00E45F3B" w:rsidRDefault="006A3871">
      <w:pPr>
        <w:ind w:left="1440"/>
        <w:rPr>
          <w:rFonts w:ascii="Times New Roman" w:eastAsia="Times New Roman" w:hAnsi="Times New Roman" w:cs="Times New Roman"/>
          <w:color w:val="FF0000"/>
          <w:sz w:val="20"/>
          <w:szCs w:val="20"/>
        </w:rPr>
      </w:pPr>
      <w:r>
        <w:rPr>
          <w:rFonts w:ascii="Times New Roman" w:eastAsia="Times New Roman" w:hAnsi="Times New Roman" w:cs="Times New Roman"/>
          <w:b/>
          <w:color w:val="FF0000"/>
          <w:sz w:val="20"/>
          <w:szCs w:val="20"/>
        </w:rPr>
        <w:t>H:</w:t>
      </w:r>
      <w:r>
        <w:rPr>
          <w:rFonts w:ascii="Times New Roman" w:eastAsia="Times New Roman" w:hAnsi="Times New Roman" w:cs="Times New Roman"/>
          <w:color w:val="FF0000"/>
          <w:sz w:val="20"/>
          <w:szCs w:val="20"/>
        </w:rPr>
        <w:t xml:space="preserve"> Strong COA can make up for a weak</w:t>
      </w:r>
      <w:r>
        <w:rPr>
          <w:rFonts w:ascii="Times New Roman" w:eastAsia="Times New Roman" w:hAnsi="Times New Roman" w:cs="Times New Roman"/>
          <w:color w:val="FF0000"/>
          <w:sz w:val="20"/>
          <w:szCs w:val="20"/>
        </w:rPr>
        <w:t xml:space="preserve"> relationship, gives rise to purposeful availment (D purposefully availed itself to the benefits and protections of CA law); PJ established in CA where TX insurance company has no presence in CA (no offices, agents, employees) but TX insurance company init</w:t>
      </w:r>
      <w:r>
        <w:rPr>
          <w:rFonts w:ascii="Times New Roman" w:eastAsia="Times New Roman" w:hAnsi="Times New Roman" w:cs="Times New Roman"/>
          <w:color w:val="FF0000"/>
          <w:sz w:val="20"/>
          <w:szCs w:val="20"/>
        </w:rPr>
        <w:t xml:space="preserve">iated insurance relationship with decedent via mail (solicited customer’s business) </w:t>
      </w:r>
    </w:p>
    <w:p w:rsidR="00E45F3B" w:rsidRDefault="006A3871">
      <w:pPr>
        <w:numPr>
          <w:ilvl w:val="1"/>
          <w:numId w:val="1"/>
        </w:numPr>
        <w:contextualSpacing/>
        <w:rPr>
          <w:rFonts w:ascii="Times New Roman" w:eastAsia="Times New Roman" w:hAnsi="Times New Roman" w:cs="Times New Roman"/>
          <w:sz w:val="20"/>
          <w:szCs w:val="20"/>
        </w:rPr>
      </w:pPr>
      <w:r>
        <w:rPr>
          <w:rFonts w:ascii="Times New Roman" w:eastAsia="Times New Roman" w:hAnsi="Times New Roman" w:cs="Times New Roman"/>
          <w:i/>
          <w:color w:val="FF0000"/>
          <w:sz w:val="20"/>
          <w:szCs w:val="20"/>
        </w:rPr>
        <w:t xml:space="preserve">Hanson v. Denckla </w:t>
      </w:r>
      <w:r>
        <w:rPr>
          <w:rFonts w:ascii="Times New Roman" w:eastAsia="Times New Roman" w:hAnsi="Times New Roman" w:cs="Times New Roman"/>
          <w:color w:val="FF0000"/>
          <w:sz w:val="20"/>
          <w:szCs w:val="20"/>
        </w:rPr>
        <w:t>(SCOTUS, 1958)</w:t>
      </w:r>
    </w:p>
    <w:p w:rsidR="00E45F3B" w:rsidRDefault="006A3871">
      <w:pPr>
        <w:ind w:left="1440"/>
        <w:rPr>
          <w:rFonts w:ascii="Times New Roman" w:eastAsia="Times New Roman" w:hAnsi="Times New Roman" w:cs="Times New Roman"/>
          <w:color w:val="FF0000"/>
          <w:sz w:val="20"/>
          <w:szCs w:val="20"/>
        </w:rPr>
      </w:pPr>
      <w:r>
        <w:rPr>
          <w:rFonts w:ascii="Times New Roman" w:eastAsia="Times New Roman" w:hAnsi="Times New Roman" w:cs="Times New Roman"/>
          <w:b/>
          <w:color w:val="FF0000"/>
          <w:sz w:val="20"/>
          <w:szCs w:val="20"/>
        </w:rPr>
        <w:t>H:</w:t>
      </w:r>
      <w:r>
        <w:rPr>
          <w:rFonts w:ascii="Times New Roman" w:eastAsia="Times New Roman" w:hAnsi="Times New Roman" w:cs="Times New Roman"/>
          <w:color w:val="FF0000"/>
          <w:sz w:val="20"/>
          <w:szCs w:val="20"/>
        </w:rPr>
        <w:t xml:space="preserve"> No PJ in FL where decedent created trust in DE (bank’s PPB) while living in PA then moved to FL, carrying out bits of trust administration in FL but no instance in which trustee performed any activity in FL – relationship with FL weak, COA arguably strong</w:t>
      </w:r>
      <w:r>
        <w:rPr>
          <w:rFonts w:ascii="Times New Roman" w:eastAsia="Times New Roman" w:hAnsi="Times New Roman" w:cs="Times New Roman"/>
          <w:color w:val="FF0000"/>
          <w:sz w:val="20"/>
          <w:szCs w:val="20"/>
        </w:rPr>
        <w:t xml:space="preserve"> (trust and death in FL) but here not made up for; no purposeful availment where unilateral activity of a third party (here the decedent)</w:t>
      </w:r>
    </w:p>
    <w:p w:rsidR="00E45F3B" w:rsidRDefault="006A3871">
      <w:pPr>
        <w:ind w:left="720"/>
        <w:rPr>
          <w:rFonts w:ascii="Times New Roman" w:eastAsia="Times New Roman" w:hAnsi="Times New Roman" w:cs="Times New Roman"/>
          <w:color w:val="FF0000"/>
          <w:sz w:val="20"/>
          <w:szCs w:val="20"/>
        </w:rPr>
      </w:pPr>
      <w:r>
        <w:rPr>
          <w:rFonts w:ascii="Cardo" w:eastAsia="Cardo" w:hAnsi="Cardo" w:cs="Cardo"/>
          <w:color w:val="FF0000"/>
          <w:sz w:val="20"/>
          <w:szCs w:val="20"/>
        </w:rPr>
        <w:t xml:space="preserve">→ Distinguish direction of contact in </w:t>
      </w:r>
      <w:r>
        <w:rPr>
          <w:rFonts w:ascii="Times New Roman" w:eastAsia="Times New Roman" w:hAnsi="Times New Roman" w:cs="Times New Roman"/>
          <w:i/>
          <w:color w:val="FF0000"/>
          <w:sz w:val="20"/>
          <w:szCs w:val="20"/>
        </w:rPr>
        <w:t>McGee</w:t>
      </w:r>
      <w:r>
        <w:rPr>
          <w:rFonts w:ascii="Times New Roman" w:eastAsia="Times New Roman" w:hAnsi="Times New Roman" w:cs="Times New Roman"/>
          <w:color w:val="FF0000"/>
          <w:sz w:val="20"/>
          <w:szCs w:val="20"/>
        </w:rPr>
        <w:t xml:space="preserve"> (solicitation of business/purposeful availment by D)</w:t>
      </w:r>
      <w:r>
        <w:rPr>
          <w:rFonts w:ascii="Times New Roman" w:eastAsia="Times New Roman" w:hAnsi="Times New Roman" w:cs="Times New Roman"/>
          <w:i/>
          <w:color w:val="FF0000"/>
          <w:sz w:val="20"/>
          <w:szCs w:val="20"/>
        </w:rPr>
        <w:t xml:space="preserve"> </w:t>
      </w:r>
      <w:r>
        <w:rPr>
          <w:rFonts w:ascii="Times New Roman" w:eastAsia="Times New Roman" w:hAnsi="Times New Roman" w:cs="Times New Roman"/>
          <w:color w:val="FF0000"/>
          <w:sz w:val="20"/>
          <w:szCs w:val="20"/>
        </w:rPr>
        <w:t>and</w:t>
      </w:r>
      <w:r>
        <w:rPr>
          <w:rFonts w:ascii="Times New Roman" w:eastAsia="Times New Roman" w:hAnsi="Times New Roman" w:cs="Times New Roman"/>
          <w:i/>
          <w:color w:val="FF0000"/>
          <w:sz w:val="20"/>
          <w:szCs w:val="20"/>
        </w:rPr>
        <w:t xml:space="preserve"> Hanson</w:t>
      </w:r>
      <w:r>
        <w:rPr>
          <w:rFonts w:ascii="Times New Roman" w:eastAsia="Times New Roman" w:hAnsi="Times New Roman" w:cs="Times New Roman"/>
          <w:color w:val="FF0000"/>
          <w:sz w:val="20"/>
          <w:szCs w:val="20"/>
        </w:rPr>
        <w:t xml:space="preserve"> (unilatera</w:t>
      </w:r>
      <w:r>
        <w:rPr>
          <w:rFonts w:ascii="Times New Roman" w:eastAsia="Times New Roman" w:hAnsi="Times New Roman" w:cs="Times New Roman"/>
          <w:color w:val="FF0000"/>
          <w:sz w:val="20"/>
          <w:szCs w:val="20"/>
        </w:rPr>
        <w:t>l activity of third party brings forum state into the picture)</w:t>
      </w:r>
    </w:p>
    <w:p w:rsidR="00E45F3B" w:rsidRDefault="006A3871">
      <w:pPr>
        <w:numPr>
          <w:ilvl w:val="1"/>
          <w:numId w:val="1"/>
        </w:numPr>
        <w:contextualSpacing/>
        <w:rPr>
          <w:rFonts w:ascii="Times New Roman" w:eastAsia="Times New Roman" w:hAnsi="Times New Roman" w:cs="Times New Roman"/>
          <w:sz w:val="20"/>
          <w:szCs w:val="20"/>
        </w:rPr>
      </w:pPr>
      <w:r>
        <w:rPr>
          <w:rFonts w:ascii="Times New Roman" w:eastAsia="Times New Roman" w:hAnsi="Times New Roman" w:cs="Times New Roman"/>
          <w:sz w:val="20"/>
          <w:szCs w:val="20"/>
        </w:rPr>
        <w:t>D’s contacts with the forum state</w:t>
      </w:r>
    </w:p>
    <w:p w:rsidR="00E45F3B" w:rsidRDefault="006A3871">
      <w:pPr>
        <w:numPr>
          <w:ilvl w:val="2"/>
          <w:numId w:val="1"/>
        </w:numPr>
        <w:contextualSpacing/>
        <w:rPr>
          <w:rFonts w:ascii="Times New Roman" w:eastAsia="Times New Roman" w:hAnsi="Times New Roman" w:cs="Times New Roman"/>
          <w:sz w:val="20"/>
          <w:szCs w:val="20"/>
        </w:rPr>
      </w:pPr>
      <w:r>
        <w:rPr>
          <w:rFonts w:ascii="Times New Roman" w:eastAsia="Times New Roman" w:hAnsi="Times New Roman" w:cs="Times New Roman"/>
          <w:sz w:val="20"/>
          <w:szCs w:val="20"/>
        </w:rPr>
        <w:t>Purposeful availment of benefits and protections of the state’s laws/purposeful activity in the state (</w:t>
      </w:r>
      <w:r>
        <w:rPr>
          <w:rFonts w:ascii="Times New Roman" w:eastAsia="Times New Roman" w:hAnsi="Times New Roman" w:cs="Times New Roman"/>
          <w:i/>
          <w:sz w:val="20"/>
          <w:szCs w:val="20"/>
        </w:rPr>
        <w:t>McGee</w:t>
      </w:r>
      <w:r>
        <w:rPr>
          <w:rFonts w:ascii="Times New Roman" w:eastAsia="Times New Roman" w:hAnsi="Times New Roman" w:cs="Times New Roman"/>
          <w:sz w:val="20"/>
          <w:szCs w:val="20"/>
        </w:rPr>
        <w:t>)</w:t>
      </w:r>
    </w:p>
    <w:p w:rsidR="00E45F3B" w:rsidRDefault="006A3871">
      <w:pPr>
        <w:numPr>
          <w:ilvl w:val="3"/>
          <w:numId w:val="1"/>
        </w:numPr>
        <w:contextualSpacing/>
        <w:rPr>
          <w:rFonts w:ascii="Times New Roman" w:eastAsia="Times New Roman" w:hAnsi="Times New Roman" w:cs="Times New Roman"/>
          <w:sz w:val="20"/>
          <w:szCs w:val="20"/>
        </w:rPr>
      </w:pPr>
      <w:r>
        <w:rPr>
          <w:rFonts w:ascii="Times New Roman" w:eastAsia="Times New Roman" w:hAnsi="Times New Roman" w:cs="Times New Roman"/>
          <w:sz w:val="20"/>
          <w:szCs w:val="20"/>
        </w:rPr>
        <w:t>Unilateral activity by a third party doesn’t constitute purposeful availment (</w:t>
      </w:r>
      <w:r>
        <w:rPr>
          <w:rFonts w:ascii="Times New Roman" w:eastAsia="Times New Roman" w:hAnsi="Times New Roman" w:cs="Times New Roman"/>
          <w:i/>
          <w:sz w:val="20"/>
          <w:szCs w:val="20"/>
        </w:rPr>
        <w:t>Hanson</w:t>
      </w:r>
      <w:r>
        <w:rPr>
          <w:rFonts w:ascii="Times New Roman" w:eastAsia="Times New Roman" w:hAnsi="Times New Roman" w:cs="Times New Roman"/>
          <w:sz w:val="20"/>
          <w:szCs w:val="20"/>
        </w:rPr>
        <w:t>)</w:t>
      </w:r>
    </w:p>
    <w:p w:rsidR="00E45F3B" w:rsidRDefault="006A3871">
      <w:pPr>
        <w:numPr>
          <w:ilvl w:val="2"/>
          <w:numId w:val="1"/>
        </w:numPr>
        <w:contextualSpacing/>
        <w:rPr>
          <w:rFonts w:ascii="Times New Roman" w:eastAsia="Times New Roman" w:hAnsi="Times New Roman" w:cs="Times New Roman"/>
          <w:sz w:val="20"/>
          <w:szCs w:val="20"/>
        </w:rPr>
      </w:pPr>
      <w:r>
        <w:rPr>
          <w:rFonts w:ascii="Times New Roman" w:eastAsia="Times New Roman" w:hAnsi="Times New Roman" w:cs="Times New Roman"/>
          <w:sz w:val="20"/>
          <w:szCs w:val="20"/>
        </w:rPr>
        <w:t>The state’s interest in providing a forum for redress for its citizens</w:t>
      </w:r>
    </w:p>
    <w:p w:rsidR="00E45F3B" w:rsidRDefault="006A3871">
      <w:pPr>
        <w:numPr>
          <w:ilvl w:val="1"/>
          <w:numId w:val="1"/>
        </w:numPr>
        <w:contextualSpacing/>
        <w:rPr>
          <w:rFonts w:ascii="Times New Roman" w:eastAsia="Times New Roman" w:hAnsi="Times New Roman" w:cs="Times New Roman"/>
          <w:sz w:val="20"/>
          <w:szCs w:val="20"/>
        </w:rPr>
      </w:pPr>
      <w:r>
        <w:rPr>
          <w:rFonts w:ascii="Times New Roman" w:eastAsia="Times New Roman" w:hAnsi="Times New Roman" w:cs="Times New Roman"/>
          <w:i/>
          <w:color w:val="FF0000"/>
          <w:sz w:val="20"/>
          <w:szCs w:val="20"/>
        </w:rPr>
        <w:t xml:space="preserve">Shaffer v. Heitner </w:t>
      </w:r>
      <w:r>
        <w:rPr>
          <w:rFonts w:ascii="Times New Roman" w:eastAsia="Times New Roman" w:hAnsi="Times New Roman" w:cs="Times New Roman"/>
          <w:color w:val="FF0000"/>
          <w:sz w:val="20"/>
          <w:szCs w:val="20"/>
        </w:rPr>
        <w:t>(Supreme Court of the United States, 1977)</w:t>
      </w:r>
    </w:p>
    <w:p w:rsidR="00E45F3B" w:rsidRDefault="006A3871">
      <w:pPr>
        <w:ind w:left="1440"/>
        <w:rPr>
          <w:rFonts w:ascii="Times New Roman" w:eastAsia="Times New Roman" w:hAnsi="Times New Roman" w:cs="Times New Roman"/>
          <w:color w:val="FF0000"/>
          <w:sz w:val="20"/>
          <w:szCs w:val="20"/>
        </w:rPr>
      </w:pPr>
      <w:r>
        <w:rPr>
          <w:rFonts w:ascii="Times New Roman" w:eastAsia="Times New Roman" w:hAnsi="Times New Roman" w:cs="Times New Roman"/>
          <w:b/>
          <w:color w:val="FF0000"/>
          <w:sz w:val="20"/>
          <w:szCs w:val="20"/>
        </w:rPr>
        <w:t>H:</w:t>
      </w:r>
      <w:r>
        <w:rPr>
          <w:rFonts w:ascii="Times New Roman" w:eastAsia="Times New Roman" w:hAnsi="Times New Roman" w:cs="Times New Roman"/>
          <w:color w:val="FF0000"/>
          <w:sz w:val="20"/>
          <w:szCs w:val="20"/>
        </w:rPr>
        <w:t xml:space="preserve"> Minimum contacts test applies to a</w:t>
      </w:r>
      <w:r>
        <w:rPr>
          <w:rFonts w:ascii="Times New Roman" w:eastAsia="Times New Roman" w:hAnsi="Times New Roman" w:cs="Times New Roman"/>
          <w:color w:val="FF0000"/>
          <w:sz w:val="20"/>
          <w:szCs w:val="20"/>
        </w:rPr>
        <w:t xml:space="preserve">ll suits (dicta), or at least </w:t>
      </w:r>
      <w:r>
        <w:rPr>
          <w:rFonts w:ascii="Times New Roman" w:eastAsia="Times New Roman" w:hAnsi="Times New Roman" w:cs="Times New Roman"/>
          <w:i/>
          <w:color w:val="FF0000"/>
          <w:sz w:val="20"/>
          <w:szCs w:val="20"/>
        </w:rPr>
        <w:t>quasi in rem</w:t>
      </w:r>
      <w:r>
        <w:rPr>
          <w:rFonts w:ascii="Times New Roman" w:eastAsia="Times New Roman" w:hAnsi="Times New Roman" w:cs="Times New Roman"/>
          <w:color w:val="FF0000"/>
          <w:sz w:val="20"/>
          <w:szCs w:val="20"/>
        </w:rPr>
        <w:t xml:space="preserve"> cases in which seizure of in-state property creates PJ over the owner, even if the suit is unrelated to the property – property becomes merely a contact with the forum state, seizure does not automatically create </w:t>
      </w:r>
      <w:r>
        <w:rPr>
          <w:rFonts w:ascii="Times New Roman" w:eastAsia="Times New Roman" w:hAnsi="Times New Roman" w:cs="Times New Roman"/>
          <w:color w:val="FF0000"/>
          <w:sz w:val="20"/>
          <w:szCs w:val="20"/>
        </w:rPr>
        <w:t xml:space="preserve">PJ; elimination of </w:t>
      </w:r>
      <w:r>
        <w:rPr>
          <w:rFonts w:ascii="Times New Roman" w:eastAsia="Times New Roman" w:hAnsi="Times New Roman" w:cs="Times New Roman"/>
          <w:i/>
          <w:color w:val="FF0000"/>
          <w:sz w:val="20"/>
          <w:szCs w:val="20"/>
        </w:rPr>
        <w:t xml:space="preserve">in rem </w:t>
      </w:r>
      <w:r>
        <w:rPr>
          <w:rFonts w:ascii="Times New Roman" w:eastAsia="Times New Roman" w:hAnsi="Times New Roman" w:cs="Times New Roman"/>
          <w:color w:val="FF0000"/>
          <w:sz w:val="20"/>
          <w:szCs w:val="20"/>
        </w:rPr>
        <w:t xml:space="preserve">and </w:t>
      </w:r>
      <w:r>
        <w:rPr>
          <w:rFonts w:ascii="Times New Roman" w:eastAsia="Times New Roman" w:hAnsi="Times New Roman" w:cs="Times New Roman"/>
          <w:i/>
          <w:color w:val="FF0000"/>
          <w:sz w:val="20"/>
          <w:szCs w:val="20"/>
        </w:rPr>
        <w:t>quasi in rem JD</w:t>
      </w:r>
      <w:r>
        <w:rPr>
          <w:rFonts w:ascii="Times New Roman" w:eastAsia="Times New Roman" w:hAnsi="Times New Roman" w:cs="Times New Roman"/>
          <w:color w:val="FF0000"/>
          <w:sz w:val="20"/>
          <w:szCs w:val="20"/>
        </w:rPr>
        <w:t xml:space="preserve"> </w:t>
      </w:r>
    </w:p>
    <w:p w:rsidR="00E45F3B" w:rsidRDefault="006A3871">
      <w:pPr>
        <w:numPr>
          <w:ilvl w:val="0"/>
          <w:numId w:val="1"/>
        </w:numPr>
        <w:contextualSpacing/>
        <w:rPr>
          <w:rFonts w:ascii="Times New Roman" w:eastAsia="Times New Roman" w:hAnsi="Times New Roman" w:cs="Times New Roman"/>
          <w:sz w:val="20"/>
          <w:szCs w:val="20"/>
        </w:rPr>
      </w:pPr>
      <w:r>
        <w:rPr>
          <w:rFonts w:ascii="Times New Roman" w:eastAsia="Times New Roman" w:hAnsi="Times New Roman" w:cs="Times New Roman"/>
          <w:sz w:val="20"/>
          <w:szCs w:val="20"/>
        </w:rPr>
        <w:t>Specific JD</w:t>
      </w:r>
    </w:p>
    <w:p w:rsidR="00E45F3B" w:rsidRDefault="006A3871">
      <w:pPr>
        <w:numPr>
          <w:ilvl w:val="1"/>
          <w:numId w:val="1"/>
        </w:numPr>
        <w:contextualSpacing/>
        <w:rPr>
          <w:rFonts w:ascii="Times New Roman" w:eastAsia="Times New Roman" w:hAnsi="Times New Roman" w:cs="Times New Roman"/>
          <w:sz w:val="20"/>
          <w:szCs w:val="20"/>
        </w:rPr>
      </w:pPr>
      <w:r>
        <w:rPr>
          <w:rFonts w:ascii="Times New Roman" w:eastAsia="Times New Roman" w:hAnsi="Times New Roman" w:cs="Times New Roman"/>
          <w:i/>
          <w:color w:val="FF0000"/>
          <w:sz w:val="20"/>
          <w:szCs w:val="20"/>
        </w:rPr>
        <w:t xml:space="preserve">World-Wide Volkswagen Corp. v. Woodson </w:t>
      </w:r>
      <w:r>
        <w:rPr>
          <w:rFonts w:ascii="Times New Roman" w:eastAsia="Times New Roman" w:hAnsi="Times New Roman" w:cs="Times New Roman"/>
          <w:color w:val="FF0000"/>
          <w:sz w:val="20"/>
          <w:szCs w:val="20"/>
        </w:rPr>
        <w:t>(SCOTUS, 1980)</w:t>
      </w:r>
    </w:p>
    <w:p w:rsidR="00E45F3B" w:rsidRDefault="006A3871">
      <w:pPr>
        <w:ind w:left="1440"/>
        <w:rPr>
          <w:rFonts w:ascii="Times New Roman" w:eastAsia="Times New Roman" w:hAnsi="Times New Roman" w:cs="Times New Roman"/>
          <w:color w:val="FF0000"/>
          <w:sz w:val="20"/>
          <w:szCs w:val="20"/>
        </w:rPr>
      </w:pPr>
      <w:r>
        <w:rPr>
          <w:rFonts w:ascii="Times New Roman" w:eastAsia="Times New Roman" w:hAnsi="Times New Roman" w:cs="Times New Roman"/>
          <w:b/>
          <w:color w:val="FF0000"/>
          <w:sz w:val="20"/>
          <w:szCs w:val="20"/>
        </w:rPr>
        <w:t>H:</w:t>
      </w:r>
      <w:r>
        <w:rPr>
          <w:rFonts w:ascii="Times New Roman" w:eastAsia="Times New Roman" w:hAnsi="Times New Roman" w:cs="Times New Roman"/>
          <w:color w:val="FF0000"/>
          <w:sz w:val="20"/>
          <w:szCs w:val="20"/>
        </w:rPr>
        <w:t xml:space="preserve"> PJ only over Ds (1) &amp; (2), not (3) &amp; (4); stream of commerce – over whom in the timeline of the car is there liability – and foreseeability </w:t>
      </w:r>
      <w:r>
        <w:rPr>
          <w:rFonts w:ascii="Times New Roman" w:eastAsia="Times New Roman" w:hAnsi="Times New Roman" w:cs="Times New Roman"/>
          <w:color w:val="FF0000"/>
          <w:sz w:val="20"/>
          <w:szCs w:val="20"/>
        </w:rPr>
        <w:t>(foreseeability of lawsuit in forum state, not enough that product will end up there) can establish purposeful availment (but here unilateral activity not purposeful availment brought car to forum state OK) (origins of reasonableness prong)</w:t>
      </w:r>
    </w:p>
    <w:p w:rsidR="00E45F3B" w:rsidRDefault="006A3871">
      <w:pPr>
        <w:numPr>
          <w:ilvl w:val="2"/>
          <w:numId w:val="1"/>
        </w:numPr>
        <w:contextualSpacing/>
        <w:rPr>
          <w:rFonts w:ascii="Times New Roman" w:eastAsia="Times New Roman" w:hAnsi="Times New Roman" w:cs="Times New Roman"/>
          <w:color w:val="FF0000"/>
          <w:sz w:val="20"/>
          <w:szCs w:val="20"/>
        </w:rPr>
      </w:pPr>
      <w:r>
        <w:rPr>
          <w:rFonts w:ascii="Times New Roman" w:eastAsia="Times New Roman" w:hAnsi="Times New Roman" w:cs="Times New Roman"/>
          <w:color w:val="FF0000"/>
          <w:sz w:val="20"/>
          <w:szCs w:val="20"/>
        </w:rPr>
        <w:t>Ds: (1) Manufac</w:t>
      </w:r>
      <w:r>
        <w:rPr>
          <w:rFonts w:ascii="Times New Roman" w:eastAsia="Times New Roman" w:hAnsi="Times New Roman" w:cs="Times New Roman"/>
          <w:color w:val="FF0000"/>
          <w:sz w:val="20"/>
          <w:szCs w:val="20"/>
        </w:rPr>
        <w:t xml:space="preserve">turer Audi, (2) national distributor Volkswagen of America, (3) NY/tri-state distributor World-Wide Volkswagen, (4) NY retailer Seaway </w:t>
      </w:r>
    </w:p>
    <w:p w:rsidR="00E45F3B" w:rsidRDefault="006A3871">
      <w:pPr>
        <w:numPr>
          <w:ilvl w:val="1"/>
          <w:numId w:val="1"/>
        </w:numPr>
        <w:contextualSpacing/>
        <w:rPr>
          <w:rFonts w:ascii="Times New Roman" w:eastAsia="Times New Roman" w:hAnsi="Times New Roman" w:cs="Times New Roman"/>
          <w:sz w:val="20"/>
          <w:szCs w:val="20"/>
        </w:rPr>
      </w:pPr>
      <w:r>
        <w:rPr>
          <w:rFonts w:ascii="Times New Roman" w:eastAsia="Times New Roman" w:hAnsi="Times New Roman" w:cs="Times New Roman"/>
          <w:sz w:val="20"/>
          <w:szCs w:val="20"/>
        </w:rPr>
        <w:t>PJ Inquiry</w:t>
      </w:r>
    </w:p>
    <w:p w:rsidR="00E45F3B" w:rsidRDefault="006A3871">
      <w:pPr>
        <w:numPr>
          <w:ilvl w:val="2"/>
          <w:numId w:val="1"/>
        </w:numPr>
        <w:contextualSpacing/>
        <w:rPr>
          <w:rFonts w:ascii="Times New Roman" w:eastAsia="Times New Roman" w:hAnsi="Times New Roman" w:cs="Times New Roman"/>
          <w:sz w:val="20"/>
          <w:szCs w:val="20"/>
        </w:rPr>
      </w:pPr>
      <w:r>
        <w:rPr>
          <w:rFonts w:ascii="Times New Roman" w:eastAsia="Times New Roman" w:hAnsi="Times New Roman" w:cs="Times New Roman"/>
          <w:sz w:val="20"/>
          <w:szCs w:val="20"/>
        </w:rPr>
        <w:t xml:space="preserve">Is D’s domicile </w:t>
      </w:r>
      <w:r>
        <w:rPr>
          <w:rFonts w:ascii="Times New Roman" w:eastAsia="Times New Roman" w:hAnsi="Times New Roman" w:cs="Times New Roman"/>
          <w:sz w:val="20"/>
          <w:szCs w:val="20"/>
          <w:u w:val="single"/>
        </w:rPr>
        <w:t>or</w:t>
      </w:r>
      <w:r>
        <w:rPr>
          <w:rFonts w:ascii="Times New Roman" w:eastAsia="Times New Roman" w:hAnsi="Times New Roman" w:cs="Times New Roman"/>
          <w:sz w:val="20"/>
          <w:szCs w:val="20"/>
        </w:rPr>
        <w:t xml:space="preserve"> HQ/PPB in the forum state? </w:t>
      </w:r>
      <w:r>
        <w:rPr>
          <w:rFonts w:ascii="Times New Roman" w:eastAsia="Times New Roman" w:hAnsi="Times New Roman" w:cs="Times New Roman"/>
          <w:sz w:val="20"/>
          <w:szCs w:val="20"/>
          <w:u w:val="single"/>
        </w:rPr>
        <w:t>or</w:t>
      </w:r>
    </w:p>
    <w:p w:rsidR="00E45F3B" w:rsidRDefault="006A3871">
      <w:pPr>
        <w:numPr>
          <w:ilvl w:val="2"/>
          <w:numId w:val="1"/>
        </w:numPr>
        <w:contextualSpacing/>
        <w:rPr>
          <w:rFonts w:ascii="Times New Roman" w:eastAsia="Times New Roman" w:hAnsi="Times New Roman" w:cs="Times New Roman"/>
          <w:sz w:val="20"/>
          <w:szCs w:val="20"/>
        </w:rPr>
      </w:pPr>
      <w:r>
        <w:rPr>
          <w:rFonts w:ascii="Times New Roman" w:eastAsia="Times New Roman" w:hAnsi="Times New Roman" w:cs="Times New Roman"/>
          <w:sz w:val="20"/>
          <w:szCs w:val="20"/>
        </w:rPr>
        <w:lastRenderedPageBreak/>
        <w:t>Has D consented to PJ? (^ General JD inquiry)</w:t>
      </w:r>
    </w:p>
    <w:p w:rsidR="00E45F3B" w:rsidRDefault="006A3871">
      <w:pPr>
        <w:numPr>
          <w:ilvl w:val="2"/>
          <w:numId w:val="1"/>
        </w:numPr>
        <w:contextualSpacing/>
        <w:rPr>
          <w:rFonts w:ascii="Times New Roman" w:eastAsia="Times New Roman" w:hAnsi="Times New Roman" w:cs="Times New Roman"/>
          <w:sz w:val="20"/>
          <w:szCs w:val="20"/>
        </w:rPr>
      </w:pPr>
      <w:r>
        <w:rPr>
          <w:rFonts w:ascii="Times New Roman" w:eastAsia="Times New Roman" w:hAnsi="Times New Roman" w:cs="Times New Roman"/>
          <w:sz w:val="20"/>
          <w:szCs w:val="20"/>
        </w:rPr>
        <w:t>If not, is the</w:t>
      </w:r>
      <w:r>
        <w:rPr>
          <w:rFonts w:ascii="Times New Roman" w:eastAsia="Times New Roman" w:hAnsi="Times New Roman" w:cs="Times New Roman"/>
          <w:sz w:val="20"/>
          <w:szCs w:val="20"/>
        </w:rPr>
        <w:t xml:space="preserve">re specific JD through the minimum contacts test? – The test measures when it is fair to assert PJ over an absent, unwilling D ((a) and (b) = (1) of </w:t>
      </w:r>
      <w:r>
        <w:rPr>
          <w:rFonts w:ascii="Times New Roman" w:eastAsia="Times New Roman" w:hAnsi="Times New Roman" w:cs="Times New Roman"/>
          <w:i/>
          <w:sz w:val="20"/>
          <w:szCs w:val="20"/>
        </w:rPr>
        <w:t>International Shoe</w:t>
      </w:r>
      <w:r>
        <w:rPr>
          <w:rFonts w:ascii="Times New Roman" w:eastAsia="Times New Roman" w:hAnsi="Times New Roman" w:cs="Times New Roman"/>
          <w:sz w:val="20"/>
          <w:szCs w:val="20"/>
        </w:rPr>
        <w:t xml:space="preserve"> minimum contacts test, (c) = (2))</w:t>
      </w:r>
    </w:p>
    <w:p w:rsidR="00E45F3B" w:rsidRDefault="006A3871">
      <w:pPr>
        <w:numPr>
          <w:ilvl w:val="3"/>
          <w:numId w:val="1"/>
        </w:numPr>
        <w:contextualSpacing/>
        <w:rPr>
          <w:rFonts w:ascii="Times New Roman" w:eastAsia="Times New Roman" w:hAnsi="Times New Roman" w:cs="Times New Roman"/>
          <w:sz w:val="20"/>
          <w:szCs w:val="20"/>
        </w:rPr>
      </w:pPr>
      <w:r>
        <w:rPr>
          <w:rFonts w:ascii="Times New Roman" w:eastAsia="Times New Roman" w:hAnsi="Times New Roman" w:cs="Times New Roman"/>
          <w:sz w:val="20"/>
          <w:szCs w:val="20"/>
        </w:rPr>
        <w:t>Purposeful availment prong: Are there minimum contacts</w:t>
      </w:r>
      <w:r>
        <w:rPr>
          <w:rFonts w:ascii="Times New Roman" w:eastAsia="Times New Roman" w:hAnsi="Times New Roman" w:cs="Times New Roman"/>
          <w:sz w:val="20"/>
          <w:szCs w:val="20"/>
        </w:rPr>
        <w:t xml:space="preserve"> between D and the forum state? (</w:t>
      </w:r>
      <w:r>
        <w:rPr>
          <w:rFonts w:ascii="Times New Roman" w:eastAsia="Times New Roman" w:hAnsi="Times New Roman" w:cs="Times New Roman"/>
          <w:i/>
          <w:sz w:val="20"/>
          <w:szCs w:val="20"/>
        </w:rPr>
        <w:t>Hanson v. Denckla</w:t>
      </w:r>
      <w:r>
        <w:rPr>
          <w:rFonts w:ascii="Times New Roman" w:eastAsia="Times New Roman" w:hAnsi="Times New Roman" w:cs="Times New Roman"/>
          <w:sz w:val="20"/>
          <w:szCs w:val="20"/>
        </w:rPr>
        <w:t xml:space="preserve">, </w:t>
      </w:r>
      <w:r>
        <w:rPr>
          <w:rFonts w:ascii="Times New Roman" w:eastAsia="Times New Roman" w:hAnsi="Times New Roman" w:cs="Times New Roman"/>
          <w:i/>
          <w:sz w:val="20"/>
          <w:szCs w:val="20"/>
        </w:rPr>
        <w:t>World-Wide Volkswagen Corp. v. Woodson</w:t>
      </w:r>
      <w:r>
        <w:rPr>
          <w:rFonts w:ascii="Times New Roman" w:eastAsia="Times New Roman" w:hAnsi="Times New Roman" w:cs="Times New Roman"/>
          <w:sz w:val="20"/>
          <w:szCs w:val="20"/>
        </w:rPr>
        <w:t>) – Did D purposefully avail itself of the benefits and protections of forum state’s laws?  Evaluate D’s purposeful in-state contacts</w:t>
      </w:r>
    </w:p>
    <w:p w:rsidR="00E45F3B" w:rsidRDefault="006A3871">
      <w:pPr>
        <w:numPr>
          <w:ilvl w:val="4"/>
          <w:numId w:val="1"/>
        </w:numPr>
        <w:contextualSpacing/>
        <w:rPr>
          <w:rFonts w:ascii="Times New Roman" w:eastAsia="Times New Roman" w:hAnsi="Times New Roman" w:cs="Times New Roman"/>
          <w:sz w:val="20"/>
          <w:szCs w:val="20"/>
        </w:rPr>
      </w:pPr>
      <w:r>
        <w:rPr>
          <w:rFonts w:ascii="Times New Roman" w:eastAsia="Times New Roman" w:hAnsi="Times New Roman" w:cs="Times New Roman"/>
          <w:sz w:val="20"/>
          <w:szCs w:val="20"/>
        </w:rPr>
        <w:t>D’s activities create a “substantial connection” with forum state</w:t>
      </w:r>
    </w:p>
    <w:p w:rsidR="00E45F3B" w:rsidRDefault="006A3871">
      <w:pPr>
        <w:numPr>
          <w:ilvl w:val="5"/>
          <w:numId w:val="1"/>
        </w:numPr>
        <w:contextualSpacing/>
        <w:rPr>
          <w:rFonts w:ascii="Times New Roman" w:eastAsia="Times New Roman" w:hAnsi="Times New Roman" w:cs="Times New Roman"/>
          <w:sz w:val="20"/>
          <w:szCs w:val="20"/>
        </w:rPr>
      </w:pPr>
      <w:r>
        <w:rPr>
          <w:rFonts w:ascii="Times New Roman" w:eastAsia="Times New Roman" w:hAnsi="Times New Roman" w:cs="Times New Roman"/>
          <w:sz w:val="20"/>
          <w:szCs w:val="20"/>
        </w:rPr>
        <w:t>How D’s actions affect the forum state (</w:t>
      </w:r>
      <w:r>
        <w:rPr>
          <w:rFonts w:ascii="Times New Roman" w:eastAsia="Times New Roman" w:hAnsi="Times New Roman" w:cs="Times New Roman"/>
          <w:i/>
          <w:sz w:val="20"/>
          <w:szCs w:val="20"/>
        </w:rPr>
        <w:t>Nicastro</w:t>
      </w:r>
      <w:r>
        <w:rPr>
          <w:rFonts w:ascii="Times New Roman" w:eastAsia="Times New Roman" w:hAnsi="Times New Roman" w:cs="Times New Roman"/>
          <w:sz w:val="20"/>
          <w:szCs w:val="20"/>
        </w:rPr>
        <w:t>) – counter-effects test measuring targeting v. national marketing (</w:t>
      </w:r>
      <w:r>
        <w:rPr>
          <w:rFonts w:ascii="Times New Roman" w:eastAsia="Times New Roman" w:hAnsi="Times New Roman" w:cs="Times New Roman"/>
          <w:i/>
          <w:sz w:val="20"/>
          <w:szCs w:val="20"/>
        </w:rPr>
        <w:t>Pavlovich</w:t>
      </w:r>
      <w:r>
        <w:rPr>
          <w:rFonts w:ascii="Times New Roman" w:eastAsia="Times New Roman" w:hAnsi="Times New Roman" w:cs="Times New Roman"/>
          <w:sz w:val="20"/>
          <w:szCs w:val="20"/>
        </w:rPr>
        <w:t>)</w:t>
      </w:r>
    </w:p>
    <w:p w:rsidR="00E45F3B" w:rsidRDefault="006A3871">
      <w:pPr>
        <w:numPr>
          <w:ilvl w:val="4"/>
          <w:numId w:val="1"/>
        </w:numPr>
        <w:contextualSpacing/>
        <w:rPr>
          <w:rFonts w:ascii="Times New Roman" w:eastAsia="Times New Roman" w:hAnsi="Times New Roman" w:cs="Times New Roman"/>
          <w:sz w:val="20"/>
          <w:szCs w:val="20"/>
        </w:rPr>
      </w:pPr>
      <w:r>
        <w:rPr>
          <w:rFonts w:ascii="Times New Roman" w:eastAsia="Times New Roman" w:hAnsi="Times New Roman" w:cs="Times New Roman"/>
          <w:sz w:val="20"/>
          <w:szCs w:val="20"/>
        </w:rPr>
        <w:t xml:space="preserve">Stream of commerce – foreseeability that product would contact </w:t>
      </w:r>
      <w:r>
        <w:rPr>
          <w:rFonts w:ascii="Times New Roman" w:eastAsia="Times New Roman" w:hAnsi="Times New Roman" w:cs="Times New Roman"/>
          <w:sz w:val="20"/>
          <w:szCs w:val="20"/>
        </w:rPr>
        <w:t>forum state and D availed itself of benefits and protections of state’s laws (</w:t>
      </w:r>
      <w:r>
        <w:rPr>
          <w:rFonts w:ascii="Times New Roman" w:eastAsia="Times New Roman" w:hAnsi="Times New Roman" w:cs="Times New Roman"/>
          <w:i/>
          <w:sz w:val="20"/>
          <w:szCs w:val="20"/>
        </w:rPr>
        <w:t>World-Wide Volkswagen</w:t>
      </w:r>
      <w:r>
        <w:rPr>
          <w:rFonts w:ascii="Times New Roman" w:eastAsia="Times New Roman" w:hAnsi="Times New Roman" w:cs="Times New Roman"/>
          <w:sz w:val="20"/>
          <w:szCs w:val="20"/>
        </w:rPr>
        <w:t>)</w:t>
      </w:r>
    </w:p>
    <w:p w:rsidR="00E45F3B" w:rsidRDefault="006A3871">
      <w:pPr>
        <w:numPr>
          <w:ilvl w:val="3"/>
          <w:numId w:val="1"/>
        </w:numPr>
        <w:contextualSpacing/>
        <w:rPr>
          <w:rFonts w:ascii="Times New Roman" w:eastAsia="Times New Roman" w:hAnsi="Times New Roman" w:cs="Times New Roman"/>
          <w:sz w:val="20"/>
          <w:szCs w:val="20"/>
        </w:rPr>
      </w:pPr>
      <w:r>
        <w:rPr>
          <w:rFonts w:ascii="Times New Roman" w:eastAsia="Times New Roman" w:hAnsi="Times New Roman" w:cs="Times New Roman"/>
          <w:sz w:val="20"/>
          <w:szCs w:val="20"/>
        </w:rPr>
        <w:t>Reasonableness prong: Is it reasonable to hale D into court in the forum state? (</w:t>
      </w:r>
      <w:r>
        <w:rPr>
          <w:rFonts w:ascii="Times New Roman" w:eastAsia="Times New Roman" w:hAnsi="Times New Roman" w:cs="Times New Roman"/>
          <w:i/>
          <w:sz w:val="20"/>
          <w:szCs w:val="20"/>
        </w:rPr>
        <w:t>Burger King Corp. v. Rudzewicz</w:t>
      </w:r>
      <w:r>
        <w:rPr>
          <w:rFonts w:ascii="Times New Roman" w:eastAsia="Times New Roman" w:hAnsi="Times New Roman" w:cs="Times New Roman"/>
          <w:sz w:val="20"/>
          <w:szCs w:val="20"/>
        </w:rPr>
        <w:t xml:space="preserve"> – sliding scale between PA and reasonablene</w:t>
      </w:r>
      <w:r>
        <w:rPr>
          <w:rFonts w:ascii="Times New Roman" w:eastAsia="Times New Roman" w:hAnsi="Times New Roman" w:cs="Times New Roman"/>
          <w:sz w:val="20"/>
          <w:szCs w:val="20"/>
        </w:rPr>
        <w:t>ss tests), Balance the interests</w:t>
      </w:r>
    </w:p>
    <w:p w:rsidR="00E45F3B" w:rsidRDefault="006A3871">
      <w:pPr>
        <w:numPr>
          <w:ilvl w:val="4"/>
          <w:numId w:val="1"/>
        </w:numPr>
        <w:contextualSpacing/>
        <w:rPr>
          <w:rFonts w:ascii="Times New Roman" w:eastAsia="Times New Roman" w:hAnsi="Times New Roman" w:cs="Times New Roman"/>
          <w:sz w:val="20"/>
          <w:szCs w:val="20"/>
        </w:rPr>
      </w:pPr>
      <w:r>
        <w:rPr>
          <w:rFonts w:ascii="Times New Roman" w:eastAsia="Times New Roman" w:hAnsi="Times New Roman" w:cs="Times New Roman"/>
          <w:sz w:val="20"/>
          <w:szCs w:val="20"/>
        </w:rPr>
        <w:t>Burden on D (</w:t>
      </w:r>
      <w:r>
        <w:rPr>
          <w:rFonts w:ascii="Times New Roman" w:eastAsia="Times New Roman" w:hAnsi="Times New Roman" w:cs="Times New Roman"/>
          <w:i/>
          <w:sz w:val="20"/>
          <w:szCs w:val="20"/>
        </w:rPr>
        <w:t>World-Wide Volkswagen</w:t>
      </w:r>
      <w:r>
        <w:rPr>
          <w:rFonts w:ascii="Times New Roman" w:eastAsia="Times New Roman" w:hAnsi="Times New Roman" w:cs="Times New Roman"/>
          <w:sz w:val="20"/>
          <w:szCs w:val="20"/>
        </w:rPr>
        <w:t xml:space="preserve">, </w:t>
      </w:r>
      <w:r>
        <w:rPr>
          <w:rFonts w:ascii="Times New Roman" w:eastAsia="Times New Roman" w:hAnsi="Times New Roman" w:cs="Times New Roman"/>
          <w:i/>
          <w:sz w:val="20"/>
          <w:szCs w:val="20"/>
        </w:rPr>
        <w:t>McIntyre v. Nicastro</w:t>
      </w:r>
      <w:r>
        <w:rPr>
          <w:rFonts w:ascii="Times New Roman" w:eastAsia="Times New Roman" w:hAnsi="Times New Roman" w:cs="Times New Roman"/>
          <w:sz w:val="20"/>
          <w:szCs w:val="20"/>
        </w:rPr>
        <w:t>)</w:t>
      </w:r>
    </w:p>
    <w:p w:rsidR="00E45F3B" w:rsidRDefault="006A3871">
      <w:pPr>
        <w:numPr>
          <w:ilvl w:val="5"/>
          <w:numId w:val="1"/>
        </w:numPr>
        <w:contextualSpacing/>
        <w:rPr>
          <w:rFonts w:ascii="Times New Roman" w:eastAsia="Times New Roman" w:hAnsi="Times New Roman" w:cs="Times New Roman"/>
          <w:sz w:val="20"/>
          <w:szCs w:val="20"/>
        </w:rPr>
      </w:pPr>
      <w:r>
        <w:rPr>
          <w:rFonts w:ascii="Times New Roman" w:eastAsia="Times New Roman" w:hAnsi="Times New Roman" w:cs="Times New Roman"/>
          <w:sz w:val="20"/>
          <w:szCs w:val="20"/>
        </w:rPr>
        <w:t>reasonableness as compared to the average consumer; sliding scale, can strengthen lacking minimum contacts (</w:t>
      </w:r>
      <w:r>
        <w:rPr>
          <w:rFonts w:ascii="Times New Roman" w:eastAsia="Times New Roman" w:hAnsi="Times New Roman" w:cs="Times New Roman"/>
          <w:i/>
          <w:sz w:val="20"/>
          <w:szCs w:val="20"/>
        </w:rPr>
        <w:t>Burger King</w:t>
      </w:r>
      <w:r>
        <w:rPr>
          <w:rFonts w:ascii="Times New Roman" w:eastAsia="Times New Roman" w:hAnsi="Times New Roman" w:cs="Times New Roman"/>
          <w:sz w:val="20"/>
          <w:szCs w:val="20"/>
        </w:rPr>
        <w:t>)</w:t>
      </w:r>
    </w:p>
    <w:p w:rsidR="00E45F3B" w:rsidRDefault="006A3871">
      <w:pPr>
        <w:numPr>
          <w:ilvl w:val="4"/>
          <w:numId w:val="1"/>
        </w:numPr>
        <w:contextualSpacing/>
        <w:rPr>
          <w:rFonts w:ascii="Times New Roman" w:eastAsia="Times New Roman" w:hAnsi="Times New Roman" w:cs="Times New Roman"/>
          <w:sz w:val="20"/>
          <w:szCs w:val="20"/>
        </w:rPr>
      </w:pPr>
      <w:r>
        <w:rPr>
          <w:rFonts w:ascii="Times New Roman" w:eastAsia="Times New Roman" w:hAnsi="Times New Roman" w:cs="Times New Roman"/>
          <w:sz w:val="20"/>
          <w:szCs w:val="20"/>
        </w:rPr>
        <w:t>Interest of forum state in providing a forum for redress for its residents (i.e. if P is a citizen of the state) (</w:t>
      </w:r>
      <w:r>
        <w:rPr>
          <w:rFonts w:ascii="Times New Roman" w:eastAsia="Times New Roman" w:hAnsi="Times New Roman" w:cs="Times New Roman"/>
          <w:i/>
          <w:sz w:val="20"/>
          <w:szCs w:val="20"/>
        </w:rPr>
        <w:t>McGee v. International Life Insurance Co.</w:t>
      </w:r>
      <w:r>
        <w:rPr>
          <w:rFonts w:ascii="Times New Roman" w:eastAsia="Times New Roman" w:hAnsi="Times New Roman" w:cs="Times New Roman"/>
          <w:sz w:val="20"/>
          <w:szCs w:val="20"/>
        </w:rPr>
        <w:t>)</w:t>
      </w:r>
    </w:p>
    <w:p w:rsidR="00E45F3B" w:rsidRDefault="006A3871">
      <w:pPr>
        <w:numPr>
          <w:ilvl w:val="4"/>
          <w:numId w:val="1"/>
        </w:numPr>
        <w:contextualSpacing/>
        <w:rPr>
          <w:rFonts w:ascii="Times New Roman" w:eastAsia="Times New Roman" w:hAnsi="Times New Roman" w:cs="Times New Roman"/>
          <w:strike/>
          <w:sz w:val="20"/>
          <w:szCs w:val="20"/>
        </w:rPr>
      </w:pPr>
      <w:r>
        <w:rPr>
          <w:rFonts w:ascii="Times New Roman" w:eastAsia="Times New Roman" w:hAnsi="Times New Roman" w:cs="Times New Roman"/>
          <w:strike/>
          <w:sz w:val="20"/>
          <w:szCs w:val="20"/>
        </w:rPr>
        <w:t>Plaintiff’s interest in obtaining relief</w:t>
      </w:r>
    </w:p>
    <w:p w:rsidR="00E45F3B" w:rsidRDefault="006A3871">
      <w:pPr>
        <w:numPr>
          <w:ilvl w:val="4"/>
          <w:numId w:val="1"/>
        </w:numPr>
        <w:contextualSpacing/>
        <w:rPr>
          <w:rFonts w:ascii="Times New Roman" w:eastAsia="Times New Roman" w:hAnsi="Times New Roman" w:cs="Times New Roman"/>
          <w:strike/>
          <w:sz w:val="20"/>
          <w:szCs w:val="20"/>
        </w:rPr>
      </w:pPr>
      <w:r>
        <w:rPr>
          <w:rFonts w:ascii="Times New Roman" w:eastAsia="Times New Roman" w:hAnsi="Times New Roman" w:cs="Times New Roman"/>
          <w:strike/>
          <w:sz w:val="20"/>
          <w:szCs w:val="20"/>
        </w:rPr>
        <w:t>Interest in efficient dispute resolution</w:t>
      </w:r>
    </w:p>
    <w:p w:rsidR="00E45F3B" w:rsidRDefault="006A3871">
      <w:pPr>
        <w:numPr>
          <w:ilvl w:val="4"/>
          <w:numId w:val="1"/>
        </w:numPr>
        <w:contextualSpacing/>
        <w:rPr>
          <w:rFonts w:ascii="Times New Roman" w:eastAsia="Times New Roman" w:hAnsi="Times New Roman" w:cs="Times New Roman"/>
          <w:strike/>
          <w:sz w:val="20"/>
          <w:szCs w:val="20"/>
        </w:rPr>
      </w:pPr>
      <w:r>
        <w:rPr>
          <w:rFonts w:ascii="Times New Roman" w:eastAsia="Times New Roman" w:hAnsi="Times New Roman" w:cs="Times New Roman"/>
          <w:strike/>
          <w:sz w:val="20"/>
          <w:szCs w:val="20"/>
        </w:rPr>
        <w:t>Interest in funda</w:t>
      </w:r>
      <w:r>
        <w:rPr>
          <w:rFonts w:ascii="Times New Roman" w:eastAsia="Times New Roman" w:hAnsi="Times New Roman" w:cs="Times New Roman"/>
          <w:strike/>
          <w:sz w:val="20"/>
          <w:szCs w:val="20"/>
        </w:rPr>
        <w:t>mental substantive social policies</w:t>
      </w:r>
    </w:p>
    <w:p w:rsidR="00E45F3B" w:rsidRDefault="006A3871">
      <w:pPr>
        <w:numPr>
          <w:ilvl w:val="3"/>
          <w:numId w:val="1"/>
        </w:numPr>
        <w:contextualSpacing/>
        <w:rPr>
          <w:rFonts w:ascii="Times New Roman" w:eastAsia="Times New Roman" w:hAnsi="Times New Roman" w:cs="Times New Roman"/>
          <w:sz w:val="20"/>
          <w:szCs w:val="20"/>
        </w:rPr>
      </w:pPr>
      <w:r>
        <w:rPr>
          <w:rFonts w:ascii="Times New Roman" w:eastAsia="Times New Roman" w:hAnsi="Times New Roman" w:cs="Times New Roman"/>
          <w:sz w:val="20"/>
          <w:szCs w:val="20"/>
        </w:rPr>
        <w:t>Does the COA arise out of D’s contacts with the forum state? (distinguishes general and specific JD)</w:t>
      </w:r>
    </w:p>
    <w:p w:rsidR="00E45F3B" w:rsidRDefault="006A3871">
      <w:pPr>
        <w:numPr>
          <w:ilvl w:val="4"/>
          <w:numId w:val="1"/>
        </w:numPr>
        <w:contextualSpacing/>
        <w:rPr>
          <w:rFonts w:ascii="Times New Roman" w:eastAsia="Times New Roman" w:hAnsi="Times New Roman" w:cs="Times New Roman"/>
          <w:sz w:val="20"/>
          <w:szCs w:val="20"/>
        </w:rPr>
      </w:pPr>
      <w:r>
        <w:rPr>
          <w:rFonts w:ascii="Cardo" w:eastAsia="Cardo" w:hAnsi="Cardo" w:cs="Cardo"/>
          <w:sz w:val="20"/>
          <w:szCs w:val="20"/>
        </w:rPr>
        <w:t>Strong relationship and strong contacts → PJ</w:t>
      </w:r>
    </w:p>
    <w:p w:rsidR="00E45F3B" w:rsidRDefault="006A3871">
      <w:pPr>
        <w:numPr>
          <w:ilvl w:val="4"/>
          <w:numId w:val="1"/>
        </w:numPr>
        <w:contextualSpacing/>
        <w:rPr>
          <w:rFonts w:ascii="Times New Roman" w:eastAsia="Times New Roman" w:hAnsi="Times New Roman" w:cs="Times New Roman"/>
          <w:sz w:val="20"/>
          <w:szCs w:val="20"/>
        </w:rPr>
      </w:pPr>
      <w:r>
        <w:rPr>
          <w:rFonts w:ascii="Cardo" w:eastAsia="Cardo" w:hAnsi="Cardo" w:cs="Cardo"/>
          <w:sz w:val="20"/>
          <w:szCs w:val="20"/>
        </w:rPr>
        <w:t>Strong relationship and weak contacts or weak relationship and strong conta</w:t>
      </w:r>
      <w:r>
        <w:rPr>
          <w:rFonts w:ascii="Cardo" w:eastAsia="Cardo" w:hAnsi="Cardo" w:cs="Cardo"/>
          <w:sz w:val="20"/>
          <w:szCs w:val="20"/>
        </w:rPr>
        <w:t>cts → PJ?</w:t>
      </w:r>
    </w:p>
    <w:p w:rsidR="00E45F3B" w:rsidRDefault="006A3871">
      <w:pPr>
        <w:numPr>
          <w:ilvl w:val="4"/>
          <w:numId w:val="1"/>
        </w:numPr>
        <w:contextualSpacing/>
        <w:rPr>
          <w:rFonts w:ascii="Times New Roman" w:eastAsia="Times New Roman" w:hAnsi="Times New Roman" w:cs="Times New Roman"/>
          <w:sz w:val="20"/>
          <w:szCs w:val="20"/>
        </w:rPr>
      </w:pPr>
      <w:r>
        <w:rPr>
          <w:rFonts w:ascii="Cardo" w:eastAsia="Cardo" w:hAnsi="Cardo" w:cs="Cardo"/>
          <w:sz w:val="20"/>
          <w:szCs w:val="20"/>
        </w:rPr>
        <w:t>Weak relationship and weak contacts → no PJ</w:t>
      </w:r>
    </w:p>
    <w:p w:rsidR="00E45F3B" w:rsidRDefault="006A3871">
      <w:pPr>
        <w:numPr>
          <w:ilvl w:val="1"/>
          <w:numId w:val="1"/>
        </w:numPr>
        <w:contextualSpacing/>
        <w:rPr>
          <w:rFonts w:ascii="Times New Roman" w:eastAsia="Times New Roman" w:hAnsi="Times New Roman" w:cs="Times New Roman"/>
          <w:sz w:val="20"/>
          <w:szCs w:val="20"/>
        </w:rPr>
      </w:pPr>
      <w:r>
        <w:rPr>
          <w:rFonts w:ascii="Times New Roman" w:eastAsia="Times New Roman" w:hAnsi="Times New Roman" w:cs="Times New Roman"/>
          <w:i/>
          <w:color w:val="FF0000"/>
          <w:sz w:val="20"/>
          <w:szCs w:val="20"/>
        </w:rPr>
        <w:t xml:space="preserve">Burger King Corp. v. Rudzewicz </w:t>
      </w:r>
      <w:r>
        <w:rPr>
          <w:rFonts w:ascii="Times New Roman" w:eastAsia="Times New Roman" w:hAnsi="Times New Roman" w:cs="Times New Roman"/>
          <w:color w:val="FF0000"/>
          <w:sz w:val="20"/>
          <w:szCs w:val="20"/>
        </w:rPr>
        <w:t>(SCOTUS, 1985)</w:t>
      </w:r>
    </w:p>
    <w:p w:rsidR="00E45F3B" w:rsidRDefault="006A3871">
      <w:pPr>
        <w:ind w:left="1440"/>
        <w:rPr>
          <w:rFonts w:ascii="Times New Roman" w:eastAsia="Times New Roman" w:hAnsi="Times New Roman" w:cs="Times New Roman"/>
          <w:color w:val="FF0000"/>
          <w:sz w:val="20"/>
          <w:szCs w:val="20"/>
        </w:rPr>
      </w:pPr>
      <w:r>
        <w:rPr>
          <w:rFonts w:ascii="Times New Roman" w:eastAsia="Times New Roman" w:hAnsi="Times New Roman" w:cs="Times New Roman"/>
          <w:b/>
          <w:color w:val="FF0000"/>
          <w:sz w:val="20"/>
          <w:szCs w:val="20"/>
        </w:rPr>
        <w:t>H:</w:t>
      </w:r>
      <w:r>
        <w:rPr>
          <w:rFonts w:ascii="Times New Roman" w:eastAsia="Times New Roman" w:hAnsi="Times New Roman" w:cs="Times New Roman"/>
          <w:color w:val="FF0000"/>
          <w:sz w:val="20"/>
          <w:szCs w:val="20"/>
        </w:rPr>
        <w:t xml:space="preserve"> FL courts have PJ over Ds, nature of contacts – minimum contacts lacking but made up for in reasonableness (here continuous and systematic contacts via recurring payments, contract (20M over 20Y), Rudzewicz agreed to suit in FL)</w:t>
      </w:r>
    </w:p>
    <w:p w:rsidR="00E45F3B" w:rsidRDefault="006A3871">
      <w:pPr>
        <w:numPr>
          <w:ilvl w:val="1"/>
          <w:numId w:val="1"/>
        </w:numPr>
        <w:contextualSpacing/>
        <w:rPr>
          <w:rFonts w:ascii="Times New Roman" w:eastAsia="Times New Roman" w:hAnsi="Times New Roman" w:cs="Times New Roman"/>
          <w:sz w:val="20"/>
          <w:szCs w:val="20"/>
        </w:rPr>
      </w:pPr>
      <w:r>
        <w:rPr>
          <w:rFonts w:ascii="Times New Roman" w:eastAsia="Times New Roman" w:hAnsi="Times New Roman" w:cs="Times New Roman"/>
          <w:i/>
          <w:color w:val="FF0000"/>
          <w:sz w:val="20"/>
          <w:szCs w:val="20"/>
        </w:rPr>
        <w:t>Pavlovich v. Superior Cour</w:t>
      </w:r>
      <w:r>
        <w:rPr>
          <w:rFonts w:ascii="Times New Roman" w:eastAsia="Times New Roman" w:hAnsi="Times New Roman" w:cs="Times New Roman"/>
          <w:i/>
          <w:color w:val="FF0000"/>
          <w:sz w:val="20"/>
          <w:szCs w:val="20"/>
        </w:rPr>
        <w:t xml:space="preserve">t </w:t>
      </w:r>
      <w:r>
        <w:rPr>
          <w:rFonts w:ascii="Times New Roman" w:eastAsia="Times New Roman" w:hAnsi="Times New Roman" w:cs="Times New Roman"/>
          <w:color w:val="FF0000"/>
          <w:sz w:val="20"/>
          <w:szCs w:val="20"/>
        </w:rPr>
        <w:t>(Cal. 4th, 2002)</w:t>
      </w:r>
    </w:p>
    <w:p w:rsidR="00E45F3B" w:rsidRDefault="006A3871">
      <w:pPr>
        <w:ind w:left="720"/>
        <w:rPr>
          <w:rFonts w:ascii="Times New Roman" w:eastAsia="Times New Roman" w:hAnsi="Times New Roman" w:cs="Times New Roman"/>
          <w:color w:val="FF0000"/>
          <w:sz w:val="20"/>
          <w:szCs w:val="20"/>
        </w:rPr>
      </w:pPr>
      <w:r>
        <w:rPr>
          <w:rFonts w:ascii="Times New Roman" w:eastAsia="Times New Roman" w:hAnsi="Times New Roman" w:cs="Times New Roman"/>
          <w:color w:val="FF0000"/>
          <w:sz w:val="20"/>
          <w:szCs w:val="20"/>
        </w:rPr>
        <w:tab/>
      </w:r>
      <w:r>
        <w:rPr>
          <w:rFonts w:ascii="Times New Roman" w:eastAsia="Times New Roman" w:hAnsi="Times New Roman" w:cs="Times New Roman"/>
          <w:b/>
          <w:color w:val="FF0000"/>
          <w:sz w:val="20"/>
          <w:szCs w:val="20"/>
        </w:rPr>
        <w:t>H:</w:t>
      </w:r>
      <w:r>
        <w:rPr>
          <w:rFonts w:ascii="Times New Roman" w:eastAsia="Times New Roman" w:hAnsi="Times New Roman" w:cs="Times New Roman"/>
          <w:color w:val="FF0000"/>
          <w:sz w:val="20"/>
          <w:szCs w:val="20"/>
        </w:rPr>
        <w:t xml:space="preserve"> No PJ </w:t>
      </w:r>
    </w:p>
    <w:p w:rsidR="00E45F3B" w:rsidRDefault="006A3871">
      <w:pPr>
        <w:numPr>
          <w:ilvl w:val="2"/>
          <w:numId w:val="1"/>
        </w:numPr>
        <w:contextualSpacing/>
        <w:rPr>
          <w:rFonts w:ascii="Times New Roman" w:eastAsia="Times New Roman" w:hAnsi="Times New Roman" w:cs="Times New Roman"/>
          <w:sz w:val="20"/>
          <w:szCs w:val="20"/>
        </w:rPr>
      </w:pPr>
      <w:r>
        <w:rPr>
          <w:rFonts w:ascii="Times New Roman" w:eastAsia="Times New Roman" w:hAnsi="Times New Roman" w:cs="Times New Roman"/>
          <w:sz w:val="20"/>
          <w:szCs w:val="20"/>
        </w:rPr>
        <w:t xml:space="preserve">Counter-Effects Test – inquiring effect on corporations/individuals in industry in forum state (here CA); it's harder to have an effect on those entities if passive/non-commercial website </w:t>
      </w:r>
    </w:p>
    <w:p w:rsidR="00E45F3B" w:rsidRDefault="006A3871">
      <w:pPr>
        <w:numPr>
          <w:ilvl w:val="3"/>
          <w:numId w:val="1"/>
        </w:numPr>
        <w:contextualSpacing/>
        <w:rPr>
          <w:rFonts w:ascii="Times New Roman" w:eastAsia="Times New Roman" w:hAnsi="Times New Roman" w:cs="Times New Roman"/>
          <w:sz w:val="20"/>
          <w:szCs w:val="20"/>
        </w:rPr>
      </w:pPr>
      <w:r>
        <w:rPr>
          <w:rFonts w:ascii="Times New Roman" w:eastAsia="Times New Roman" w:hAnsi="Times New Roman" w:cs="Times New Roman"/>
          <w:sz w:val="20"/>
          <w:szCs w:val="20"/>
        </w:rPr>
        <w:t>Is the website passive or interactive</w:t>
      </w:r>
      <w:r>
        <w:rPr>
          <w:rFonts w:ascii="Times New Roman" w:eastAsia="Times New Roman" w:hAnsi="Times New Roman" w:cs="Times New Roman"/>
          <w:sz w:val="20"/>
          <w:szCs w:val="20"/>
        </w:rPr>
        <w:t>?</w:t>
      </w:r>
    </w:p>
    <w:p w:rsidR="00E45F3B" w:rsidRDefault="006A3871">
      <w:pPr>
        <w:numPr>
          <w:ilvl w:val="3"/>
          <w:numId w:val="1"/>
        </w:numPr>
        <w:contextualSpacing/>
        <w:rPr>
          <w:rFonts w:ascii="Times New Roman" w:eastAsia="Times New Roman" w:hAnsi="Times New Roman" w:cs="Times New Roman"/>
          <w:sz w:val="20"/>
          <w:szCs w:val="20"/>
        </w:rPr>
      </w:pPr>
      <w:r>
        <w:rPr>
          <w:rFonts w:ascii="Times New Roman" w:eastAsia="Times New Roman" w:hAnsi="Times New Roman" w:cs="Times New Roman"/>
          <w:sz w:val="20"/>
          <w:szCs w:val="20"/>
        </w:rPr>
        <w:t>Is the website commercial or non-commercial?</w:t>
      </w:r>
    </w:p>
    <w:p w:rsidR="00E45F3B" w:rsidRDefault="006A3871">
      <w:pPr>
        <w:ind w:left="2160"/>
        <w:rPr>
          <w:rFonts w:ascii="Times New Roman" w:eastAsia="Times New Roman" w:hAnsi="Times New Roman" w:cs="Times New Roman"/>
          <w:sz w:val="20"/>
          <w:szCs w:val="20"/>
        </w:rPr>
      </w:pPr>
      <w:r>
        <w:rPr>
          <w:rFonts w:ascii="Cardo" w:eastAsia="Cardo" w:hAnsi="Cardo" w:cs="Cardo"/>
          <w:sz w:val="20"/>
          <w:szCs w:val="20"/>
        </w:rPr>
        <w:tab/>
        <w:t>→ Passive/Commercial more likely to provide PJ</w:t>
      </w:r>
    </w:p>
    <w:p w:rsidR="00E45F3B" w:rsidRDefault="006A3871">
      <w:pPr>
        <w:numPr>
          <w:ilvl w:val="1"/>
          <w:numId w:val="1"/>
        </w:numPr>
        <w:contextualSpacing/>
        <w:rPr>
          <w:rFonts w:ascii="Times New Roman" w:eastAsia="Times New Roman" w:hAnsi="Times New Roman" w:cs="Times New Roman"/>
          <w:sz w:val="20"/>
          <w:szCs w:val="20"/>
        </w:rPr>
      </w:pPr>
      <w:r>
        <w:rPr>
          <w:rFonts w:ascii="Times New Roman" w:eastAsia="Times New Roman" w:hAnsi="Times New Roman" w:cs="Times New Roman"/>
          <w:i/>
          <w:color w:val="FF0000"/>
          <w:sz w:val="20"/>
          <w:szCs w:val="20"/>
        </w:rPr>
        <w:t>J. McIntyre Machinery, Ltd. v. Nicastro</w:t>
      </w:r>
      <w:r>
        <w:rPr>
          <w:rFonts w:ascii="Times New Roman" w:eastAsia="Times New Roman" w:hAnsi="Times New Roman" w:cs="Times New Roman"/>
          <w:color w:val="FF0000"/>
          <w:sz w:val="20"/>
          <w:szCs w:val="20"/>
        </w:rPr>
        <w:t xml:space="preserve"> (SCOTUS, 2011) (6 votes no PJ, 3 votes PJ)</w:t>
      </w:r>
    </w:p>
    <w:p w:rsidR="00E45F3B" w:rsidRDefault="006A3871">
      <w:pPr>
        <w:ind w:left="1440"/>
        <w:rPr>
          <w:rFonts w:ascii="Times New Roman" w:eastAsia="Times New Roman" w:hAnsi="Times New Roman" w:cs="Times New Roman"/>
          <w:color w:val="FF0000"/>
          <w:sz w:val="20"/>
          <w:szCs w:val="20"/>
        </w:rPr>
      </w:pPr>
      <w:r>
        <w:rPr>
          <w:rFonts w:ascii="Times New Roman" w:eastAsia="Times New Roman" w:hAnsi="Times New Roman" w:cs="Times New Roman"/>
          <w:b/>
          <w:color w:val="FF0000"/>
          <w:sz w:val="20"/>
          <w:szCs w:val="20"/>
        </w:rPr>
        <w:t xml:space="preserve">F: </w:t>
      </w:r>
      <w:r>
        <w:rPr>
          <w:rFonts w:ascii="Times New Roman" w:eastAsia="Times New Roman" w:hAnsi="Times New Roman" w:cs="Times New Roman"/>
          <w:color w:val="FF0000"/>
          <w:sz w:val="20"/>
          <w:szCs w:val="20"/>
        </w:rPr>
        <w:t>Company English, product went from company to distributor (not suing becaus</w:t>
      </w:r>
      <w:r>
        <w:rPr>
          <w:rFonts w:ascii="Times New Roman" w:eastAsia="Times New Roman" w:hAnsi="Times New Roman" w:cs="Times New Roman"/>
          <w:color w:val="FF0000"/>
          <w:sz w:val="20"/>
          <w:szCs w:val="20"/>
        </w:rPr>
        <w:t>e bankrupt) to NJ (forum state arguing for PJ); national marketing by distributor under company’s guidance and company profiting from sales of four machines in NJ</w:t>
      </w:r>
    </w:p>
    <w:p w:rsidR="00E45F3B" w:rsidRDefault="006A3871">
      <w:pPr>
        <w:ind w:left="1440"/>
        <w:rPr>
          <w:rFonts w:ascii="Times New Roman" w:eastAsia="Times New Roman" w:hAnsi="Times New Roman" w:cs="Times New Roman"/>
          <w:color w:val="FF0000"/>
          <w:sz w:val="20"/>
          <w:szCs w:val="20"/>
        </w:rPr>
      </w:pPr>
      <w:r>
        <w:rPr>
          <w:rFonts w:ascii="Times New Roman" w:eastAsia="Times New Roman" w:hAnsi="Times New Roman" w:cs="Times New Roman"/>
          <w:b/>
          <w:color w:val="FF0000"/>
          <w:sz w:val="20"/>
          <w:szCs w:val="20"/>
        </w:rPr>
        <w:t xml:space="preserve">Kennedy Plurality </w:t>
      </w:r>
      <w:r>
        <w:rPr>
          <w:rFonts w:ascii="Times New Roman" w:eastAsia="Times New Roman" w:hAnsi="Times New Roman" w:cs="Times New Roman"/>
          <w:color w:val="FF0000"/>
          <w:sz w:val="20"/>
          <w:szCs w:val="20"/>
        </w:rPr>
        <w:t>– need direct activity in forum state, need foreseeability where products a</w:t>
      </w:r>
      <w:r>
        <w:rPr>
          <w:rFonts w:ascii="Times New Roman" w:eastAsia="Times New Roman" w:hAnsi="Times New Roman" w:cs="Times New Roman"/>
          <w:color w:val="FF0000"/>
          <w:sz w:val="20"/>
          <w:szCs w:val="20"/>
        </w:rPr>
        <w:t>re going to end up; need to target the forum state; no PJ because no explicit direction by company to sell in NJ</w:t>
      </w:r>
    </w:p>
    <w:p w:rsidR="00E45F3B" w:rsidRDefault="006A3871">
      <w:pPr>
        <w:ind w:left="1440"/>
        <w:rPr>
          <w:rFonts w:ascii="Times New Roman" w:eastAsia="Times New Roman" w:hAnsi="Times New Roman" w:cs="Times New Roman"/>
          <w:color w:val="FF0000"/>
          <w:sz w:val="20"/>
          <w:szCs w:val="20"/>
        </w:rPr>
      </w:pPr>
      <w:r>
        <w:rPr>
          <w:rFonts w:ascii="Times New Roman" w:eastAsia="Times New Roman" w:hAnsi="Times New Roman" w:cs="Times New Roman"/>
          <w:b/>
          <w:color w:val="FF0000"/>
          <w:sz w:val="20"/>
          <w:szCs w:val="20"/>
        </w:rPr>
        <w:t xml:space="preserve">Breyer Concurrence </w:t>
      </w:r>
      <w:r>
        <w:rPr>
          <w:rFonts w:ascii="Times New Roman" w:eastAsia="Times New Roman" w:hAnsi="Times New Roman" w:cs="Times New Roman"/>
          <w:color w:val="FF0000"/>
          <w:sz w:val="20"/>
          <w:szCs w:val="20"/>
        </w:rPr>
        <w:t>– need level of commercial activity that would give us purposeful availment, stick with test already established by preceden</w:t>
      </w:r>
      <w:r>
        <w:rPr>
          <w:rFonts w:ascii="Times New Roman" w:eastAsia="Times New Roman" w:hAnsi="Times New Roman" w:cs="Times New Roman"/>
          <w:color w:val="FF0000"/>
          <w:sz w:val="20"/>
          <w:szCs w:val="20"/>
        </w:rPr>
        <w:t>t; no PJ because not enough commercial activity, more might’ve given PJ</w:t>
      </w:r>
    </w:p>
    <w:p w:rsidR="00E45F3B" w:rsidRDefault="006A3871">
      <w:pPr>
        <w:ind w:left="1440"/>
        <w:rPr>
          <w:rFonts w:ascii="Times New Roman" w:eastAsia="Times New Roman" w:hAnsi="Times New Roman" w:cs="Times New Roman"/>
          <w:color w:val="FF0000"/>
          <w:sz w:val="20"/>
          <w:szCs w:val="20"/>
        </w:rPr>
      </w:pPr>
      <w:r>
        <w:rPr>
          <w:rFonts w:ascii="Times New Roman" w:eastAsia="Times New Roman" w:hAnsi="Times New Roman" w:cs="Times New Roman"/>
          <w:b/>
          <w:color w:val="FF0000"/>
          <w:sz w:val="20"/>
          <w:szCs w:val="20"/>
        </w:rPr>
        <w:lastRenderedPageBreak/>
        <w:t xml:space="preserve">Ginsberg Dissent </w:t>
      </w:r>
      <w:r>
        <w:rPr>
          <w:rFonts w:ascii="Times New Roman" w:eastAsia="Times New Roman" w:hAnsi="Times New Roman" w:cs="Times New Roman"/>
          <w:color w:val="FF0000"/>
          <w:sz w:val="20"/>
          <w:szCs w:val="20"/>
        </w:rPr>
        <w:t>– need intent to sell products, based on company’s marketing, even though national intention to sell in all 50 states, if product makes it to a state then PJ (as here)</w:t>
      </w:r>
      <w:r>
        <w:rPr>
          <w:rFonts w:ascii="Times New Roman" w:eastAsia="Times New Roman" w:hAnsi="Times New Roman" w:cs="Times New Roman"/>
          <w:color w:val="FF0000"/>
          <w:sz w:val="20"/>
          <w:szCs w:val="20"/>
        </w:rPr>
        <w:t xml:space="preserve">; national marketing and injury in forum state sufficient </w:t>
      </w:r>
    </w:p>
    <w:p w:rsidR="00E45F3B" w:rsidRDefault="006A3871">
      <w:pPr>
        <w:numPr>
          <w:ilvl w:val="2"/>
          <w:numId w:val="1"/>
        </w:numPr>
        <w:contextualSpacing/>
        <w:rPr>
          <w:rFonts w:ascii="Times New Roman" w:eastAsia="Times New Roman" w:hAnsi="Times New Roman" w:cs="Times New Roman"/>
          <w:sz w:val="20"/>
          <w:szCs w:val="20"/>
        </w:rPr>
      </w:pPr>
      <w:r>
        <w:rPr>
          <w:rFonts w:ascii="Times New Roman" w:eastAsia="Times New Roman" w:hAnsi="Times New Roman" w:cs="Times New Roman"/>
          <w:sz w:val="20"/>
          <w:szCs w:val="20"/>
        </w:rPr>
        <w:t>How D’s actions affect forum state? (</w:t>
      </w:r>
      <w:r>
        <w:rPr>
          <w:rFonts w:ascii="Times New Roman" w:eastAsia="Times New Roman" w:hAnsi="Times New Roman" w:cs="Times New Roman"/>
          <w:i/>
          <w:sz w:val="20"/>
          <w:szCs w:val="20"/>
        </w:rPr>
        <w:t xml:space="preserve">Pavlovich </w:t>
      </w:r>
      <w:r>
        <w:rPr>
          <w:rFonts w:ascii="Times New Roman" w:eastAsia="Times New Roman" w:hAnsi="Times New Roman" w:cs="Times New Roman"/>
          <w:sz w:val="20"/>
          <w:szCs w:val="20"/>
        </w:rPr>
        <w:t>fits into this inquiry)</w:t>
      </w:r>
    </w:p>
    <w:p w:rsidR="00E45F3B" w:rsidRDefault="006A3871">
      <w:pPr>
        <w:numPr>
          <w:ilvl w:val="0"/>
          <w:numId w:val="1"/>
        </w:numPr>
        <w:contextualSpacing/>
        <w:rPr>
          <w:rFonts w:ascii="Times New Roman" w:eastAsia="Times New Roman" w:hAnsi="Times New Roman" w:cs="Times New Roman"/>
          <w:sz w:val="20"/>
          <w:szCs w:val="20"/>
        </w:rPr>
      </w:pPr>
      <w:r>
        <w:rPr>
          <w:rFonts w:ascii="Times New Roman" w:eastAsia="Times New Roman" w:hAnsi="Times New Roman" w:cs="Times New Roman"/>
          <w:sz w:val="20"/>
          <w:szCs w:val="20"/>
        </w:rPr>
        <w:t>General JD – JD even when no connection between COA and D’s contacts; only analyze contacts, lose reasonableness and COA prong</w:t>
      </w:r>
      <w:r>
        <w:rPr>
          <w:rFonts w:ascii="Times New Roman" w:eastAsia="Times New Roman" w:hAnsi="Times New Roman" w:cs="Times New Roman"/>
          <w:sz w:val="20"/>
          <w:szCs w:val="20"/>
        </w:rPr>
        <w:t>s</w:t>
      </w:r>
    </w:p>
    <w:p w:rsidR="00E45F3B" w:rsidRDefault="006A3871">
      <w:pPr>
        <w:numPr>
          <w:ilvl w:val="1"/>
          <w:numId w:val="1"/>
        </w:numPr>
        <w:contextualSpacing/>
        <w:rPr>
          <w:rFonts w:ascii="Times New Roman" w:eastAsia="Times New Roman" w:hAnsi="Times New Roman" w:cs="Times New Roman"/>
          <w:sz w:val="20"/>
          <w:szCs w:val="20"/>
        </w:rPr>
      </w:pPr>
      <w:r>
        <w:rPr>
          <w:rFonts w:ascii="Times New Roman" w:eastAsia="Times New Roman" w:hAnsi="Times New Roman" w:cs="Times New Roman"/>
          <w:i/>
          <w:color w:val="FF0000"/>
          <w:sz w:val="20"/>
          <w:szCs w:val="20"/>
        </w:rPr>
        <w:t xml:space="preserve">Daimler v. Bauman </w:t>
      </w:r>
      <w:r>
        <w:rPr>
          <w:rFonts w:ascii="Times New Roman" w:eastAsia="Times New Roman" w:hAnsi="Times New Roman" w:cs="Times New Roman"/>
          <w:color w:val="FF0000"/>
          <w:sz w:val="20"/>
          <w:szCs w:val="20"/>
        </w:rPr>
        <w:t>(SCOTUS, 2014)</w:t>
      </w:r>
    </w:p>
    <w:p w:rsidR="00E45F3B" w:rsidRDefault="006A3871">
      <w:pPr>
        <w:ind w:left="1440"/>
        <w:rPr>
          <w:rFonts w:ascii="Times New Roman" w:eastAsia="Times New Roman" w:hAnsi="Times New Roman" w:cs="Times New Roman"/>
          <w:color w:val="FF0000"/>
          <w:sz w:val="20"/>
          <w:szCs w:val="20"/>
        </w:rPr>
      </w:pPr>
      <w:r>
        <w:rPr>
          <w:rFonts w:ascii="Times New Roman" w:eastAsia="Times New Roman" w:hAnsi="Times New Roman" w:cs="Times New Roman"/>
          <w:b/>
          <w:color w:val="FF0000"/>
          <w:sz w:val="20"/>
          <w:szCs w:val="20"/>
        </w:rPr>
        <w:t xml:space="preserve">H: </w:t>
      </w:r>
      <w:r>
        <w:rPr>
          <w:rFonts w:ascii="Times New Roman" w:eastAsia="Times New Roman" w:hAnsi="Times New Roman" w:cs="Times New Roman"/>
          <w:color w:val="FF0000"/>
          <w:sz w:val="20"/>
          <w:szCs w:val="20"/>
        </w:rPr>
        <w:t>“At home” test for general JD compares D’s contacts in CA with corporation’s total activities nationally/internationally (only 2% of Daimler’s sales in CA)</w:t>
      </w:r>
      <w:r>
        <w:rPr>
          <w:rFonts w:ascii="Times New Roman" w:eastAsia="Times New Roman" w:hAnsi="Times New Roman" w:cs="Times New Roman"/>
          <w:b/>
          <w:color w:val="FF0000"/>
          <w:sz w:val="20"/>
          <w:szCs w:val="20"/>
        </w:rPr>
        <w:t xml:space="preserve"> – </w:t>
      </w:r>
      <w:r>
        <w:rPr>
          <w:rFonts w:ascii="Times New Roman" w:eastAsia="Times New Roman" w:hAnsi="Times New Roman" w:cs="Times New Roman"/>
          <w:color w:val="FF0000"/>
          <w:sz w:val="20"/>
          <w:szCs w:val="20"/>
        </w:rPr>
        <w:t>here not “at home,” no PJ</w:t>
      </w:r>
    </w:p>
    <w:p w:rsidR="00E45F3B" w:rsidRDefault="006A3871">
      <w:pPr>
        <w:ind w:left="1440"/>
        <w:rPr>
          <w:rFonts w:ascii="Times New Roman" w:eastAsia="Times New Roman" w:hAnsi="Times New Roman" w:cs="Times New Roman"/>
          <w:color w:val="FF0000"/>
          <w:sz w:val="20"/>
          <w:szCs w:val="20"/>
        </w:rPr>
      </w:pPr>
      <w:r>
        <w:rPr>
          <w:rFonts w:ascii="Times New Roman" w:eastAsia="Times New Roman" w:hAnsi="Times New Roman" w:cs="Times New Roman"/>
          <w:b/>
          <w:color w:val="FF0000"/>
          <w:sz w:val="20"/>
          <w:szCs w:val="20"/>
        </w:rPr>
        <w:t xml:space="preserve">Sotomayor Concurrence: </w:t>
      </w:r>
      <w:r>
        <w:rPr>
          <w:rFonts w:ascii="Times New Roman" w:eastAsia="Times New Roman" w:hAnsi="Times New Roman" w:cs="Times New Roman"/>
          <w:color w:val="FF0000"/>
          <w:sz w:val="20"/>
          <w:szCs w:val="20"/>
        </w:rPr>
        <w:t>Concurs in judgment only, wants different test</w:t>
      </w:r>
    </w:p>
    <w:p w:rsidR="00E45F3B" w:rsidRDefault="006A3871">
      <w:pPr>
        <w:numPr>
          <w:ilvl w:val="1"/>
          <w:numId w:val="1"/>
        </w:numPr>
        <w:contextualSpacing/>
        <w:rPr>
          <w:rFonts w:ascii="Times New Roman" w:eastAsia="Times New Roman" w:hAnsi="Times New Roman" w:cs="Times New Roman"/>
          <w:sz w:val="20"/>
          <w:szCs w:val="20"/>
        </w:rPr>
      </w:pPr>
      <w:r>
        <w:rPr>
          <w:rFonts w:ascii="Times New Roman" w:eastAsia="Times New Roman" w:hAnsi="Times New Roman" w:cs="Times New Roman"/>
          <w:i/>
          <w:color w:val="FF0000"/>
          <w:sz w:val="20"/>
          <w:szCs w:val="20"/>
        </w:rPr>
        <w:t xml:space="preserve">Burnham v. Superior Court </w:t>
      </w:r>
      <w:r>
        <w:rPr>
          <w:rFonts w:ascii="Times New Roman" w:eastAsia="Times New Roman" w:hAnsi="Times New Roman" w:cs="Times New Roman"/>
          <w:color w:val="FF0000"/>
          <w:sz w:val="20"/>
          <w:szCs w:val="20"/>
        </w:rPr>
        <w:t>(SCOTUS, 1990)</w:t>
      </w:r>
    </w:p>
    <w:p w:rsidR="00E45F3B" w:rsidRDefault="006A3871">
      <w:pPr>
        <w:ind w:left="1440"/>
        <w:rPr>
          <w:rFonts w:ascii="Times New Roman" w:eastAsia="Times New Roman" w:hAnsi="Times New Roman" w:cs="Times New Roman"/>
          <w:color w:val="FF0000"/>
          <w:sz w:val="20"/>
          <w:szCs w:val="20"/>
        </w:rPr>
      </w:pPr>
      <w:r>
        <w:rPr>
          <w:rFonts w:ascii="Times New Roman" w:eastAsia="Times New Roman" w:hAnsi="Times New Roman" w:cs="Times New Roman"/>
          <w:b/>
          <w:color w:val="FF0000"/>
          <w:sz w:val="20"/>
          <w:szCs w:val="20"/>
        </w:rPr>
        <w:t>H:</w:t>
      </w:r>
      <w:r>
        <w:rPr>
          <w:rFonts w:ascii="Times New Roman" w:eastAsia="Times New Roman" w:hAnsi="Times New Roman" w:cs="Times New Roman"/>
          <w:color w:val="FF0000"/>
          <w:sz w:val="20"/>
          <w:szCs w:val="20"/>
        </w:rPr>
        <w:t xml:space="preserve"> Court agrees PJ, can’t agree on rationale, where ex-wife serves ex-husband while in town for business/visiting the kids</w:t>
      </w:r>
    </w:p>
    <w:p w:rsidR="00E45F3B" w:rsidRDefault="006A3871">
      <w:pPr>
        <w:numPr>
          <w:ilvl w:val="2"/>
          <w:numId w:val="1"/>
        </w:numPr>
        <w:contextualSpacing/>
        <w:rPr>
          <w:rFonts w:ascii="Times New Roman" w:eastAsia="Times New Roman" w:hAnsi="Times New Roman" w:cs="Times New Roman"/>
          <w:color w:val="FF0000"/>
          <w:sz w:val="20"/>
          <w:szCs w:val="20"/>
        </w:rPr>
      </w:pPr>
      <w:r>
        <w:rPr>
          <w:rFonts w:ascii="Cardo" w:eastAsia="Cardo" w:hAnsi="Cardo" w:cs="Cardo"/>
          <w:color w:val="FF0000"/>
          <w:sz w:val="20"/>
          <w:szCs w:val="20"/>
        </w:rPr>
        <w:t>Scalia: Wants bright-line rule for tag jurisd</w:t>
      </w:r>
      <w:r>
        <w:rPr>
          <w:rFonts w:ascii="Cardo" w:eastAsia="Cardo" w:hAnsi="Cardo" w:cs="Cardo"/>
          <w:color w:val="FF0000"/>
          <w:sz w:val="20"/>
          <w:szCs w:val="20"/>
        </w:rPr>
        <w:t>iction, as long as present and served → PJ</w:t>
      </w:r>
    </w:p>
    <w:p w:rsidR="00E45F3B" w:rsidRDefault="006A3871">
      <w:pPr>
        <w:numPr>
          <w:ilvl w:val="2"/>
          <w:numId w:val="1"/>
        </w:numPr>
        <w:contextualSpacing/>
        <w:rPr>
          <w:rFonts w:ascii="Times New Roman" w:eastAsia="Times New Roman" w:hAnsi="Times New Roman" w:cs="Times New Roman"/>
          <w:color w:val="FF0000"/>
          <w:sz w:val="20"/>
          <w:szCs w:val="20"/>
        </w:rPr>
      </w:pPr>
      <w:r>
        <w:rPr>
          <w:rFonts w:ascii="Times New Roman" w:eastAsia="Times New Roman" w:hAnsi="Times New Roman" w:cs="Times New Roman"/>
          <w:color w:val="FF0000"/>
          <w:sz w:val="20"/>
          <w:szCs w:val="20"/>
        </w:rPr>
        <w:t>Brennan: Still apply minimum contacts test</w:t>
      </w:r>
    </w:p>
    <w:p w:rsidR="00E45F3B" w:rsidRDefault="006A3871">
      <w:pPr>
        <w:ind w:left="1440"/>
        <w:rPr>
          <w:rFonts w:ascii="Times New Roman" w:eastAsia="Times New Roman" w:hAnsi="Times New Roman" w:cs="Times New Roman"/>
          <w:color w:val="FF0000"/>
          <w:sz w:val="20"/>
          <w:szCs w:val="20"/>
        </w:rPr>
      </w:pPr>
      <w:r>
        <w:rPr>
          <w:rFonts w:ascii="Cardo" w:eastAsia="Cardo" w:hAnsi="Cardo" w:cs="Cardo"/>
          <w:color w:val="FF0000"/>
          <w:sz w:val="20"/>
          <w:szCs w:val="20"/>
        </w:rPr>
        <w:t>→ P’s contacts with state for business (not for kids, because that’s unilateral activity of third party), unrelated to COA hence general PJ</w:t>
      </w:r>
    </w:p>
    <w:p w:rsidR="00E45F3B" w:rsidRDefault="006A3871">
      <w:pPr>
        <w:numPr>
          <w:ilvl w:val="1"/>
          <w:numId w:val="1"/>
        </w:numPr>
        <w:contextualSpacing/>
        <w:rPr>
          <w:rFonts w:ascii="Times New Roman" w:eastAsia="Times New Roman" w:hAnsi="Times New Roman" w:cs="Times New Roman"/>
          <w:sz w:val="20"/>
          <w:szCs w:val="20"/>
        </w:rPr>
      </w:pPr>
      <w:r>
        <w:rPr>
          <w:rFonts w:ascii="Times New Roman" w:eastAsia="Times New Roman" w:hAnsi="Times New Roman" w:cs="Times New Roman"/>
          <w:sz w:val="20"/>
          <w:szCs w:val="20"/>
        </w:rPr>
        <w:t>General Jurisdiction – if no r</w:t>
      </w:r>
      <w:r>
        <w:rPr>
          <w:rFonts w:ascii="Times New Roman" w:eastAsia="Times New Roman" w:hAnsi="Times New Roman" w:cs="Times New Roman"/>
          <w:sz w:val="20"/>
          <w:szCs w:val="20"/>
        </w:rPr>
        <w:t>elationship between COA and D’s contacts, is there general JD?</w:t>
      </w:r>
    </w:p>
    <w:p w:rsidR="00E45F3B" w:rsidRDefault="006A3871">
      <w:pPr>
        <w:numPr>
          <w:ilvl w:val="2"/>
          <w:numId w:val="1"/>
        </w:numPr>
        <w:contextualSpacing/>
        <w:rPr>
          <w:rFonts w:ascii="Times New Roman" w:eastAsia="Times New Roman" w:hAnsi="Times New Roman" w:cs="Times New Roman"/>
          <w:sz w:val="20"/>
          <w:szCs w:val="20"/>
        </w:rPr>
      </w:pPr>
      <w:r>
        <w:rPr>
          <w:rFonts w:ascii="Times New Roman" w:eastAsia="Times New Roman" w:hAnsi="Times New Roman" w:cs="Times New Roman"/>
          <w:sz w:val="20"/>
          <w:szCs w:val="20"/>
        </w:rPr>
        <w:t>Are there sufficient “continuous and systematic contacts” between D and the forum state?</w:t>
      </w:r>
    </w:p>
    <w:p w:rsidR="00E45F3B" w:rsidRDefault="006A3871">
      <w:pPr>
        <w:numPr>
          <w:ilvl w:val="3"/>
          <w:numId w:val="1"/>
        </w:numPr>
        <w:contextualSpacing/>
        <w:rPr>
          <w:rFonts w:ascii="Times New Roman" w:eastAsia="Times New Roman" w:hAnsi="Times New Roman" w:cs="Times New Roman"/>
          <w:sz w:val="20"/>
          <w:szCs w:val="20"/>
        </w:rPr>
      </w:pPr>
      <w:r>
        <w:rPr>
          <w:rFonts w:ascii="Times New Roman" w:eastAsia="Times New Roman" w:hAnsi="Times New Roman" w:cs="Times New Roman"/>
          <w:sz w:val="20"/>
          <w:szCs w:val="20"/>
        </w:rPr>
        <w:t>Domiciled in forum state (individual)</w:t>
      </w:r>
    </w:p>
    <w:p w:rsidR="00E45F3B" w:rsidRDefault="006A3871">
      <w:pPr>
        <w:numPr>
          <w:ilvl w:val="3"/>
          <w:numId w:val="1"/>
        </w:numPr>
        <w:contextualSpacing/>
        <w:rPr>
          <w:rFonts w:ascii="Times New Roman" w:eastAsia="Times New Roman" w:hAnsi="Times New Roman" w:cs="Times New Roman"/>
          <w:sz w:val="20"/>
          <w:szCs w:val="20"/>
        </w:rPr>
      </w:pPr>
      <w:r>
        <w:rPr>
          <w:rFonts w:ascii="Times New Roman" w:eastAsia="Times New Roman" w:hAnsi="Times New Roman" w:cs="Times New Roman"/>
          <w:sz w:val="20"/>
          <w:szCs w:val="20"/>
        </w:rPr>
        <w:t>PPB</w:t>
      </w:r>
    </w:p>
    <w:p w:rsidR="00E45F3B" w:rsidRDefault="006A3871">
      <w:pPr>
        <w:numPr>
          <w:ilvl w:val="3"/>
          <w:numId w:val="1"/>
        </w:numPr>
        <w:contextualSpacing/>
        <w:rPr>
          <w:rFonts w:ascii="Times New Roman" w:eastAsia="Times New Roman" w:hAnsi="Times New Roman" w:cs="Times New Roman"/>
          <w:sz w:val="20"/>
          <w:szCs w:val="20"/>
        </w:rPr>
      </w:pPr>
      <w:r>
        <w:rPr>
          <w:rFonts w:ascii="Times New Roman" w:eastAsia="Times New Roman" w:hAnsi="Times New Roman" w:cs="Times New Roman"/>
          <w:sz w:val="20"/>
          <w:szCs w:val="20"/>
        </w:rPr>
        <w:t>State of incorporation</w:t>
      </w:r>
    </w:p>
    <w:p w:rsidR="00E45F3B" w:rsidRDefault="006A3871">
      <w:pPr>
        <w:numPr>
          <w:ilvl w:val="3"/>
          <w:numId w:val="1"/>
        </w:numPr>
        <w:contextualSpacing/>
        <w:rPr>
          <w:rFonts w:ascii="Times New Roman" w:eastAsia="Times New Roman" w:hAnsi="Times New Roman" w:cs="Times New Roman"/>
          <w:sz w:val="20"/>
          <w:szCs w:val="20"/>
        </w:rPr>
      </w:pPr>
      <w:r>
        <w:rPr>
          <w:rFonts w:ascii="Times New Roman" w:eastAsia="Times New Roman" w:hAnsi="Times New Roman" w:cs="Times New Roman"/>
          <w:sz w:val="20"/>
          <w:szCs w:val="20"/>
        </w:rPr>
        <w:t>Other contacts? (</w:t>
      </w:r>
      <w:r>
        <w:rPr>
          <w:rFonts w:ascii="Times New Roman" w:eastAsia="Times New Roman" w:hAnsi="Times New Roman" w:cs="Times New Roman"/>
          <w:i/>
          <w:sz w:val="20"/>
          <w:szCs w:val="20"/>
        </w:rPr>
        <w:t>Daimler</w:t>
      </w:r>
      <w:r>
        <w:rPr>
          <w:rFonts w:ascii="Times New Roman" w:eastAsia="Times New Roman" w:hAnsi="Times New Roman" w:cs="Times New Roman"/>
          <w:sz w:val="20"/>
          <w:szCs w:val="20"/>
        </w:rPr>
        <w:t>)</w:t>
      </w:r>
    </w:p>
    <w:p w:rsidR="00E45F3B" w:rsidRDefault="006A3871">
      <w:pPr>
        <w:numPr>
          <w:ilvl w:val="4"/>
          <w:numId w:val="1"/>
        </w:numPr>
        <w:contextualSpacing/>
        <w:rPr>
          <w:rFonts w:ascii="Times New Roman" w:eastAsia="Times New Roman" w:hAnsi="Times New Roman" w:cs="Times New Roman"/>
          <w:sz w:val="20"/>
          <w:szCs w:val="20"/>
        </w:rPr>
      </w:pPr>
      <w:r>
        <w:rPr>
          <w:rFonts w:ascii="Times New Roman" w:eastAsia="Times New Roman" w:hAnsi="Times New Roman" w:cs="Times New Roman"/>
          <w:sz w:val="20"/>
          <w:szCs w:val="20"/>
        </w:rPr>
        <w:t xml:space="preserve">Is the D “at </w:t>
      </w:r>
      <w:r>
        <w:rPr>
          <w:rFonts w:ascii="Times New Roman" w:eastAsia="Times New Roman" w:hAnsi="Times New Roman" w:cs="Times New Roman"/>
          <w:sz w:val="20"/>
          <w:szCs w:val="20"/>
        </w:rPr>
        <w:t>home” in the forum state? (</w:t>
      </w:r>
      <w:r>
        <w:rPr>
          <w:rFonts w:ascii="Times New Roman" w:eastAsia="Times New Roman" w:hAnsi="Times New Roman" w:cs="Times New Roman"/>
          <w:i/>
          <w:sz w:val="20"/>
          <w:szCs w:val="20"/>
        </w:rPr>
        <w:t>Daimler, Perkins, Helicopteros, Goodyear</w:t>
      </w:r>
      <w:r>
        <w:rPr>
          <w:rFonts w:ascii="Times New Roman" w:eastAsia="Times New Roman" w:hAnsi="Times New Roman" w:cs="Times New Roman"/>
          <w:sz w:val="20"/>
          <w:szCs w:val="20"/>
        </w:rPr>
        <w:t xml:space="preserve">) – to be “at home” contacts have to be so substantial and of such a nature to render them at home </w:t>
      </w:r>
    </w:p>
    <w:p w:rsidR="00E45F3B" w:rsidRDefault="006A3871">
      <w:pPr>
        <w:numPr>
          <w:ilvl w:val="2"/>
          <w:numId w:val="1"/>
        </w:numPr>
        <w:contextualSpacing/>
        <w:rPr>
          <w:rFonts w:ascii="Times New Roman" w:eastAsia="Times New Roman" w:hAnsi="Times New Roman" w:cs="Times New Roman"/>
          <w:sz w:val="20"/>
          <w:szCs w:val="20"/>
        </w:rPr>
      </w:pPr>
      <w:r>
        <w:rPr>
          <w:rFonts w:ascii="Times New Roman" w:eastAsia="Times New Roman" w:hAnsi="Times New Roman" w:cs="Times New Roman"/>
          <w:sz w:val="20"/>
          <w:szCs w:val="20"/>
        </w:rPr>
        <w:t>Presence? (</w:t>
      </w:r>
      <w:r>
        <w:rPr>
          <w:rFonts w:ascii="Times New Roman" w:eastAsia="Times New Roman" w:hAnsi="Times New Roman" w:cs="Times New Roman"/>
          <w:i/>
          <w:sz w:val="20"/>
          <w:szCs w:val="20"/>
        </w:rPr>
        <w:t>Burnham</w:t>
      </w:r>
      <w:r>
        <w:rPr>
          <w:rFonts w:ascii="Times New Roman" w:eastAsia="Times New Roman" w:hAnsi="Times New Roman" w:cs="Times New Roman"/>
          <w:sz w:val="20"/>
          <w:szCs w:val="20"/>
        </w:rPr>
        <w:t>)</w:t>
      </w:r>
    </w:p>
    <w:p w:rsidR="00E45F3B" w:rsidRDefault="006A3871">
      <w:pPr>
        <w:numPr>
          <w:ilvl w:val="3"/>
          <w:numId w:val="1"/>
        </w:numPr>
        <w:contextualSpacing/>
        <w:rPr>
          <w:rFonts w:ascii="Times New Roman" w:eastAsia="Times New Roman" w:hAnsi="Times New Roman" w:cs="Times New Roman"/>
          <w:sz w:val="20"/>
          <w:szCs w:val="20"/>
        </w:rPr>
      </w:pPr>
      <w:r>
        <w:rPr>
          <w:rFonts w:ascii="Times New Roman" w:eastAsia="Times New Roman" w:hAnsi="Times New Roman" w:cs="Times New Roman"/>
          <w:sz w:val="20"/>
          <w:szCs w:val="20"/>
        </w:rPr>
        <w:t>Was D present in-state and served with process there? (</w:t>
      </w:r>
      <w:r>
        <w:rPr>
          <w:rFonts w:ascii="Times New Roman" w:eastAsia="Times New Roman" w:hAnsi="Times New Roman" w:cs="Times New Roman"/>
          <w:i/>
          <w:sz w:val="20"/>
          <w:szCs w:val="20"/>
        </w:rPr>
        <w:t>Burnham, Penno</w:t>
      </w:r>
      <w:r>
        <w:rPr>
          <w:rFonts w:ascii="Times New Roman" w:eastAsia="Times New Roman" w:hAnsi="Times New Roman" w:cs="Times New Roman"/>
          <w:i/>
          <w:sz w:val="20"/>
          <w:szCs w:val="20"/>
        </w:rPr>
        <w:t>yer</w:t>
      </w:r>
      <w:r>
        <w:rPr>
          <w:rFonts w:ascii="Times New Roman" w:eastAsia="Times New Roman" w:hAnsi="Times New Roman" w:cs="Times New Roman"/>
          <w:sz w:val="20"/>
          <w:szCs w:val="20"/>
        </w:rPr>
        <w:t>)</w:t>
      </w:r>
    </w:p>
    <w:p w:rsidR="00E45F3B" w:rsidRDefault="006A3871">
      <w:pPr>
        <w:numPr>
          <w:ilvl w:val="0"/>
          <w:numId w:val="1"/>
        </w:numPr>
        <w:contextualSpacing/>
        <w:rPr>
          <w:rFonts w:ascii="Times New Roman" w:eastAsia="Times New Roman" w:hAnsi="Times New Roman" w:cs="Times New Roman"/>
          <w:sz w:val="20"/>
          <w:szCs w:val="20"/>
        </w:rPr>
      </w:pPr>
      <w:r>
        <w:rPr>
          <w:rFonts w:ascii="Times New Roman" w:eastAsia="Times New Roman" w:hAnsi="Times New Roman" w:cs="Times New Roman"/>
          <w:sz w:val="20"/>
          <w:szCs w:val="20"/>
        </w:rPr>
        <w:t>Consent – contracting around PJ, i.e. forum selection clause</w:t>
      </w:r>
    </w:p>
    <w:p w:rsidR="00E45F3B" w:rsidRDefault="006A3871">
      <w:pPr>
        <w:numPr>
          <w:ilvl w:val="1"/>
          <w:numId w:val="1"/>
        </w:numPr>
        <w:contextualSpacing/>
        <w:rPr>
          <w:rFonts w:ascii="Times New Roman" w:eastAsia="Times New Roman" w:hAnsi="Times New Roman" w:cs="Times New Roman"/>
          <w:sz w:val="20"/>
          <w:szCs w:val="20"/>
        </w:rPr>
      </w:pPr>
      <w:r>
        <w:rPr>
          <w:rFonts w:ascii="Times New Roman" w:eastAsia="Times New Roman" w:hAnsi="Times New Roman" w:cs="Times New Roman"/>
          <w:i/>
          <w:color w:val="FF0000"/>
          <w:sz w:val="20"/>
          <w:szCs w:val="20"/>
        </w:rPr>
        <w:t xml:space="preserve">Carnival Cruise Lines, Inc. v. Shute </w:t>
      </w:r>
      <w:r>
        <w:rPr>
          <w:rFonts w:ascii="Times New Roman" w:eastAsia="Times New Roman" w:hAnsi="Times New Roman" w:cs="Times New Roman"/>
          <w:color w:val="FF0000"/>
          <w:sz w:val="20"/>
          <w:szCs w:val="20"/>
        </w:rPr>
        <w:t>(SCOTUS, 1991)</w:t>
      </w:r>
    </w:p>
    <w:p w:rsidR="00E45F3B" w:rsidRDefault="006A3871">
      <w:pPr>
        <w:ind w:left="1440"/>
        <w:rPr>
          <w:rFonts w:ascii="Times New Roman" w:eastAsia="Times New Roman" w:hAnsi="Times New Roman" w:cs="Times New Roman"/>
          <w:color w:val="FF0000"/>
          <w:sz w:val="20"/>
          <w:szCs w:val="20"/>
        </w:rPr>
      </w:pPr>
      <w:r>
        <w:rPr>
          <w:rFonts w:ascii="Times New Roman" w:eastAsia="Times New Roman" w:hAnsi="Times New Roman" w:cs="Times New Roman"/>
          <w:b/>
          <w:color w:val="FF0000"/>
          <w:sz w:val="20"/>
          <w:szCs w:val="20"/>
        </w:rPr>
        <w:t>H:</w:t>
      </w:r>
      <w:r>
        <w:rPr>
          <w:rFonts w:ascii="Times New Roman" w:eastAsia="Times New Roman" w:hAnsi="Times New Roman" w:cs="Times New Roman"/>
          <w:color w:val="FF0000"/>
          <w:sz w:val="20"/>
          <w:szCs w:val="20"/>
        </w:rPr>
        <w:t xml:space="preserve"> If FSC then consented to jurisdiction in that forum; Rationale: Clause benefits consumers by reducing prices, let market sort out PJ (econ argument)</w:t>
      </w:r>
    </w:p>
    <w:p w:rsidR="00E45F3B" w:rsidRDefault="006A3871">
      <w:pPr>
        <w:ind w:left="1440"/>
        <w:rPr>
          <w:rFonts w:ascii="Times New Roman" w:eastAsia="Times New Roman" w:hAnsi="Times New Roman" w:cs="Times New Roman"/>
          <w:i/>
          <w:color w:val="FF0000"/>
          <w:sz w:val="20"/>
          <w:szCs w:val="20"/>
        </w:rPr>
      </w:pPr>
      <w:r>
        <w:rPr>
          <w:rFonts w:ascii="Cardo" w:eastAsia="Cardo" w:hAnsi="Cardo" w:cs="Cardo"/>
          <w:color w:val="FF0000"/>
          <w:sz w:val="20"/>
          <w:szCs w:val="20"/>
        </w:rPr>
        <w:t xml:space="preserve">→ With </w:t>
      </w:r>
      <w:r>
        <w:rPr>
          <w:rFonts w:ascii="Times New Roman" w:eastAsia="Times New Roman" w:hAnsi="Times New Roman" w:cs="Times New Roman"/>
          <w:i/>
          <w:color w:val="FF0000"/>
          <w:sz w:val="20"/>
          <w:szCs w:val="20"/>
        </w:rPr>
        <w:t>Burnham</w:t>
      </w:r>
      <w:r>
        <w:rPr>
          <w:rFonts w:ascii="Times New Roman" w:eastAsia="Times New Roman" w:hAnsi="Times New Roman" w:cs="Times New Roman"/>
          <w:color w:val="FF0000"/>
          <w:sz w:val="20"/>
          <w:szCs w:val="20"/>
        </w:rPr>
        <w:t xml:space="preserve">, essentially brings back </w:t>
      </w:r>
      <w:r>
        <w:rPr>
          <w:rFonts w:ascii="Times New Roman" w:eastAsia="Times New Roman" w:hAnsi="Times New Roman" w:cs="Times New Roman"/>
          <w:i/>
          <w:color w:val="FF0000"/>
          <w:sz w:val="20"/>
          <w:szCs w:val="20"/>
        </w:rPr>
        <w:t>Pennoyer</w:t>
      </w:r>
    </w:p>
    <w:p w:rsidR="00E45F3B" w:rsidRDefault="006A3871">
      <w:pPr>
        <w:ind w:left="1440"/>
        <w:rPr>
          <w:rFonts w:ascii="Times New Roman" w:eastAsia="Times New Roman" w:hAnsi="Times New Roman" w:cs="Times New Roman"/>
          <w:color w:val="FF0000"/>
          <w:sz w:val="20"/>
          <w:szCs w:val="20"/>
        </w:rPr>
      </w:pPr>
      <w:r>
        <w:rPr>
          <w:rFonts w:ascii="Times New Roman" w:eastAsia="Times New Roman" w:hAnsi="Times New Roman" w:cs="Times New Roman"/>
          <w:b/>
          <w:color w:val="FF0000"/>
          <w:sz w:val="20"/>
          <w:szCs w:val="20"/>
        </w:rPr>
        <w:t xml:space="preserve">Stevens Dissent: </w:t>
      </w:r>
      <w:r>
        <w:rPr>
          <w:rFonts w:ascii="Times New Roman" w:eastAsia="Times New Roman" w:hAnsi="Times New Roman" w:cs="Times New Roman"/>
          <w:color w:val="FF0000"/>
          <w:sz w:val="20"/>
          <w:szCs w:val="20"/>
        </w:rPr>
        <w:t>Should contracts of adhesion where one p</w:t>
      </w:r>
      <w:r>
        <w:rPr>
          <w:rFonts w:ascii="Times New Roman" w:eastAsia="Times New Roman" w:hAnsi="Times New Roman" w:cs="Times New Roman"/>
          <w:color w:val="FF0000"/>
          <w:sz w:val="20"/>
          <w:szCs w:val="20"/>
        </w:rPr>
        <w:t>arty has much greater bargaining power be justifiably enforced?; Fundamental fairness = no bad faith, overreaching, fraud, here forum chosen to minimize litigation inconveniencing nearly all potential Ps</w:t>
      </w:r>
    </w:p>
    <w:p w:rsidR="00E45F3B" w:rsidRDefault="006A3871">
      <w:pPr>
        <w:numPr>
          <w:ilvl w:val="0"/>
          <w:numId w:val="1"/>
        </w:numPr>
        <w:contextualSpacing/>
        <w:rPr>
          <w:rFonts w:ascii="Times New Roman" w:eastAsia="Times New Roman" w:hAnsi="Times New Roman" w:cs="Times New Roman"/>
          <w:sz w:val="20"/>
          <w:szCs w:val="20"/>
        </w:rPr>
      </w:pPr>
      <w:r>
        <w:rPr>
          <w:rFonts w:ascii="Times New Roman" w:eastAsia="Times New Roman" w:hAnsi="Times New Roman" w:cs="Times New Roman"/>
          <w:sz w:val="20"/>
          <w:szCs w:val="20"/>
        </w:rPr>
        <w:t xml:space="preserve">Notice – defendant must have knowledge of the case </w:t>
      </w:r>
    </w:p>
    <w:p w:rsidR="00E45F3B" w:rsidRDefault="006A3871">
      <w:pPr>
        <w:numPr>
          <w:ilvl w:val="1"/>
          <w:numId w:val="1"/>
        </w:numPr>
        <w:contextualSpacing/>
        <w:rPr>
          <w:rFonts w:ascii="Times New Roman" w:eastAsia="Times New Roman" w:hAnsi="Times New Roman" w:cs="Times New Roman"/>
          <w:sz w:val="20"/>
          <w:szCs w:val="20"/>
        </w:rPr>
      </w:pPr>
      <w:r>
        <w:rPr>
          <w:rFonts w:ascii="Times New Roman" w:eastAsia="Times New Roman" w:hAnsi="Times New Roman" w:cs="Times New Roman"/>
          <w:sz w:val="20"/>
          <w:szCs w:val="20"/>
        </w:rPr>
        <w:t>PJ v. Notice: Due Process requires both</w:t>
      </w:r>
    </w:p>
    <w:p w:rsidR="00E45F3B" w:rsidRDefault="006A3871">
      <w:pPr>
        <w:numPr>
          <w:ilvl w:val="2"/>
          <w:numId w:val="1"/>
        </w:numPr>
        <w:contextualSpacing/>
        <w:rPr>
          <w:rFonts w:ascii="Times New Roman" w:eastAsia="Times New Roman" w:hAnsi="Times New Roman" w:cs="Times New Roman"/>
          <w:sz w:val="20"/>
          <w:szCs w:val="20"/>
        </w:rPr>
      </w:pPr>
      <w:r>
        <w:rPr>
          <w:rFonts w:ascii="Times New Roman" w:eastAsia="Times New Roman" w:hAnsi="Times New Roman" w:cs="Times New Roman"/>
          <w:sz w:val="20"/>
          <w:szCs w:val="20"/>
        </w:rPr>
        <w:t>Sufficient notice doesn’t guarantee that the court has PJ over D</w:t>
      </w:r>
    </w:p>
    <w:p w:rsidR="00E45F3B" w:rsidRDefault="006A3871">
      <w:pPr>
        <w:numPr>
          <w:ilvl w:val="2"/>
          <w:numId w:val="1"/>
        </w:numPr>
        <w:contextualSpacing/>
        <w:rPr>
          <w:rFonts w:ascii="Times New Roman" w:eastAsia="Times New Roman" w:hAnsi="Times New Roman" w:cs="Times New Roman"/>
          <w:sz w:val="20"/>
          <w:szCs w:val="20"/>
        </w:rPr>
      </w:pPr>
      <w:r>
        <w:rPr>
          <w:rFonts w:ascii="Times New Roman" w:eastAsia="Times New Roman" w:hAnsi="Times New Roman" w:cs="Times New Roman"/>
          <w:sz w:val="20"/>
          <w:szCs w:val="20"/>
        </w:rPr>
        <w:t>Existence of PJ doesn’t guarantee that D has received sufficient notice</w:t>
      </w:r>
    </w:p>
    <w:p w:rsidR="00E45F3B" w:rsidRDefault="006A3871">
      <w:pPr>
        <w:numPr>
          <w:ilvl w:val="1"/>
          <w:numId w:val="1"/>
        </w:numPr>
        <w:contextualSpacing/>
        <w:rPr>
          <w:rFonts w:ascii="Times New Roman" w:eastAsia="Times New Roman" w:hAnsi="Times New Roman" w:cs="Times New Roman"/>
          <w:sz w:val="20"/>
          <w:szCs w:val="20"/>
        </w:rPr>
      </w:pPr>
      <w:r>
        <w:rPr>
          <w:rFonts w:ascii="Times New Roman" w:eastAsia="Times New Roman" w:hAnsi="Times New Roman" w:cs="Times New Roman"/>
          <w:sz w:val="20"/>
          <w:szCs w:val="20"/>
        </w:rPr>
        <w:t>Constitutionally sufficient notice – “Notice reasonably calculated, under all the circumstances, to apprise interested parties of the pendency of the action and afford them an opportunity to present their objections</w:t>
      </w:r>
    </w:p>
    <w:p w:rsidR="00E45F3B" w:rsidRDefault="006A3871">
      <w:pPr>
        <w:numPr>
          <w:ilvl w:val="1"/>
          <w:numId w:val="1"/>
        </w:numPr>
        <w:contextualSpacing/>
        <w:rPr>
          <w:rFonts w:ascii="Times New Roman" w:eastAsia="Times New Roman" w:hAnsi="Times New Roman" w:cs="Times New Roman"/>
          <w:sz w:val="20"/>
          <w:szCs w:val="20"/>
        </w:rPr>
      </w:pPr>
      <w:r>
        <w:rPr>
          <w:rFonts w:ascii="Times New Roman" w:eastAsia="Times New Roman" w:hAnsi="Times New Roman" w:cs="Times New Roman"/>
          <w:i/>
          <w:color w:val="FF0000"/>
          <w:sz w:val="20"/>
          <w:szCs w:val="20"/>
        </w:rPr>
        <w:t xml:space="preserve">Mullane v. Central Hanover Bank &amp; Trust </w:t>
      </w:r>
      <w:r>
        <w:rPr>
          <w:rFonts w:ascii="Times New Roman" w:eastAsia="Times New Roman" w:hAnsi="Times New Roman" w:cs="Times New Roman"/>
          <w:i/>
          <w:color w:val="FF0000"/>
          <w:sz w:val="20"/>
          <w:szCs w:val="20"/>
        </w:rPr>
        <w:t xml:space="preserve">Co. </w:t>
      </w:r>
      <w:r>
        <w:rPr>
          <w:rFonts w:ascii="Times New Roman" w:eastAsia="Times New Roman" w:hAnsi="Times New Roman" w:cs="Times New Roman"/>
          <w:color w:val="FF0000"/>
          <w:sz w:val="20"/>
          <w:szCs w:val="20"/>
        </w:rPr>
        <w:t>(SCOTUS, 1950)</w:t>
      </w:r>
    </w:p>
    <w:p w:rsidR="00E45F3B" w:rsidRDefault="006A3871">
      <w:pPr>
        <w:ind w:left="720"/>
        <w:rPr>
          <w:rFonts w:ascii="Times New Roman" w:eastAsia="Times New Roman" w:hAnsi="Times New Roman" w:cs="Times New Roman"/>
          <w:b/>
          <w:sz w:val="20"/>
          <w:szCs w:val="20"/>
        </w:rPr>
      </w:pPr>
      <w:r>
        <w:rPr>
          <w:rFonts w:ascii="Times New Roman" w:eastAsia="Times New Roman" w:hAnsi="Times New Roman" w:cs="Times New Roman"/>
          <w:color w:val="FF0000"/>
          <w:sz w:val="20"/>
          <w:szCs w:val="20"/>
        </w:rPr>
        <w:tab/>
      </w:r>
      <w:r>
        <w:rPr>
          <w:rFonts w:ascii="Times New Roman" w:eastAsia="Times New Roman" w:hAnsi="Times New Roman" w:cs="Times New Roman"/>
          <w:b/>
          <w:color w:val="FF0000"/>
          <w:sz w:val="20"/>
          <w:szCs w:val="20"/>
        </w:rPr>
        <w:t>H:</w:t>
      </w:r>
      <w:r>
        <w:rPr>
          <w:rFonts w:ascii="Times New Roman" w:eastAsia="Times New Roman" w:hAnsi="Times New Roman" w:cs="Times New Roman"/>
          <w:color w:val="FF0000"/>
          <w:sz w:val="20"/>
          <w:szCs w:val="20"/>
        </w:rPr>
        <w:t xml:space="preserve"> Requires notice that’s reasonably calculated (see known beneficiaries below)</w:t>
      </w:r>
    </w:p>
    <w:p w:rsidR="00E45F3B" w:rsidRDefault="006A3871">
      <w:pPr>
        <w:numPr>
          <w:ilvl w:val="1"/>
          <w:numId w:val="1"/>
        </w:numPr>
        <w:contextualSpacing/>
        <w:rPr>
          <w:rFonts w:ascii="Times New Roman" w:eastAsia="Times New Roman" w:hAnsi="Times New Roman" w:cs="Times New Roman"/>
          <w:sz w:val="20"/>
          <w:szCs w:val="20"/>
        </w:rPr>
      </w:pPr>
      <w:r>
        <w:rPr>
          <w:rFonts w:ascii="Times New Roman" w:eastAsia="Times New Roman" w:hAnsi="Times New Roman" w:cs="Times New Roman"/>
          <w:sz w:val="20"/>
          <w:szCs w:val="20"/>
        </w:rPr>
        <w:t>Notice requires</w:t>
      </w:r>
    </w:p>
    <w:p w:rsidR="00E45F3B" w:rsidRDefault="006A3871">
      <w:pPr>
        <w:numPr>
          <w:ilvl w:val="2"/>
          <w:numId w:val="1"/>
        </w:numPr>
        <w:contextualSpacing/>
        <w:rPr>
          <w:rFonts w:ascii="Times New Roman" w:eastAsia="Times New Roman" w:hAnsi="Times New Roman" w:cs="Times New Roman"/>
          <w:sz w:val="20"/>
          <w:szCs w:val="20"/>
        </w:rPr>
      </w:pPr>
      <w:r>
        <w:rPr>
          <w:rFonts w:ascii="Times New Roman" w:eastAsia="Times New Roman" w:hAnsi="Times New Roman" w:cs="Times New Roman"/>
          <w:sz w:val="20"/>
          <w:szCs w:val="20"/>
        </w:rPr>
        <w:t>Known beneficiaries – those who can be identified and located with reasonable effort require notice to be reasonably informed (i.e. service by publication not constitutionally accurate)</w:t>
      </w:r>
    </w:p>
    <w:p w:rsidR="00E45F3B" w:rsidRDefault="006A3871">
      <w:pPr>
        <w:numPr>
          <w:ilvl w:val="2"/>
          <w:numId w:val="1"/>
        </w:numPr>
        <w:contextualSpacing/>
        <w:rPr>
          <w:rFonts w:ascii="Times New Roman" w:eastAsia="Times New Roman" w:hAnsi="Times New Roman" w:cs="Times New Roman"/>
          <w:sz w:val="20"/>
          <w:szCs w:val="20"/>
        </w:rPr>
      </w:pPr>
      <w:r>
        <w:rPr>
          <w:rFonts w:ascii="Times New Roman" w:eastAsia="Times New Roman" w:hAnsi="Times New Roman" w:cs="Times New Roman"/>
          <w:sz w:val="20"/>
          <w:szCs w:val="20"/>
        </w:rPr>
        <w:t>Unknown beneficiaries – for those who cannot be identified and located</w:t>
      </w:r>
      <w:r>
        <w:rPr>
          <w:rFonts w:ascii="Times New Roman" w:eastAsia="Times New Roman" w:hAnsi="Times New Roman" w:cs="Times New Roman"/>
          <w:sz w:val="20"/>
          <w:szCs w:val="20"/>
        </w:rPr>
        <w:t xml:space="preserve"> with reasonable effort publication okay</w:t>
      </w:r>
    </w:p>
    <w:p w:rsidR="00E45F3B" w:rsidRDefault="006A3871">
      <w:pPr>
        <w:numPr>
          <w:ilvl w:val="2"/>
          <w:numId w:val="1"/>
        </w:numPr>
        <w:contextualSpacing/>
        <w:rPr>
          <w:rFonts w:ascii="Times New Roman" w:eastAsia="Times New Roman" w:hAnsi="Times New Roman" w:cs="Times New Roman"/>
          <w:sz w:val="20"/>
          <w:szCs w:val="20"/>
        </w:rPr>
      </w:pPr>
      <w:r>
        <w:rPr>
          <w:rFonts w:ascii="Times New Roman" w:eastAsia="Times New Roman" w:hAnsi="Times New Roman" w:cs="Times New Roman"/>
          <w:sz w:val="20"/>
          <w:szCs w:val="20"/>
        </w:rPr>
        <w:t>Representative notice – so long as some number of beneficiaries have notice, we can rely on them to represent the interests of everybody; requires numerous representatives and their interests be the same as those of</w:t>
      </w:r>
      <w:r>
        <w:rPr>
          <w:rFonts w:ascii="Times New Roman" w:eastAsia="Times New Roman" w:hAnsi="Times New Roman" w:cs="Times New Roman"/>
          <w:sz w:val="20"/>
          <w:szCs w:val="20"/>
        </w:rPr>
        <w:t xml:space="preserve"> unknown beneficiaries </w:t>
      </w:r>
    </w:p>
    <w:p w:rsidR="00E45F3B" w:rsidRDefault="006A3871">
      <w:pPr>
        <w:numPr>
          <w:ilvl w:val="1"/>
          <w:numId w:val="1"/>
        </w:numPr>
        <w:contextualSpacing/>
        <w:rPr>
          <w:rFonts w:ascii="Times New Roman" w:eastAsia="Times New Roman" w:hAnsi="Times New Roman" w:cs="Times New Roman"/>
          <w:sz w:val="20"/>
          <w:szCs w:val="20"/>
        </w:rPr>
      </w:pPr>
      <w:r>
        <w:rPr>
          <w:rFonts w:ascii="Times New Roman" w:eastAsia="Times New Roman" w:hAnsi="Times New Roman" w:cs="Times New Roman"/>
          <w:b/>
          <w:sz w:val="20"/>
          <w:szCs w:val="20"/>
        </w:rPr>
        <w:lastRenderedPageBreak/>
        <w:t>FRCP 4: Summons</w:t>
      </w:r>
      <w:r>
        <w:rPr>
          <w:rFonts w:ascii="Times New Roman" w:eastAsia="Times New Roman" w:hAnsi="Times New Roman" w:cs="Times New Roman"/>
          <w:sz w:val="20"/>
          <w:szCs w:val="20"/>
        </w:rPr>
        <w:t xml:space="preserve"> – specifies methods of giving notice to mitigate cost of litigation (i.e. ability to waive notice, right to better notice)</w:t>
      </w:r>
    </w:p>
    <w:p w:rsidR="00E45F3B" w:rsidRDefault="006A3871">
      <w:pPr>
        <w:numPr>
          <w:ilvl w:val="0"/>
          <w:numId w:val="1"/>
        </w:numPr>
        <w:contextualSpacing/>
        <w:rPr>
          <w:rFonts w:ascii="Times New Roman" w:eastAsia="Times New Roman" w:hAnsi="Times New Roman" w:cs="Times New Roman"/>
          <w:sz w:val="20"/>
          <w:szCs w:val="20"/>
        </w:rPr>
      </w:pPr>
      <w:r>
        <w:rPr>
          <w:rFonts w:ascii="Times New Roman" w:eastAsia="Times New Roman" w:hAnsi="Times New Roman" w:cs="Times New Roman"/>
          <w:sz w:val="20"/>
          <w:szCs w:val="20"/>
        </w:rPr>
        <w:t>Long-Arm Statutes</w:t>
      </w:r>
      <w:r>
        <w:rPr>
          <w:rFonts w:ascii="Times New Roman" w:eastAsia="Times New Roman" w:hAnsi="Times New Roman" w:cs="Times New Roman"/>
          <w:sz w:val="24"/>
          <w:szCs w:val="24"/>
        </w:rPr>
        <w:t xml:space="preserve"> </w:t>
      </w:r>
      <w:r>
        <w:rPr>
          <w:rFonts w:ascii="Times New Roman" w:eastAsia="Times New Roman" w:hAnsi="Times New Roman" w:cs="Times New Roman"/>
          <w:sz w:val="20"/>
          <w:szCs w:val="20"/>
        </w:rPr>
        <w:t>– statutory limitation to PJ, states may limit PJ of their courts via statu</w:t>
      </w:r>
      <w:r>
        <w:rPr>
          <w:rFonts w:ascii="Times New Roman" w:eastAsia="Times New Roman" w:hAnsi="Times New Roman" w:cs="Times New Roman"/>
          <w:sz w:val="20"/>
          <w:szCs w:val="20"/>
        </w:rPr>
        <w:t>tes; long-arm means PJ to what the constitution permits, two-step test</w:t>
      </w:r>
    </w:p>
    <w:p w:rsidR="00E45F3B" w:rsidRDefault="006A3871">
      <w:pPr>
        <w:numPr>
          <w:ilvl w:val="1"/>
          <w:numId w:val="1"/>
        </w:numPr>
        <w:contextualSpacing/>
        <w:rPr>
          <w:rFonts w:ascii="Times New Roman" w:eastAsia="Times New Roman" w:hAnsi="Times New Roman" w:cs="Times New Roman"/>
          <w:sz w:val="20"/>
          <w:szCs w:val="20"/>
        </w:rPr>
      </w:pPr>
      <w:r>
        <w:rPr>
          <w:rFonts w:ascii="Times New Roman" w:eastAsia="Times New Roman" w:hAnsi="Times New Roman" w:cs="Times New Roman"/>
          <w:sz w:val="20"/>
          <w:szCs w:val="20"/>
        </w:rPr>
        <w:t>Does state statute permit PJ?</w:t>
      </w:r>
    </w:p>
    <w:p w:rsidR="00E45F3B" w:rsidRDefault="006A3871">
      <w:pPr>
        <w:numPr>
          <w:ilvl w:val="1"/>
          <w:numId w:val="1"/>
        </w:numPr>
        <w:contextualSpacing/>
        <w:rPr>
          <w:rFonts w:ascii="Times New Roman" w:eastAsia="Times New Roman" w:hAnsi="Times New Roman" w:cs="Times New Roman"/>
          <w:sz w:val="20"/>
          <w:szCs w:val="20"/>
        </w:rPr>
      </w:pPr>
      <w:r>
        <w:rPr>
          <w:rFonts w:ascii="Times New Roman" w:eastAsia="Times New Roman" w:hAnsi="Times New Roman" w:cs="Times New Roman"/>
          <w:sz w:val="20"/>
          <w:szCs w:val="20"/>
        </w:rPr>
        <w:t>Does the constitution permit PJ? (what we’ve studied ^)</w:t>
      </w:r>
    </w:p>
    <w:p w:rsidR="00E45F3B" w:rsidRDefault="006A3871">
      <w:pPr>
        <w:numPr>
          <w:ilvl w:val="0"/>
          <w:numId w:val="1"/>
        </w:numPr>
        <w:contextualSpacing/>
        <w:rPr>
          <w:rFonts w:ascii="Times New Roman" w:eastAsia="Times New Roman" w:hAnsi="Times New Roman" w:cs="Times New Roman"/>
          <w:sz w:val="20"/>
          <w:szCs w:val="20"/>
        </w:rPr>
      </w:pPr>
      <w:r>
        <w:rPr>
          <w:rFonts w:ascii="Times New Roman" w:eastAsia="Times New Roman" w:hAnsi="Times New Roman" w:cs="Times New Roman"/>
          <w:sz w:val="20"/>
          <w:szCs w:val="20"/>
        </w:rPr>
        <w:t>Venue, Transfer, &amp; Forum Non Conveniens</w:t>
      </w:r>
    </w:p>
    <w:p w:rsidR="00E45F3B" w:rsidRDefault="006A3871">
      <w:pPr>
        <w:numPr>
          <w:ilvl w:val="1"/>
          <w:numId w:val="1"/>
        </w:numPr>
        <w:contextualSpacing/>
        <w:rPr>
          <w:rFonts w:ascii="Times New Roman" w:eastAsia="Times New Roman" w:hAnsi="Times New Roman" w:cs="Times New Roman"/>
          <w:sz w:val="20"/>
          <w:szCs w:val="20"/>
        </w:rPr>
      </w:pPr>
      <w:r>
        <w:rPr>
          <w:rFonts w:ascii="Times New Roman" w:eastAsia="Times New Roman" w:hAnsi="Times New Roman" w:cs="Times New Roman"/>
          <w:sz w:val="20"/>
          <w:szCs w:val="20"/>
        </w:rPr>
        <w:t>PJ – constitutional limitation based on inconvenience to D</w:t>
      </w:r>
    </w:p>
    <w:p w:rsidR="00E45F3B" w:rsidRDefault="006A3871">
      <w:pPr>
        <w:numPr>
          <w:ilvl w:val="2"/>
          <w:numId w:val="1"/>
        </w:numPr>
        <w:contextualSpacing/>
        <w:rPr>
          <w:rFonts w:ascii="Times New Roman" w:eastAsia="Times New Roman" w:hAnsi="Times New Roman" w:cs="Times New Roman"/>
          <w:sz w:val="20"/>
          <w:szCs w:val="20"/>
        </w:rPr>
      </w:pPr>
      <w:r>
        <w:rPr>
          <w:rFonts w:ascii="Times New Roman" w:eastAsia="Times New Roman" w:hAnsi="Times New Roman" w:cs="Times New Roman"/>
          <w:sz w:val="20"/>
          <w:szCs w:val="20"/>
        </w:rPr>
        <w:t>Long-arm statute – adds a statutory limitation to PJ</w:t>
      </w:r>
    </w:p>
    <w:p w:rsidR="00E45F3B" w:rsidRDefault="006A3871">
      <w:pPr>
        <w:numPr>
          <w:ilvl w:val="1"/>
          <w:numId w:val="1"/>
        </w:numPr>
        <w:contextualSpacing/>
        <w:rPr>
          <w:rFonts w:ascii="Times New Roman" w:eastAsia="Times New Roman" w:hAnsi="Times New Roman" w:cs="Times New Roman"/>
          <w:sz w:val="20"/>
          <w:szCs w:val="20"/>
        </w:rPr>
      </w:pPr>
      <w:r>
        <w:rPr>
          <w:rFonts w:ascii="Times New Roman" w:eastAsia="Times New Roman" w:hAnsi="Times New Roman" w:cs="Times New Roman"/>
          <w:sz w:val="20"/>
          <w:szCs w:val="20"/>
        </w:rPr>
        <w:t xml:space="preserve">Venue – statutory limitation based on inconvenience to D; narrowing locality </w:t>
      </w:r>
    </w:p>
    <w:p w:rsidR="00E45F3B" w:rsidRDefault="006A3871">
      <w:pPr>
        <w:numPr>
          <w:ilvl w:val="2"/>
          <w:numId w:val="1"/>
        </w:numPr>
        <w:contextualSpacing/>
        <w:rPr>
          <w:rFonts w:ascii="Times New Roman" w:eastAsia="Times New Roman" w:hAnsi="Times New Roman" w:cs="Times New Roman"/>
          <w:sz w:val="20"/>
          <w:szCs w:val="20"/>
        </w:rPr>
      </w:pPr>
      <w:r>
        <w:rPr>
          <w:rFonts w:ascii="Times New Roman" w:eastAsia="Times New Roman" w:hAnsi="Times New Roman" w:cs="Times New Roman"/>
          <w:sz w:val="20"/>
          <w:szCs w:val="20"/>
        </w:rPr>
        <w:t>Even if P has PJ and venue, D has FNC and transfer to defend himself/herself</w:t>
      </w:r>
    </w:p>
    <w:p w:rsidR="00E45F3B" w:rsidRDefault="006A3871">
      <w:pPr>
        <w:numPr>
          <w:ilvl w:val="1"/>
          <w:numId w:val="1"/>
        </w:numPr>
        <w:contextualSpacing/>
        <w:rPr>
          <w:rFonts w:ascii="Times New Roman" w:eastAsia="Times New Roman" w:hAnsi="Times New Roman" w:cs="Times New Roman"/>
          <w:sz w:val="20"/>
          <w:szCs w:val="20"/>
        </w:rPr>
      </w:pPr>
      <w:r>
        <w:rPr>
          <w:rFonts w:ascii="Times New Roman" w:eastAsia="Times New Roman" w:hAnsi="Times New Roman" w:cs="Times New Roman"/>
          <w:sz w:val="20"/>
          <w:szCs w:val="20"/>
        </w:rPr>
        <w:t>FNC – common law analysis of which forum is more</w:t>
      </w:r>
      <w:r>
        <w:rPr>
          <w:rFonts w:ascii="Times New Roman" w:eastAsia="Times New Roman" w:hAnsi="Times New Roman" w:cs="Times New Roman"/>
          <w:sz w:val="20"/>
          <w:szCs w:val="20"/>
        </w:rPr>
        <w:t xml:space="preserve"> convenient; if FNC, court will dismiss with expectation that P will file in other forum (how different from transfer, usually outside jurisdictional bounds of transfer – i.e. another state (if in state court) or another country if in federal court)</w:t>
      </w:r>
    </w:p>
    <w:p w:rsidR="00E45F3B" w:rsidRDefault="006A3871">
      <w:pPr>
        <w:numPr>
          <w:ilvl w:val="1"/>
          <w:numId w:val="1"/>
        </w:numPr>
        <w:contextualSpacing/>
        <w:rPr>
          <w:rFonts w:ascii="Times New Roman" w:eastAsia="Times New Roman" w:hAnsi="Times New Roman" w:cs="Times New Roman"/>
          <w:sz w:val="20"/>
          <w:szCs w:val="20"/>
        </w:rPr>
      </w:pPr>
      <w:r>
        <w:rPr>
          <w:rFonts w:ascii="Times New Roman" w:eastAsia="Times New Roman" w:hAnsi="Times New Roman" w:cs="Times New Roman"/>
          <w:sz w:val="20"/>
          <w:szCs w:val="20"/>
        </w:rPr>
        <w:t>Transf</w:t>
      </w:r>
      <w:r>
        <w:rPr>
          <w:rFonts w:ascii="Times New Roman" w:eastAsia="Times New Roman" w:hAnsi="Times New Roman" w:cs="Times New Roman"/>
          <w:sz w:val="20"/>
          <w:szCs w:val="20"/>
        </w:rPr>
        <w:t>er – statutory analysis of which forum is more convenient</w:t>
      </w:r>
    </w:p>
    <w:p w:rsidR="00E45F3B" w:rsidRDefault="006A3871">
      <w:pPr>
        <w:numPr>
          <w:ilvl w:val="1"/>
          <w:numId w:val="1"/>
        </w:numPr>
        <w:contextualSpacing/>
        <w:rPr>
          <w:rFonts w:ascii="Times New Roman" w:eastAsia="Times New Roman" w:hAnsi="Times New Roman" w:cs="Times New Roman"/>
          <w:sz w:val="20"/>
          <w:szCs w:val="20"/>
        </w:rPr>
      </w:pPr>
      <w:r>
        <w:rPr>
          <w:rFonts w:ascii="Times New Roman" w:eastAsia="Times New Roman" w:hAnsi="Times New Roman" w:cs="Times New Roman"/>
          <w:sz w:val="20"/>
          <w:szCs w:val="20"/>
        </w:rPr>
        <w:t>Venue &amp; PJ</w:t>
      </w:r>
    </w:p>
    <w:p w:rsidR="00E45F3B" w:rsidRDefault="006A3871">
      <w:pPr>
        <w:numPr>
          <w:ilvl w:val="2"/>
          <w:numId w:val="1"/>
        </w:numPr>
        <w:contextualSpacing/>
        <w:rPr>
          <w:rFonts w:ascii="Times New Roman" w:eastAsia="Times New Roman" w:hAnsi="Times New Roman" w:cs="Times New Roman"/>
          <w:sz w:val="20"/>
          <w:szCs w:val="20"/>
        </w:rPr>
      </w:pPr>
      <w:r>
        <w:rPr>
          <w:rFonts w:ascii="Times New Roman" w:eastAsia="Times New Roman" w:hAnsi="Times New Roman" w:cs="Times New Roman"/>
          <w:sz w:val="20"/>
          <w:szCs w:val="20"/>
        </w:rPr>
        <w:t>Individual Ds – if neither of the first venue criteria point to a proper venue, then venue lies wherever there’s PJ over one of the Ds</w:t>
      </w:r>
    </w:p>
    <w:p w:rsidR="00E45F3B" w:rsidRDefault="006A3871">
      <w:pPr>
        <w:numPr>
          <w:ilvl w:val="2"/>
          <w:numId w:val="1"/>
        </w:numPr>
        <w:contextualSpacing/>
        <w:rPr>
          <w:rFonts w:ascii="Times New Roman" w:eastAsia="Times New Roman" w:hAnsi="Times New Roman" w:cs="Times New Roman"/>
          <w:sz w:val="20"/>
          <w:szCs w:val="20"/>
        </w:rPr>
      </w:pPr>
      <w:r>
        <w:rPr>
          <w:rFonts w:ascii="Times New Roman" w:eastAsia="Times New Roman" w:hAnsi="Times New Roman" w:cs="Times New Roman"/>
          <w:sz w:val="20"/>
          <w:szCs w:val="20"/>
        </w:rPr>
        <w:t>Corporations – a corporation’s residence for purpose</w:t>
      </w:r>
      <w:r>
        <w:rPr>
          <w:rFonts w:ascii="Times New Roman" w:eastAsia="Times New Roman" w:hAnsi="Times New Roman" w:cs="Times New Roman"/>
          <w:sz w:val="20"/>
          <w:szCs w:val="20"/>
        </w:rPr>
        <w:t>s of venue is wherever there is PJ over the corporation</w:t>
      </w:r>
    </w:p>
    <w:p w:rsidR="00E45F3B" w:rsidRDefault="006A3871">
      <w:pPr>
        <w:numPr>
          <w:ilvl w:val="1"/>
          <w:numId w:val="1"/>
        </w:numPr>
        <w:contextualSpacing/>
        <w:rPr>
          <w:rFonts w:ascii="Times New Roman" w:eastAsia="Times New Roman" w:hAnsi="Times New Roman" w:cs="Times New Roman"/>
          <w:sz w:val="20"/>
          <w:szCs w:val="20"/>
        </w:rPr>
      </w:pPr>
      <w:r>
        <w:rPr>
          <w:rFonts w:ascii="Times New Roman" w:eastAsia="Times New Roman" w:hAnsi="Times New Roman" w:cs="Times New Roman"/>
          <w:sz w:val="20"/>
          <w:szCs w:val="20"/>
        </w:rPr>
        <w:t xml:space="preserve">PJ v. FNC – distinction between arguing on the constitutional side that a forum is unconstitutionally inconvenient (PJ) and on the FNC side that </w:t>
      </w:r>
      <w:r>
        <w:rPr>
          <w:rFonts w:ascii="Times New Roman" w:eastAsia="Times New Roman" w:hAnsi="Times New Roman" w:cs="Times New Roman"/>
          <w:i/>
          <w:sz w:val="20"/>
          <w:szCs w:val="20"/>
        </w:rPr>
        <w:t xml:space="preserve">another </w:t>
      </w:r>
      <w:r>
        <w:rPr>
          <w:rFonts w:ascii="Times New Roman" w:eastAsia="Times New Roman" w:hAnsi="Times New Roman" w:cs="Times New Roman"/>
          <w:sz w:val="20"/>
          <w:szCs w:val="20"/>
        </w:rPr>
        <w:t xml:space="preserve">jurisdiction is significantly more convenient; </w:t>
      </w:r>
      <w:r>
        <w:rPr>
          <w:rFonts w:ascii="Times New Roman" w:eastAsia="Times New Roman" w:hAnsi="Times New Roman" w:cs="Times New Roman"/>
          <w:sz w:val="20"/>
          <w:szCs w:val="20"/>
        </w:rPr>
        <w:t>both require dismissal</w:t>
      </w:r>
    </w:p>
    <w:p w:rsidR="00E45F3B" w:rsidRDefault="006A3871">
      <w:pPr>
        <w:numPr>
          <w:ilvl w:val="1"/>
          <w:numId w:val="1"/>
        </w:numPr>
        <w:contextualSpacing/>
        <w:rPr>
          <w:rFonts w:ascii="Times New Roman" w:eastAsia="Times New Roman" w:hAnsi="Times New Roman" w:cs="Times New Roman"/>
          <w:sz w:val="20"/>
          <w:szCs w:val="20"/>
        </w:rPr>
      </w:pPr>
      <w:r>
        <w:rPr>
          <w:rFonts w:ascii="Times New Roman" w:eastAsia="Times New Roman" w:hAnsi="Times New Roman" w:cs="Times New Roman"/>
          <w:sz w:val="20"/>
          <w:szCs w:val="20"/>
        </w:rPr>
        <w:t>Transfer v. FNC, distinctions</w:t>
      </w:r>
    </w:p>
    <w:p w:rsidR="00E45F3B" w:rsidRDefault="006A3871">
      <w:pPr>
        <w:numPr>
          <w:ilvl w:val="2"/>
          <w:numId w:val="1"/>
        </w:numPr>
        <w:contextualSpacing/>
        <w:rPr>
          <w:rFonts w:ascii="Times New Roman" w:eastAsia="Times New Roman" w:hAnsi="Times New Roman" w:cs="Times New Roman"/>
          <w:sz w:val="20"/>
          <w:szCs w:val="20"/>
        </w:rPr>
      </w:pPr>
      <w:r>
        <w:rPr>
          <w:rFonts w:ascii="Times New Roman" w:eastAsia="Times New Roman" w:hAnsi="Times New Roman" w:cs="Times New Roman"/>
          <w:sz w:val="20"/>
          <w:szCs w:val="20"/>
        </w:rPr>
        <w:t>FNC requires dismissal (28 USC §1404), change of venue, i.e. transfer, does not</w:t>
      </w:r>
    </w:p>
    <w:p w:rsidR="00E45F3B" w:rsidRDefault="006A3871">
      <w:pPr>
        <w:numPr>
          <w:ilvl w:val="2"/>
          <w:numId w:val="1"/>
        </w:numPr>
        <w:contextualSpacing/>
        <w:rPr>
          <w:rFonts w:ascii="Times New Roman" w:eastAsia="Times New Roman" w:hAnsi="Times New Roman" w:cs="Times New Roman"/>
          <w:sz w:val="20"/>
          <w:szCs w:val="20"/>
        </w:rPr>
      </w:pPr>
      <w:r>
        <w:rPr>
          <w:rFonts w:ascii="Times New Roman" w:eastAsia="Times New Roman" w:hAnsi="Times New Roman" w:cs="Times New Roman"/>
          <w:sz w:val="20"/>
          <w:szCs w:val="20"/>
        </w:rPr>
        <w:t>Both ask similar question: Is there a more convenient forum than the one P filed in – even if there original forum has PJ, SMJ, and venue?</w:t>
      </w:r>
    </w:p>
    <w:p w:rsidR="00E45F3B" w:rsidRDefault="006A3871">
      <w:pPr>
        <w:numPr>
          <w:ilvl w:val="1"/>
          <w:numId w:val="1"/>
        </w:numPr>
        <w:contextualSpacing/>
        <w:rPr>
          <w:rFonts w:ascii="Times New Roman" w:eastAsia="Times New Roman" w:hAnsi="Times New Roman" w:cs="Times New Roman"/>
          <w:sz w:val="20"/>
          <w:szCs w:val="20"/>
        </w:rPr>
      </w:pPr>
      <w:r>
        <w:rPr>
          <w:rFonts w:ascii="Times New Roman" w:eastAsia="Times New Roman" w:hAnsi="Times New Roman" w:cs="Times New Roman"/>
          <w:i/>
          <w:color w:val="FF0000"/>
          <w:sz w:val="20"/>
          <w:szCs w:val="20"/>
        </w:rPr>
        <w:t xml:space="preserve">Piper Aircraft v. Reyno </w:t>
      </w:r>
      <w:r>
        <w:rPr>
          <w:rFonts w:ascii="Times New Roman" w:eastAsia="Times New Roman" w:hAnsi="Times New Roman" w:cs="Times New Roman"/>
          <w:color w:val="FF0000"/>
          <w:sz w:val="20"/>
          <w:szCs w:val="20"/>
        </w:rPr>
        <w:t>(SCOTUS, 1981)</w:t>
      </w:r>
    </w:p>
    <w:p w:rsidR="00E45F3B" w:rsidRDefault="006A3871">
      <w:pPr>
        <w:ind w:left="1440"/>
        <w:rPr>
          <w:rFonts w:ascii="Times New Roman" w:eastAsia="Times New Roman" w:hAnsi="Times New Roman" w:cs="Times New Roman"/>
          <w:color w:val="FF0000"/>
          <w:sz w:val="20"/>
          <w:szCs w:val="20"/>
        </w:rPr>
      </w:pPr>
      <w:r>
        <w:rPr>
          <w:rFonts w:ascii="Times New Roman" w:eastAsia="Times New Roman" w:hAnsi="Times New Roman" w:cs="Times New Roman"/>
          <w:b/>
          <w:color w:val="FF0000"/>
          <w:sz w:val="20"/>
          <w:szCs w:val="20"/>
        </w:rPr>
        <w:t>F:</w:t>
      </w:r>
      <w:r>
        <w:rPr>
          <w:rFonts w:ascii="Times New Roman" w:eastAsia="Times New Roman" w:hAnsi="Times New Roman" w:cs="Times New Roman"/>
          <w:color w:val="FF0000"/>
          <w:sz w:val="20"/>
          <w:szCs w:val="20"/>
        </w:rPr>
        <w:t xml:space="preserve"> Ps (families of decedents of plane crash) filed in CA, D invoked diversity JD and removed to federal court then sought transfer to PA, FNC </w:t>
      </w:r>
    </w:p>
    <w:p w:rsidR="00E45F3B" w:rsidRDefault="006A3871">
      <w:pPr>
        <w:ind w:left="1440"/>
        <w:rPr>
          <w:rFonts w:ascii="Times New Roman" w:eastAsia="Times New Roman" w:hAnsi="Times New Roman" w:cs="Times New Roman"/>
          <w:color w:val="FF0000"/>
          <w:sz w:val="20"/>
          <w:szCs w:val="20"/>
        </w:rPr>
      </w:pPr>
      <w:r>
        <w:rPr>
          <w:rFonts w:ascii="Times New Roman" w:eastAsia="Times New Roman" w:hAnsi="Times New Roman" w:cs="Times New Roman"/>
          <w:b/>
          <w:color w:val="FF0000"/>
          <w:sz w:val="20"/>
          <w:szCs w:val="20"/>
        </w:rPr>
        <w:t>H:</w:t>
      </w:r>
      <w:r>
        <w:rPr>
          <w:rFonts w:ascii="Times New Roman" w:eastAsia="Times New Roman" w:hAnsi="Times New Roman" w:cs="Times New Roman"/>
          <w:color w:val="FF0000"/>
          <w:sz w:val="20"/>
          <w:szCs w:val="20"/>
        </w:rPr>
        <w:t xml:space="preserve"> Grant motion for FNC (can’t dismiss FNC just because law better in original forum for P, law always going to be </w:t>
      </w:r>
      <w:r>
        <w:rPr>
          <w:rFonts w:ascii="Times New Roman" w:eastAsia="Times New Roman" w:hAnsi="Times New Roman" w:cs="Times New Roman"/>
          <w:color w:val="FF0000"/>
          <w:sz w:val="20"/>
          <w:szCs w:val="20"/>
        </w:rPr>
        <w:t>favorable to P in selected forum, would defect purpose); high standard for FNC (another forum must be substantially better, if not/same deference given to P in selected forum)</w:t>
      </w:r>
    </w:p>
    <w:p w:rsidR="00E45F3B" w:rsidRDefault="006A3871">
      <w:pPr>
        <w:ind w:left="1440"/>
        <w:rPr>
          <w:rFonts w:ascii="Times New Roman" w:eastAsia="Times New Roman" w:hAnsi="Times New Roman" w:cs="Times New Roman"/>
          <w:color w:val="FF0000"/>
          <w:sz w:val="20"/>
          <w:szCs w:val="20"/>
        </w:rPr>
      </w:pPr>
      <w:r>
        <w:rPr>
          <w:rFonts w:ascii="Times New Roman" w:eastAsia="Times New Roman" w:hAnsi="Times New Roman" w:cs="Times New Roman"/>
          <w:b/>
          <w:color w:val="FF0000"/>
          <w:sz w:val="20"/>
          <w:szCs w:val="20"/>
        </w:rPr>
        <w:t xml:space="preserve">Rule/Application: </w:t>
      </w:r>
      <w:r>
        <w:rPr>
          <w:rFonts w:ascii="Times New Roman" w:eastAsia="Times New Roman" w:hAnsi="Times New Roman" w:cs="Times New Roman"/>
          <w:color w:val="FF0000"/>
          <w:sz w:val="20"/>
          <w:szCs w:val="20"/>
        </w:rPr>
        <w:t>Weigh interests:</w:t>
      </w:r>
    </w:p>
    <w:p w:rsidR="00E45F3B" w:rsidRDefault="006A3871">
      <w:pPr>
        <w:numPr>
          <w:ilvl w:val="2"/>
          <w:numId w:val="1"/>
        </w:numPr>
        <w:contextualSpacing/>
        <w:rPr>
          <w:rFonts w:ascii="Times New Roman" w:eastAsia="Times New Roman" w:hAnsi="Times New Roman" w:cs="Times New Roman"/>
          <w:color w:val="FF0000"/>
          <w:sz w:val="20"/>
          <w:szCs w:val="20"/>
        </w:rPr>
      </w:pPr>
      <w:r>
        <w:rPr>
          <w:rFonts w:ascii="Times New Roman" w:eastAsia="Times New Roman" w:hAnsi="Times New Roman" w:cs="Times New Roman"/>
          <w:color w:val="FF0000"/>
          <w:sz w:val="20"/>
          <w:szCs w:val="20"/>
        </w:rPr>
        <w:t>Private interests: D’s burden (Piper in PA as</w:t>
      </w:r>
      <w:r>
        <w:rPr>
          <w:rFonts w:ascii="Times New Roman" w:eastAsia="Times New Roman" w:hAnsi="Times New Roman" w:cs="Times New Roman"/>
          <w:color w:val="FF0000"/>
          <w:sz w:val="20"/>
          <w:szCs w:val="20"/>
        </w:rPr>
        <w:t xml:space="preserve"> private corporation), P’s interest in keeping case in forum (Ps given less deference because filed in wrong forum, right forum would be Scotland), public interest (Scotland v. United States interest (&amp; PA’s interest))</w:t>
      </w:r>
    </w:p>
    <w:p w:rsidR="00E45F3B" w:rsidRDefault="006A3871">
      <w:pPr>
        <w:numPr>
          <w:ilvl w:val="2"/>
          <w:numId w:val="1"/>
        </w:numPr>
        <w:contextualSpacing/>
        <w:rPr>
          <w:rFonts w:ascii="Times New Roman" w:eastAsia="Times New Roman" w:hAnsi="Times New Roman" w:cs="Times New Roman"/>
          <w:color w:val="FF0000"/>
          <w:sz w:val="20"/>
          <w:szCs w:val="20"/>
        </w:rPr>
      </w:pPr>
      <w:r>
        <w:rPr>
          <w:rFonts w:ascii="Times New Roman" w:eastAsia="Times New Roman" w:hAnsi="Times New Roman" w:cs="Times New Roman"/>
          <w:color w:val="FF0000"/>
          <w:sz w:val="20"/>
          <w:szCs w:val="20"/>
        </w:rPr>
        <w:t>Burden on the court(s): Floodgates co</w:t>
      </w:r>
      <w:r>
        <w:rPr>
          <w:rFonts w:ascii="Times New Roman" w:eastAsia="Times New Roman" w:hAnsi="Times New Roman" w:cs="Times New Roman"/>
          <w:color w:val="FF0000"/>
          <w:sz w:val="20"/>
          <w:szCs w:val="20"/>
        </w:rPr>
        <w:t>ncern (US law favorable to law in many foreign countries), public perception of the judiciary, judges don’t know Scottish law</w:t>
      </w:r>
    </w:p>
    <w:p w:rsidR="00E45F3B" w:rsidRDefault="006A3871">
      <w:pPr>
        <w:ind w:left="1440"/>
        <w:rPr>
          <w:rFonts w:ascii="Times New Roman" w:eastAsia="Times New Roman" w:hAnsi="Times New Roman" w:cs="Times New Roman"/>
          <w:color w:val="FF0000"/>
          <w:sz w:val="20"/>
          <w:szCs w:val="20"/>
        </w:rPr>
      </w:pPr>
      <w:r>
        <w:rPr>
          <w:rFonts w:ascii="Cardo" w:eastAsia="Cardo" w:hAnsi="Cardo" w:cs="Cardo"/>
          <w:color w:val="FF0000"/>
          <w:sz w:val="20"/>
          <w:szCs w:val="20"/>
        </w:rPr>
        <w:t xml:space="preserve">→ Here much of evidence in UK (pilot error, transportation company, documents, people, wreckage, plane maintenance), little in US </w:t>
      </w:r>
      <w:r>
        <w:rPr>
          <w:rFonts w:ascii="Cardo" w:eastAsia="Cardo" w:hAnsi="Cardo" w:cs="Cardo"/>
          <w:color w:val="FF0000"/>
          <w:sz w:val="20"/>
          <w:szCs w:val="20"/>
        </w:rPr>
        <w:t>(plane manufacturer), D’s unable to mount an effective defense in US; if in US need to bring everything/everyone over, if in UK need to bring over just US defendants</w:t>
      </w:r>
    </w:p>
    <w:p w:rsidR="00E45F3B" w:rsidRDefault="006A3871">
      <w:pPr>
        <w:numPr>
          <w:ilvl w:val="1"/>
          <w:numId w:val="1"/>
        </w:numPr>
        <w:contextualSpacing/>
        <w:rPr>
          <w:rFonts w:ascii="Times New Roman" w:eastAsia="Times New Roman" w:hAnsi="Times New Roman" w:cs="Times New Roman"/>
          <w:sz w:val="20"/>
          <w:szCs w:val="20"/>
        </w:rPr>
      </w:pPr>
      <w:r>
        <w:rPr>
          <w:rFonts w:ascii="Times New Roman" w:eastAsia="Times New Roman" w:hAnsi="Times New Roman" w:cs="Times New Roman"/>
          <w:b/>
          <w:sz w:val="20"/>
          <w:szCs w:val="20"/>
        </w:rPr>
        <w:t xml:space="preserve">28 USC § 1391: Venue Generally </w:t>
      </w:r>
    </w:p>
    <w:p w:rsidR="00E45F3B" w:rsidRDefault="006A3871">
      <w:pPr>
        <w:numPr>
          <w:ilvl w:val="1"/>
          <w:numId w:val="1"/>
        </w:numPr>
        <w:contextualSpacing/>
        <w:rPr>
          <w:rFonts w:ascii="Times New Roman" w:eastAsia="Times New Roman" w:hAnsi="Times New Roman" w:cs="Times New Roman"/>
          <w:sz w:val="20"/>
          <w:szCs w:val="20"/>
        </w:rPr>
      </w:pPr>
      <w:r>
        <w:rPr>
          <w:rFonts w:ascii="Times New Roman" w:eastAsia="Times New Roman" w:hAnsi="Times New Roman" w:cs="Times New Roman"/>
          <w:b/>
          <w:sz w:val="20"/>
          <w:szCs w:val="20"/>
        </w:rPr>
        <w:t>28 USC § 1404: Change of Venue</w:t>
      </w:r>
    </w:p>
    <w:p w:rsidR="00E45F3B" w:rsidRDefault="006A3871">
      <w:pPr>
        <w:numPr>
          <w:ilvl w:val="1"/>
          <w:numId w:val="1"/>
        </w:numPr>
        <w:contextualSpacing/>
        <w:rPr>
          <w:rFonts w:ascii="Times New Roman" w:eastAsia="Times New Roman" w:hAnsi="Times New Roman" w:cs="Times New Roman"/>
          <w:sz w:val="20"/>
          <w:szCs w:val="20"/>
        </w:rPr>
      </w:pPr>
      <w:r>
        <w:rPr>
          <w:rFonts w:ascii="Times New Roman" w:eastAsia="Times New Roman" w:hAnsi="Times New Roman" w:cs="Times New Roman"/>
          <w:b/>
          <w:sz w:val="20"/>
          <w:szCs w:val="20"/>
        </w:rPr>
        <w:t>28 USC § 1406: Cure or Waiv</w:t>
      </w:r>
      <w:r>
        <w:rPr>
          <w:rFonts w:ascii="Times New Roman" w:eastAsia="Times New Roman" w:hAnsi="Times New Roman" w:cs="Times New Roman"/>
          <w:b/>
          <w:sz w:val="20"/>
          <w:szCs w:val="20"/>
        </w:rPr>
        <w:t>er of Defects</w:t>
      </w:r>
    </w:p>
    <w:p w:rsidR="00E45F3B" w:rsidRDefault="006A3871">
      <w:pPr>
        <w:numPr>
          <w:ilvl w:val="1"/>
          <w:numId w:val="1"/>
        </w:numPr>
        <w:contextualSpacing/>
        <w:rPr>
          <w:rFonts w:ascii="Times New Roman" w:eastAsia="Times New Roman" w:hAnsi="Times New Roman" w:cs="Times New Roman"/>
          <w:sz w:val="20"/>
          <w:szCs w:val="20"/>
        </w:rPr>
      </w:pPr>
      <w:r>
        <w:rPr>
          <w:rFonts w:ascii="Times New Roman" w:eastAsia="Times New Roman" w:hAnsi="Times New Roman" w:cs="Times New Roman"/>
          <w:b/>
          <w:sz w:val="20"/>
          <w:szCs w:val="20"/>
        </w:rPr>
        <w:t>28 USC § 1631: Transfers to Cure Want of Jurisdiction</w:t>
      </w:r>
    </w:p>
    <w:p w:rsidR="00E45F3B" w:rsidRDefault="00E45F3B">
      <w:pPr>
        <w:ind w:left="720"/>
        <w:rPr>
          <w:rFonts w:ascii="Times New Roman" w:eastAsia="Times New Roman" w:hAnsi="Times New Roman" w:cs="Times New Roman"/>
          <w:b/>
          <w:sz w:val="20"/>
          <w:szCs w:val="20"/>
        </w:rPr>
      </w:pPr>
    </w:p>
    <w:p w:rsidR="00E45F3B" w:rsidRDefault="006A3871">
      <w:pPr>
        <w:jc w:val="center"/>
        <w:rPr>
          <w:rFonts w:ascii="Times New Roman" w:eastAsia="Times New Roman" w:hAnsi="Times New Roman" w:cs="Times New Roman"/>
          <w:sz w:val="24"/>
          <w:szCs w:val="24"/>
        </w:rPr>
      </w:pPr>
      <w:r>
        <w:rPr>
          <w:rFonts w:ascii="Times New Roman" w:eastAsia="Times New Roman" w:hAnsi="Times New Roman" w:cs="Times New Roman"/>
          <w:sz w:val="24"/>
          <w:szCs w:val="24"/>
        </w:rPr>
        <w:t>Subject Matter Jurisdiction</w:t>
      </w:r>
    </w:p>
    <w:p w:rsidR="00E45F3B" w:rsidRDefault="006A3871">
      <w:pPr>
        <w:numPr>
          <w:ilvl w:val="0"/>
          <w:numId w:val="3"/>
        </w:numPr>
        <w:contextualSpacing/>
        <w:rPr>
          <w:rFonts w:ascii="Times New Roman" w:eastAsia="Times New Roman" w:hAnsi="Times New Roman" w:cs="Times New Roman"/>
          <w:sz w:val="20"/>
          <w:szCs w:val="20"/>
        </w:rPr>
      </w:pPr>
      <w:r>
        <w:rPr>
          <w:rFonts w:ascii="Times New Roman" w:eastAsia="Times New Roman" w:hAnsi="Times New Roman" w:cs="Times New Roman"/>
          <w:sz w:val="20"/>
          <w:szCs w:val="20"/>
        </w:rPr>
        <w:t xml:space="preserve">SMJ – the power to hear a </w:t>
      </w:r>
      <w:r>
        <w:rPr>
          <w:rFonts w:ascii="Times New Roman" w:eastAsia="Times New Roman" w:hAnsi="Times New Roman" w:cs="Times New Roman"/>
          <w:i/>
          <w:sz w:val="20"/>
          <w:szCs w:val="20"/>
        </w:rPr>
        <w:t>kind</w:t>
      </w:r>
      <w:r>
        <w:rPr>
          <w:rFonts w:ascii="Times New Roman" w:eastAsia="Times New Roman" w:hAnsi="Times New Roman" w:cs="Times New Roman"/>
          <w:sz w:val="20"/>
          <w:szCs w:val="20"/>
        </w:rPr>
        <w:t xml:space="preserve"> of case; court needs both PJ and SMJ to hear a case, each independent in that one does not prove the other</w:t>
      </w:r>
    </w:p>
    <w:p w:rsidR="00E45F3B" w:rsidRDefault="006A3871">
      <w:pPr>
        <w:numPr>
          <w:ilvl w:val="1"/>
          <w:numId w:val="3"/>
        </w:numPr>
        <w:contextualSpacing/>
        <w:rPr>
          <w:rFonts w:ascii="Times New Roman" w:eastAsia="Times New Roman" w:hAnsi="Times New Roman" w:cs="Times New Roman"/>
          <w:sz w:val="20"/>
          <w:szCs w:val="20"/>
        </w:rPr>
      </w:pPr>
      <w:r>
        <w:rPr>
          <w:rFonts w:ascii="Times New Roman" w:eastAsia="Times New Roman" w:hAnsi="Times New Roman" w:cs="Times New Roman"/>
          <w:sz w:val="20"/>
          <w:szCs w:val="20"/>
        </w:rPr>
        <w:t>PJ – does this court have the power to hear this particular D</w:t>
      </w:r>
    </w:p>
    <w:p w:rsidR="00E45F3B" w:rsidRDefault="006A3871">
      <w:pPr>
        <w:numPr>
          <w:ilvl w:val="1"/>
          <w:numId w:val="3"/>
        </w:numPr>
        <w:contextualSpacing/>
        <w:rPr>
          <w:rFonts w:ascii="Times New Roman" w:eastAsia="Times New Roman" w:hAnsi="Times New Roman" w:cs="Times New Roman"/>
          <w:sz w:val="20"/>
          <w:szCs w:val="20"/>
        </w:rPr>
      </w:pPr>
      <w:r>
        <w:rPr>
          <w:rFonts w:ascii="Times New Roman" w:eastAsia="Times New Roman" w:hAnsi="Times New Roman" w:cs="Times New Roman"/>
          <w:sz w:val="20"/>
          <w:szCs w:val="20"/>
        </w:rPr>
        <w:t>Venue (transfer, FNC) – is this the most fair and efficient place for the case to be heard</w:t>
      </w:r>
    </w:p>
    <w:p w:rsidR="00E45F3B" w:rsidRDefault="006A3871">
      <w:pPr>
        <w:numPr>
          <w:ilvl w:val="1"/>
          <w:numId w:val="3"/>
        </w:numPr>
        <w:contextualSpacing/>
        <w:rPr>
          <w:rFonts w:ascii="Times New Roman" w:eastAsia="Times New Roman" w:hAnsi="Times New Roman" w:cs="Times New Roman"/>
          <w:sz w:val="20"/>
          <w:szCs w:val="20"/>
        </w:rPr>
      </w:pPr>
      <w:r>
        <w:rPr>
          <w:rFonts w:ascii="Times New Roman" w:eastAsia="Times New Roman" w:hAnsi="Times New Roman" w:cs="Times New Roman"/>
          <w:sz w:val="20"/>
          <w:szCs w:val="20"/>
        </w:rPr>
        <w:t>SMJ – does the federal or state court (or both) have the power to hear this case</w:t>
      </w:r>
    </w:p>
    <w:p w:rsidR="00E45F3B" w:rsidRDefault="006A3871">
      <w:pPr>
        <w:numPr>
          <w:ilvl w:val="2"/>
          <w:numId w:val="3"/>
        </w:numPr>
        <w:contextualSpacing/>
        <w:rPr>
          <w:rFonts w:ascii="Times New Roman" w:eastAsia="Times New Roman" w:hAnsi="Times New Roman" w:cs="Times New Roman"/>
          <w:sz w:val="20"/>
          <w:szCs w:val="20"/>
        </w:rPr>
      </w:pPr>
      <w:r>
        <w:rPr>
          <w:rFonts w:ascii="Times New Roman" w:eastAsia="Times New Roman" w:hAnsi="Times New Roman" w:cs="Times New Roman"/>
          <w:sz w:val="20"/>
          <w:szCs w:val="20"/>
        </w:rPr>
        <w:t xml:space="preserve">Statutory sources: §§ </w:t>
      </w:r>
      <w:r>
        <w:rPr>
          <w:rFonts w:ascii="Times New Roman" w:eastAsia="Times New Roman" w:hAnsi="Times New Roman" w:cs="Times New Roman"/>
          <w:sz w:val="20"/>
          <w:szCs w:val="20"/>
        </w:rPr>
        <w:t>1331, 1332</w:t>
      </w:r>
    </w:p>
    <w:p w:rsidR="00E45F3B" w:rsidRDefault="006A3871">
      <w:pPr>
        <w:numPr>
          <w:ilvl w:val="2"/>
          <w:numId w:val="3"/>
        </w:numPr>
        <w:contextualSpacing/>
        <w:rPr>
          <w:rFonts w:ascii="Times New Roman" w:eastAsia="Times New Roman" w:hAnsi="Times New Roman" w:cs="Times New Roman"/>
          <w:sz w:val="20"/>
          <w:szCs w:val="20"/>
        </w:rPr>
      </w:pPr>
      <w:r>
        <w:rPr>
          <w:rFonts w:ascii="Times New Roman" w:eastAsia="Times New Roman" w:hAnsi="Times New Roman" w:cs="Times New Roman"/>
          <w:sz w:val="20"/>
          <w:szCs w:val="20"/>
        </w:rPr>
        <w:t>Constitutional source: Art. III, Sec. 2, Congress can limit cases that inferior courts can hear</w:t>
      </w:r>
    </w:p>
    <w:p w:rsidR="00E45F3B" w:rsidRDefault="006A3871">
      <w:pPr>
        <w:numPr>
          <w:ilvl w:val="1"/>
          <w:numId w:val="3"/>
        </w:numPr>
        <w:contextualSpacing/>
        <w:rPr>
          <w:rFonts w:ascii="Times New Roman" w:eastAsia="Times New Roman" w:hAnsi="Times New Roman" w:cs="Times New Roman"/>
          <w:sz w:val="20"/>
          <w:szCs w:val="20"/>
        </w:rPr>
      </w:pPr>
      <w:r>
        <w:rPr>
          <w:rFonts w:ascii="Times New Roman" w:eastAsia="Times New Roman" w:hAnsi="Times New Roman" w:cs="Times New Roman"/>
          <w:sz w:val="20"/>
          <w:szCs w:val="20"/>
        </w:rPr>
        <w:t>Exclusive v. Concurrent SMJ (cases where both federal and state can hear – large, exclusive – small)</w:t>
      </w:r>
    </w:p>
    <w:p w:rsidR="00E45F3B" w:rsidRDefault="006A3871">
      <w:pPr>
        <w:numPr>
          <w:ilvl w:val="0"/>
          <w:numId w:val="3"/>
        </w:numPr>
        <w:contextualSpacing/>
        <w:rPr>
          <w:rFonts w:ascii="Times New Roman" w:eastAsia="Times New Roman" w:hAnsi="Times New Roman" w:cs="Times New Roman"/>
          <w:sz w:val="20"/>
          <w:szCs w:val="20"/>
        </w:rPr>
      </w:pPr>
      <w:r>
        <w:rPr>
          <w:rFonts w:ascii="Times New Roman" w:eastAsia="Times New Roman" w:hAnsi="Times New Roman" w:cs="Times New Roman"/>
          <w:sz w:val="20"/>
          <w:szCs w:val="20"/>
        </w:rPr>
        <w:t>Federal Question JD</w:t>
      </w:r>
    </w:p>
    <w:p w:rsidR="00E45F3B" w:rsidRDefault="006A3871">
      <w:pPr>
        <w:numPr>
          <w:ilvl w:val="1"/>
          <w:numId w:val="3"/>
        </w:numPr>
        <w:contextualSpacing/>
        <w:rPr>
          <w:rFonts w:ascii="Times New Roman" w:eastAsia="Times New Roman" w:hAnsi="Times New Roman" w:cs="Times New Roman"/>
          <w:sz w:val="20"/>
          <w:szCs w:val="20"/>
        </w:rPr>
      </w:pPr>
      <w:r>
        <w:rPr>
          <w:rFonts w:ascii="Times New Roman" w:eastAsia="Times New Roman" w:hAnsi="Times New Roman" w:cs="Times New Roman"/>
          <w:i/>
          <w:color w:val="FF0000"/>
          <w:sz w:val="20"/>
          <w:szCs w:val="20"/>
        </w:rPr>
        <w:t>Louisville &amp; Nashville Railr</w:t>
      </w:r>
      <w:r>
        <w:rPr>
          <w:rFonts w:ascii="Times New Roman" w:eastAsia="Times New Roman" w:hAnsi="Times New Roman" w:cs="Times New Roman"/>
          <w:i/>
          <w:color w:val="FF0000"/>
          <w:sz w:val="20"/>
          <w:szCs w:val="20"/>
        </w:rPr>
        <w:t xml:space="preserve">oad v. Mottley </w:t>
      </w:r>
      <w:r>
        <w:rPr>
          <w:rFonts w:ascii="Times New Roman" w:eastAsia="Times New Roman" w:hAnsi="Times New Roman" w:cs="Times New Roman"/>
          <w:color w:val="FF0000"/>
          <w:sz w:val="20"/>
          <w:szCs w:val="20"/>
        </w:rPr>
        <w:t>(SCOTUS, 1908)</w:t>
      </w:r>
    </w:p>
    <w:p w:rsidR="00E45F3B" w:rsidRDefault="006A3871">
      <w:pPr>
        <w:ind w:left="1440"/>
        <w:rPr>
          <w:rFonts w:ascii="Times New Roman" w:eastAsia="Times New Roman" w:hAnsi="Times New Roman" w:cs="Times New Roman"/>
          <w:color w:val="FF0000"/>
          <w:sz w:val="20"/>
          <w:szCs w:val="20"/>
        </w:rPr>
      </w:pPr>
      <w:r>
        <w:rPr>
          <w:rFonts w:ascii="Times New Roman" w:eastAsia="Times New Roman" w:hAnsi="Times New Roman" w:cs="Times New Roman"/>
          <w:b/>
          <w:color w:val="FF0000"/>
          <w:sz w:val="20"/>
          <w:szCs w:val="20"/>
        </w:rPr>
        <w:lastRenderedPageBreak/>
        <w:t xml:space="preserve">F: </w:t>
      </w:r>
      <w:r>
        <w:rPr>
          <w:rFonts w:ascii="Times New Roman" w:eastAsia="Times New Roman" w:hAnsi="Times New Roman" w:cs="Times New Roman"/>
          <w:color w:val="FF0000"/>
          <w:sz w:val="20"/>
          <w:szCs w:val="20"/>
        </w:rPr>
        <w:t>Ps injured on RR, RR gives lifetime passes as settlement, federal statute later passed forbidding use of free passes on RRs, Ps sue claiming improper interpretation of statute, violation of due process (BUT federal issues to be raised in defenses, suing fo</w:t>
      </w:r>
      <w:r>
        <w:rPr>
          <w:rFonts w:ascii="Times New Roman" w:eastAsia="Times New Roman" w:hAnsi="Times New Roman" w:cs="Times New Roman"/>
          <w:color w:val="FF0000"/>
          <w:sz w:val="20"/>
          <w:szCs w:val="20"/>
        </w:rPr>
        <w:t>r breach of K)</w:t>
      </w:r>
    </w:p>
    <w:p w:rsidR="00E45F3B" w:rsidRDefault="006A3871">
      <w:pPr>
        <w:ind w:left="1440"/>
        <w:rPr>
          <w:rFonts w:ascii="Times New Roman" w:eastAsia="Times New Roman" w:hAnsi="Times New Roman" w:cs="Times New Roman"/>
          <w:color w:val="FF0000"/>
          <w:sz w:val="20"/>
          <w:szCs w:val="20"/>
          <w:u w:val="single"/>
        </w:rPr>
      </w:pPr>
      <w:r>
        <w:rPr>
          <w:rFonts w:ascii="Times New Roman" w:eastAsia="Times New Roman" w:hAnsi="Times New Roman" w:cs="Times New Roman"/>
          <w:b/>
          <w:color w:val="FF0000"/>
          <w:sz w:val="20"/>
          <w:szCs w:val="20"/>
        </w:rPr>
        <w:t>H:</w:t>
      </w:r>
      <w:r>
        <w:rPr>
          <w:rFonts w:ascii="Times New Roman" w:eastAsia="Times New Roman" w:hAnsi="Times New Roman" w:cs="Times New Roman"/>
          <w:color w:val="FF0000"/>
          <w:sz w:val="20"/>
          <w:szCs w:val="20"/>
        </w:rPr>
        <w:t xml:space="preserve"> No SMJ, court raises issue on own </w:t>
      </w:r>
      <w:r>
        <w:rPr>
          <w:rFonts w:ascii="Times New Roman" w:eastAsia="Times New Roman" w:hAnsi="Times New Roman" w:cs="Times New Roman"/>
          <w:i/>
          <w:color w:val="FF0000"/>
          <w:sz w:val="20"/>
          <w:szCs w:val="20"/>
        </w:rPr>
        <w:t>sua sponte</w:t>
      </w:r>
      <w:r>
        <w:rPr>
          <w:rFonts w:ascii="Cardo" w:eastAsia="Cardo" w:hAnsi="Cardo" w:cs="Cardo"/>
          <w:color w:val="FF0000"/>
          <w:sz w:val="20"/>
          <w:szCs w:val="20"/>
        </w:rPr>
        <w:t xml:space="preserve"> per FRCP Rule 12(h)(3); Federal courts have SMJ over cases that “arise out” of federal constitutional claims, federal statute, and treaties (Ps alleged federal issues as part of complaint but h</w:t>
      </w:r>
      <w:r>
        <w:rPr>
          <w:rFonts w:ascii="Cardo" w:eastAsia="Cardo" w:hAnsi="Cardo" w:cs="Cardo"/>
          <w:color w:val="FF0000"/>
          <w:sz w:val="20"/>
          <w:szCs w:val="20"/>
        </w:rPr>
        <w:t xml:space="preserve">eart of COA is breach of K) → </w:t>
      </w:r>
      <w:r>
        <w:rPr>
          <w:rFonts w:ascii="Times New Roman" w:eastAsia="Times New Roman" w:hAnsi="Times New Roman" w:cs="Times New Roman"/>
          <w:color w:val="FF0000"/>
          <w:sz w:val="20"/>
          <w:szCs w:val="20"/>
          <w:u w:val="single"/>
        </w:rPr>
        <w:t>well-pleaded complaint rule</w:t>
      </w:r>
    </w:p>
    <w:p w:rsidR="00E45F3B" w:rsidRDefault="006A3871">
      <w:pPr>
        <w:ind w:left="1440"/>
        <w:rPr>
          <w:rFonts w:ascii="Times New Roman" w:eastAsia="Times New Roman" w:hAnsi="Times New Roman" w:cs="Times New Roman"/>
          <w:color w:val="FF0000"/>
          <w:sz w:val="20"/>
          <w:szCs w:val="20"/>
        </w:rPr>
      </w:pPr>
      <w:r>
        <w:rPr>
          <w:rFonts w:ascii="Times New Roman" w:eastAsia="Times New Roman" w:hAnsi="Times New Roman" w:cs="Times New Roman"/>
          <w:b/>
          <w:color w:val="FF0000"/>
          <w:sz w:val="20"/>
          <w:szCs w:val="20"/>
        </w:rPr>
        <w:t>Subsequent History:</w:t>
      </w:r>
      <w:r>
        <w:rPr>
          <w:rFonts w:ascii="Cardo" w:eastAsia="Cardo" w:hAnsi="Cardo" w:cs="Cardo"/>
          <w:color w:val="FF0000"/>
          <w:sz w:val="20"/>
          <w:szCs w:val="20"/>
        </w:rPr>
        <w:t xml:space="preserve"> Mottleys refiled in state court and appealed back up to SCOTUS who dismissed on its merits → able to hear this time around because SCOTUS has appellate SMJ not original SMJ, constitutional meaning (Art. III) of “arising under” broader than statutory meani</w:t>
      </w:r>
      <w:r>
        <w:rPr>
          <w:rFonts w:ascii="Cardo" w:eastAsia="Cardo" w:hAnsi="Cardo" w:cs="Cardo"/>
          <w:color w:val="FF0000"/>
          <w:sz w:val="20"/>
          <w:szCs w:val="20"/>
        </w:rPr>
        <w:t>ng (§ 1331)</w:t>
      </w:r>
    </w:p>
    <w:p w:rsidR="00E45F3B" w:rsidRDefault="006A3871">
      <w:pPr>
        <w:numPr>
          <w:ilvl w:val="1"/>
          <w:numId w:val="3"/>
        </w:numPr>
        <w:contextualSpacing/>
        <w:rPr>
          <w:rFonts w:ascii="Times New Roman" w:eastAsia="Times New Roman" w:hAnsi="Times New Roman" w:cs="Times New Roman"/>
          <w:sz w:val="20"/>
          <w:szCs w:val="20"/>
        </w:rPr>
      </w:pPr>
      <w:r>
        <w:rPr>
          <w:rFonts w:ascii="Times New Roman" w:eastAsia="Times New Roman" w:hAnsi="Times New Roman" w:cs="Times New Roman"/>
          <w:sz w:val="20"/>
          <w:szCs w:val="20"/>
        </w:rPr>
        <w:t>Federal Question Jurisdiction (28 U.S.C. § 1331)</w:t>
      </w:r>
    </w:p>
    <w:p w:rsidR="00E45F3B" w:rsidRDefault="006A3871">
      <w:pPr>
        <w:numPr>
          <w:ilvl w:val="2"/>
          <w:numId w:val="3"/>
        </w:numPr>
        <w:contextualSpacing/>
        <w:rPr>
          <w:rFonts w:ascii="Times New Roman" w:eastAsia="Times New Roman" w:hAnsi="Times New Roman" w:cs="Times New Roman"/>
          <w:sz w:val="20"/>
          <w:szCs w:val="20"/>
        </w:rPr>
      </w:pPr>
      <w:r>
        <w:rPr>
          <w:rFonts w:ascii="Times New Roman" w:eastAsia="Times New Roman" w:hAnsi="Times New Roman" w:cs="Times New Roman"/>
          <w:sz w:val="20"/>
          <w:szCs w:val="20"/>
        </w:rPr>
        <w:t>Is the COA created by federal law?</w:t>
      </w:r>
    </w:p>
    <w:p w:rsidR="00E45F3B" w:rsidRDefault="006A3871">
      <w:pPr>
        <w:numPr>
          <w:ilvl w:val="3"/>
          <w:numId w:val="3"/>
        </w:numPr>
        <w:contextualSpacing/>
        <w:rPr>
          <w:rFonts w:ascii="Times New Roman" w:eastAsia="Times New Roman" w:hAnsi="Times New Roman" w:cs="Times New Roman"/>
          <w:sz w:val="20"/>
          <w:szCs w:val="20"/>
        </w:rPr>
      </w:pPr>
      <w:r>
        <w:rPr>
          <w:rFonts w:ascii="Times New Roman" w:eastAsia="Times New Roman" w:hAnsi="Times New Roman" w:cs="Times New Roman"/>
          <w:sz w:val="20"/>
          <w:szCs w:val="20"/>
        </w:rPr>
        <w:t>If yes, the claim arises under federal law and there is federal question JD</w:t>
      </w:r>
    </w:p>
    <w:p w:rsidR="00E45F3B" w:rsidRDefault="006A3871">
      <w:pPr>
        <w:numPr>
          <w:ilvl w:val="2"/>
          <w:numId w:val="3"/>
        </w:numPr>
        <w:contextualSpacing/>
        <w:rPr>
          <w:rFonts w:ascii="Times New Roman" w:eastAsia="Times New Roman" w:hAnsi="Times New Roman" w:cs="Times New Roman"/>
          <w:sz w:val="20"/>
          <w:szCs w:val="20"/>
        </w:rPr>
      </w:pPr>
      <w:r>
        <w:rPr>
          <w:rFonts w:ascii="Times New Roman" w:eastAsia="Times New Roman" w:hAnsi="Times New Roman" w:cs="Times New Roman"/>
          <w:sz w:val="20"/>
          <w:szCs w:val="20"/>
        </w:rPr>
        <w:t>Is the COA a state law claim with a federal question as an essential ingredient?</w:t>
      </w:r>
    </w:p>
    <w:p w:rsidR="00E45F3B" w:rsidRDefault="006A3871">
      <w:pPr>
        <w:numPr>
          <w:ilvl w:val="3"/>
          <w:numId w:val="3"/>
        </w:numPr>
        <w:contextualSpacing/>
        <w:rPr>
          <w:rFonts w:ascii="Times New Roman" w:eastAsia="Times New Roman" w:hAnsi="Times New Roman" w:cs="Times New Roman"/>
          <w:sz w:val="20"/>
          <w:szCs w:val="20"/>
        </w:rPr>
      </w:pPr>
      <w:r>
        <w:rPr>
          <w:rFonts w:ascii="Times New Roman" w:eastAsia="Times New Roman" w:hAnsi="Times New Roman" w:cs="Times New Roman"/>
          <w:sz w:val="20"/>
          <w:szCs w:val="20"/>
        </w:rPr>
        <w:t xml:space="preserve">If </w:t>
      </w:r>
      <w:r>
        <w:rPr>
          <w:rFonts w:ascii="Times New Roman" w:eastAsia="Times New Roman" w:hAnsi="Times New Roman" w:cs="Times New Roman"/>
          <w:sz w:val="20"/>
          <w:szCs w:val="20"/>
        </w:rPr>
        <w:t>yes, does the federal issue arise as part of the claim?</w:t>
      </w:r>
    </w:p>
    <w:p w:rsidR="00E45F3B" w:rsidRDefault="006A3871">
      <w:pPr>
        <w:numPr>
          <w:ilvl w:val="4"/>
          <w:numId w:val="3"/>
        </w:numPr>
        <w:contextualSpacing/>
        <w:rPr>
          <w:rFonts w:ascii="Times New Roman" w:eastAsia="Times New Roman" w:hAnsi="Times New Roman" w:cs="Times New Roman"/>
          <w:sz w:val="20"/>
          <w:szCs w:val="20"/>
        </w:rPr>
      </w:pPr>
      <w:r>
        <w:rPr>
          <w:rFonts w:ascii="Times New Roman" w:eastAsia="Times New Roman" w:hAnsi="Times New Roman" w:cs="Times New Roman"/>
          <w:sz w:val="20"/>
          <w:szCs w:val="20"/>
        </w:rPr>
        <w:t>If yes as part of the claim, there is federal question JD</w:t>
      </w:r>
    </w:p>
    <w:p w:rsidR="00E45F3B" w:rsidRDefault="006A3871">
      <w:pPr>
        <w:numPr>
          <w:ilvl w:val="3"/>
          <w:numId w:val="3"/>
        </w:numPr>
        <w:contextualSpacing/>
        <w:rPr>
          <w:rFonts w:ascii="Times New Roman" w:eastAsia="Times New Roman" w:hAnsi="Times New Roman" w:cs="Times New Roman"/>
          <w:sz w:val="20"/>
          <w:szCs w:val="20"/>
        </w:rPr>
      </w:pPr>
      <w:r>
        <w:rPr>
          <w:rFonts w:ascii="Times New Roman" w:eastAsia="Times New Roman" w:hAnsi="Times New Roman" w:cs="Times New Roman"/>
          <w:sz w:val="20"/>
          <w:szCs w:val="20"/>
        </w:rPr>
        <w:t xml:space="preserve">Or the defense (or the plaintiff’s reply to the defense, i.e. </w:t>
      </w:r>
      <w:r>
        <w:rPr>
          <w:rFonts w:ascii="Times New Roman" w:eastAsia="Times New Roman" w:hAnsi="Times New Roman" w:cs="Times New Roman"/>
          <w:i/>
          <w:sz w:val="20"/>
          <w:szCs w:val="20"/>
        </w:rPr>
        <w:t>Mottley</w:t>
      </w:r>
      <w:r>
        <w:rPr>
          <w:rFonts w:ascii="Times New Roman" w:eastAsia="Times New Roman" w:hAnsi="Times New Roman" w:cs="Times New Roman"/>
          <w:sz w:val="20"/>
          <w:szCs w:val="20"/>
        </w:rPr>
        <w:t>)</w:t>
      </w:r>
    </w:p>
    <w:p w:rsidR="00E45F3B" w:rsidRDefault="006A3871">
      <w:pPr>
        <w:numPr>
          <w:ilvl w:val="4"/>
          <w:numId w:val="3"/>
        </w:numPr>
        <w:contextualSpacing/>
        <w:rPr>
          <w:rFonts w:ascii="Times New Roman" w:eastAsia="Times New Roman" w:hAnsi="Times New Roman" w:cs="Times New Roman"/>
          <w:sz w:val="20"/>
          <w:szCs w:val="20"/>
        </w:rPr>
      </w:pPr>
      <w:r>
        <w:rPr>
          <w:rFonts w:ascii="Times New Roman" w:eastAsia="Times New Roman" w:hAnsi="Times New Roman" w:cs="Times New Roman"/>
          <w:sz w:val="20"/>
          <w:szCs w:val="20"/>
        </w:rPr>
        <w:t>If yes in the defense, then no federal question JD</w:t>
      </w:r>
    </w:p>
    <w:p w:rsidR="00E45F3B" w:rsidRDefault="006A3871">
      <w:pPr>
        <w:ind w:left="720"/>
        <w:rPr>
          <w:rFonts w:ascii="Times New Roman" w:eastAsia="Times New Roman" w:hAnsi="Times New Roman" w:cs="Times New Roman"/>
          <w:sz w:val="20"/>
          <w:szCs w:val="20"/>
        </w:rPr>
      </w:pPr>
      <w:r>
        <w:rPr>
          <w:rFonts w:ascii="Cardo" w:eastAsia="Cardo" w:hAnsi="Cardo" w:cs="Cardo"/>
          <w:sz w:val="20"/>
          <w:szCs w:val="20"/>
        </w:rPr>
        <w:tab/>
        <w:t xml:space="preserve">→ Court can review </w:t>
      </w:r>
      <w:r>
        <w:rPr>
          <w:rFonts w:ascii="Cardo" w:eastAsia="Cardo" w:hAnsi="Cardo" w:cs="Cardo"/>
          <w:sz w:val="20"/>
          <w:szCs w:val="20"/>
        </w:rPr>
        <w:t>SMJ at any point in case/trial</w:t>
      </w:r>
    </w:p>
    <w:p w:rsidR="00E45F3B" w:rsidRDefault="006A3871">
      <w:pPr>
        <w:ind w:left="720" w:firstLine="720"/>
        <w:rPr>
          <w:rFonts w:ascii="Times New Roman" w:eastAsia="Times New Roman" w:hAnsi="Times New Roman" w:cs="Times New Roman"/>
          <w:sz w:val="20"/>
          <w:szCs w:val="20"/>
        </w:rPr>
      </w:pPr>
      <w:r>
        <w:rPr>
          <w:rFonts w:ascii="Cardo" w:eastAsia="Cardo" w:hAnsi="Cardo" w:cs="Cardo"/>
          <w:sz w:val="20"/>
          <w:szCs w:val="20"/>
        </w:rPr>
        <w:t>→ Parties cannot waive SMJ in federal court (think framers – federal imposition on states’ rights)</w:t>
      </w:r>
    </w:p>
    <w:p w:rsidR="00E45F3B" w:rsidRDefault="006A3871">
      <w:pPr>
        <w:numPr>
          <w:ilvl w:val="1"/>
          <w:numId w:val="3"/>
        </w:numPr>
        <w:contextualSpacing/>
        <w:rPr>
          <w:rFonts w:ascii="Times New Roman" w:eastAsia="Times New Roman" w:hAnsi="Times New Roman" w:cs="Times New Roman"/>
          <w:sz w:val="20"/>
          <w:szCs w:val="20"/>
        </w:rPr>
      </w:pPr>
      <w:r>
        <w:rPr>
          <w:rFonts w:ascii="Times New Roman" w:eastAsia="Times New Roman" w:hAnsi="Times New Roman" w:cs="Times New Roman"/>
          <w:b/>
          <w:sz w:val="20"/>
          <w:szCs w:val="20"/>
        </w:rPr>
        <w:t>28 USC § 1331: Federal Question</w:t>
      </w:r>
    </w:p>
    <w:p w:rsidR="00E45F3B" w:rsidRDefault="006A3871">
      <w:pPr>
        <w:numPr>
          <w:ilvl w:val="1"/>
          <w:numId w:val="3"/>
        </w:numPr>
        <w:contextualSpacing/>
        <w:rPr>
          <w:rFonts w:ascii="Times New Roman" w:eastAsia="Times New Roman" w:hAnsi="Times New Roman" w:cs="Times New Roman"/>
          <w:sz w:val="20"/>
          <w:szCs w:val="20"/>
        </w:rPr>
      </w:pPr>
      <w:r>
        <w:rPr>
          <w:rFonts w:ascii="Times New Roman" w:eastAsia="Times New Roman" w:hAnsi="Times New Roman" w:cs="Times New Roman"/>
          <w:b/>
          <w:sz w:val="20"/>
          <w:szCs w:val="20"/>
        </w:rPr>
        <w:t>FRCP 12(b): How to Present Defenses</w:t>
      </w:r>
    </w:p>
    <w:p w:rsidR="00E45F3B" w:rsidRDefault="006A3871">
      <w:pPr>
        <w:numPr>
          <w:ilvl w:val="1"/>
          <w:numId w:val="3"/>
        </w:numPr>
        <w:contextualSpacing/>
        <w:rPr>
          <w:rFonts w:ascii="Times New Roman" w:eastAsia="Times New Roman" w:hAnsi="Times New Roman" w:cs="Times New Roman"/>
          <w:sz w:val="20"/>
          <w:szCs w:val="20"/>
        </w:rPr>
      </w:pPr>
      <w:r>
        <w:rPr>
          <w:rFonts w:ascii="Times New Roman" w:eastAsia="Times New Roman" w:hAnsi="Times New Roman" w:cs="Times New Roman"/>
          <w:b/>
          <w:sz w:val="20"/>
          <w:szCs w:val="20"/>
        </w:rPr>
        <w:t>FRCP 12(h): Waiving and Preserving Certain Defenses</w:t>
      </w:r>
    </w:p>
    <w:p w:rsidR="00E45F3B" w:rsidRDefault="006A3871">
      <w:pPr>
        <w:numPr>
          <w:ilvl w:val="0"/>
          <w:numId w:val="3"/>
        </w:numPr>
        <w:contextualSpacing/>
        <w:rPr>
          <w:rFonts w:ascii="Times New Roman" w:eastAsia="Times New Roman" w:hAnsi="Times New Roman" w:cs="Times New Roman"/>
          <w:sz w:val="20"/>
          <w:szCs w:val="20"/>
        </w:rPr>
      </w:pPr>
      <w:r>
        <w:rPr>
          <w:rFonts w:ascii="Times New Roman" w:eastAsia="Times New Roman" w:hAnsi="Times New Roman" w:cs="Times New Roman"/>
          <w:sz w:val="20"/>
          <w:szCs w:val="20"/>
        </w:rPr>
        <w:t>Divers</w:t>
      </w:r>
      <w:r>
        <w:rPr>
          <w:rFonts w:ascii="Times New Roman" w:eastAsia="Times New Roman" w:hAnsi="Times New Roman" w:cs="Times New Roman"/>
          <w:sz w:val="20"/>
          <w:szCs w:val="20"/>
        </w:rPr>
        <w:t>ity JD</w:t>
      </w:r>
    </w:p>
    <w:p w:rsidR="00E45F3B" w:rsidRDefault="006A3871">
      <w:pPr>
        <w:numPr>
          <w:ilvl w:val="1"/>
          <w:numId w:val="3"/>
        </w:numPr>
        <w:contextualSpacing/>
        <w:rPr>
          <w:rFonts w:ascii="Times New Roman" w:eastAsia="Times New Roman" w:hAnsi="Times New Roman" w:cs="Times New Roman"/>
          <w:sz w:val="20"/>
          <w:szCs w:val="20"/>
        </w:rPr>
      </w:pPr>
      <w:r>
        <w:rPr>
          <w:rFonts w:ascii="Times New Roman" w:eastAsia="Times New Roman" w:hAnsi="Times New Roman" w:cs="Times New Roman"/>
          <w:i/>
          <w:color w:val="FF0000"/>
          <w:sz w:val="20"/>
          <w:szCs w:val="20"/>
        </w:rPr>
        <w:t xml:space="preserve">Hawkins v. Masters Farms, Inc. </w:t>
      </w:r>
      <w:r>
        <w:rPr>
          <w:rFonts w:ascii="Times New Roman" w:eastAsia="Times New Roman" w:hAnsi="Times New Roman" w:cs="Times New Roman"/>
          <w:color w:val="FF0000"/>
          <w:sz w:val="20"/>
          <w:szCs w:val="20"/>
        </w:rPr>
        <w:t>(D. Kan., 2003)</w:t>
      </w:r>
    </w:p>
    <w:p w:rsidR="00E45F3B" w:rsidRDefault="006A3871">
      <w:pPr>
        <w:ind w:left="1440"/>
        <w:rPr>
          <w:rFonts w:ascii="Times New Roman" w:eastAsia="Times New Roman" w:hAnsi="Times New Roman" w:cs="Times New Roman"/>
          <w:color w:val="FF0000"/>
          <w:sz w:val="20"/>
          <w:szCs w:val="20"/>
        </w:rPr>
      </w:pPr>
      <w:r>
        <w:rPr>
          <w:rFonts w:ascii="Times New Roman" w:eastAsia="Times New Roman" w:hAnsi="Times New Roman" w:cs="Times New Roman"/>
          <w:b/>
          <w:color w:val="FF0000"/>
          <w:sz w:val="20"/>
          <w:szCs w:val="20"/>
        </w:rPr>
        <w:t>H:</w:t>
      </w:r>
      <w:r>
        <w:rPr>
          <w:rFonts w:ascii="Times New Roman" w:eastAsia="Times New Roman" w:hAnsi="Times New Roman" w:cs="Times New Roman"/>
          <w:color w:val="FF0000"/>
          <w:sz w:val="20"/>
          <w:szCs w:val="20"/>
        </w:rPr>
        <w:t xml:space="preserve"> No diversity JD; Test for state citizenship: Domicile established by a physical presence and intent to remain – applied here, residence in KS, moved personal stuff, married KS citizen, in KS most of the time, pai for house/bills in KS, joint checking acco</w:t>
      </w:r>
      <w:r>
        <w:rPr>
          <w:rFonts w:ascii="Times New Roman" w:eastAsia="Times New Roman" w:hAnsi="Times New Roman" w:cs="Times New Roman"/>
          <w:color w:val="FF0000"/>
          <w:sz w:val="20"/>
          <w:szCs w:val="20"/>
        </w:rPr>
        <w:t xml:space="preserve">unt in KS, death certificate listed as KS resident, sleeping in KS, visiting mother in MO but less and less (~once/week), license in MO, supposedly considering moving to MO but had not began looking at houses; case suggests that had they leased a place in </w:t>
      </w:r>
      <w:r>
        <w:rPr>
          <w:rFonts w:ascii="Times New Roman" w:eastAsia="Times New Roman" w:hAnsi="Times New Roman" w:cs="Times New Roman"/>
          <w:color w:val="FF0000"/>
          <w:sz w:val="20"/>
          <w:szCs w:val="20"/>
        </w:rPr>
        <w:t>MO, could have been enough to establish SMJ because intent to relocate/not remain in KS</w:t>
      </w:r>
    </w:p>
    <w:p w:rsidR="00E45F3B" w:rsidRDefault="006A3871">
      <w:pPr>
        <w:numPr>
          <w:ilvl w:val="1"/>
          <w:numId w:val="3"/>
        </w:numPr>
        <w:contextualSpacing/>
        <w:rPr>
          <w:rFonts w:ascii="Times New Roman" w:eastAsia="Times New Roman" w:hAnsi="Times New Roman" w:cs="Times New Roman"/>
          <w:sz w:val="20"/>
          <w:szCs w:val="20"/>
        </w:rPr>
      </w:pPr>
      <w:r>
        <w:rPr>
          <w:rFonts w:ascii="Times New Roman" w:eastAsia="Times New Roman" w:hAnsi="Times New Roman" w:cs="Times New Roman"/>
          <w:i/>
          <w:color w:val="FF0000"/>
          <w:sz w:val="20"/>
          <w:szCs w:val="20"/>
        </w:rPr>
        <w:t xml:space="preserve">Redner v. Sanders </w:t>
      </w:r>
      <w:r>
        <w:rPr>
          <w:rFonts w:ascii="Times New Roman" w:eastAsia="Times New Roman" w:hAnsi="Times New Roman" w:cs="Times New Roman"/>
          <w:color w:val="FF0000"/>
          <w:sz w:val="20"/>
          <w:szCs w:val="20"/>
        </w:rPr>
        <w:t>(S.D.N.Y., 2000)</w:t>
      </w:r>
    </w:p>
    <w:p w:rsidR="00E45F3B" w:rsidRDefault="006A3871">
      <w:pPr>
        <w:ind w:left="1440"/>
        <w:rPr>
          <w:rFonts w:ascii="Times New Roman" w:eastAsia="Times New Roman" w:hAnsi="Times New Roman" w:cs="Times New Roman"/>
          <w:color w:val="FF0000"/>
          <w:sz w:val="20"/>
          <w:szCs w:val="20"/>
        </w:rPr>
      </w:pPr>
      <w:r>
        <w:rPr>
          <w:rFonts w:ascii="Times New Roman" w:eastAsia="Times New Roman" w:hAnsi="Times New Roman" w:cs="Times New Roman"/>
          <w:b/>
          <w:color w:val="FF0000"/>
          <w:sz w:val="20"/>
          <w:szCs w:val="20"/>
        </w:rPr>
        <w:t>H:</w:t>
      </w:r>
      <w:r>
        <w:rPr>
          <w:rFonts w:ascii="Times New Roman" w:eastAsia="Times New Roman" w:hAnsi="Times New Roman" w:cs="Times New Roman"/>
          <w:color w:val="FF0000"/>
          <w:sz w:val="20"/>
          <w:szCs w:val="20"/>
        </w:rPr>
        <w:t xml:space="preserve"> P, US citizen residing in France, sues two individuals (both residing in NY) and a corporation with PPB in NY, court rejects argum</w:t>
      </w:r>
      <w:r>
        <w:rPr>
          <w:rFonts w:ascii="Times New Roman" w:eastAsia="Times New Roman" w:hAnsi="Times New Roman" w:cs="Times New Roman"/>
          <w:color w:val="FF0000"/>
          <w:sz w:val="20"/>
          <w:szCs w:val="20"/>
        </w:rPr>
        <w:t xml:space="preserve">ents that citizen of France (insufficient per § 1332(a)(2)) or domiciled in California (insufficient per § 1332(a)(1) and </w:t>
      </w:r>
      <w:r>
        <w:rPr>
          <w:rFonts w:ascii="Times New Roman" w:eastAsia="Times New Roman" w:hAnsi="Times New Roman" w:cs="Times New Roman"/>
          <w:i/>
          <w:color w:val="FF0000"/>
          <w:sz w:val="20"/>
          <w:szCs w:val="20"/>
        </w:rPr>
        <w:t>Hawkins</w:t>
      </w:r>
      <w:r>
        <w:rPr>
          <w:rFonts w:ascii="Times New Roman" w:eastAsia="Times New Roman" w:hAnsi="Times New Roman" w:cs="Times New Roman"/>
          <w:color w:val="FF0000"/>
          <w:sz w:val="20"/>
          <w:szCs w:val="20"/>
        </w:rPr>
        <w:t xml:space="preserve"> rule) – P can only sue in NY state or France</w:t>
      </w:r>
    </w:p>
    <w:p w:rsidR="00E45F3B" w:rsidRDefault="006A3871">
      <w:pPr>
        <w:numPr>
          <w:ilvl w:val="2"/>
          <w:numId w:val="3"/>
        </w:numPr>
        <w:contextualSpacing/>
        <w:rPr>
          <w:rFonts w:ascii="Times New Roman" w:eastAsia="Times New Roman" w:hAnsi="Times New Roman" w:cs="Times New Roman"/>
          <w:sz w:val="20"/>
          <w:szCs w:val="20"/>
        </w:rPr>
      </w:pPr>
      <w:r>
        <w:rPr>
          <w:rFonts w:ascii="Times New Roman" w:eastAsia="Times New Roman" w:hAnsi="Times New Roman" w:cs="Times New Roman"/>
          <w:color w:val="FF0000"/>
          <w:sz w:val="20"/>
          <w:szCs w:val="20"/>
        </w:rPr>
        <w:t xml:space="preserve">Rationale: Courts interpret diversity citizenship narrowly (presumption against) </w:t>
      </w:r>
      <w:r>
        <w:rPr>
          <w:rFonts w:ascii="Times New Roman" w:eastAsia="Times New Roman" w:hAnsi="Times New Roman" w:cs="Times New Roman"/>
          <w:color w:val="FF0000"/>
          <w:sz w:val="20"/>
          <w:szCs w:val="20"/>
        </w:rPr>
        <w:t>because federal courts have limited power and diversity cases always concurrent SMJ (otherwise federal Q JD)</w:t>
      </w:r>
    </w:p>
    <w:p w:rsidR="00E45F3B" w:rsidRDefault="006A3871">
      <w:pPr>
        <w:numPr>
          <w:ilvl w:val="2"/>
          <w:numId w:val="3"/>
        </w:numPr>
        <w:contextualSpacing/>
        <w:rPr>
          <w:rFonts w:ascii="Times New Roman" w:eastAsia="Times New Roman" w:hAnsi="Times New Roman" w:cs="Times New Roman"/>
          <w:sz w:val="20"/>
          <w:szCs w:val="20"/>
        </w:rPr>
      </w:pPr>
      <w:r>
        <w:rPr>
          <w:rFonts w:ascii="Times New Roman" w:eastAsia="Times New Roman" w:hAnsi="Times New Roman" w:cs="Times New Roman"/>
          <w:color w:val="FF0000"/>
          <w:sz w:val="20"/>
          <w:szCs w:val="20"/>
        </w:rPr>
        <w:t>Redner could become a citizen of France or establish physical presence and intent to remain in another state [than NY]</w:t>
      </w:r>
    </w:p>
    <w:p w:rsidR="00E45F3B" w:rsidRDefault="006A3871">
      <w:pPr>
        <w:numPr>
          <w:ilvl w:val="1"/>
          <w:numId w:val="3"/>
        </w:numPr>
        <w:contextualSpacing/>
        <w:rPr>
          <w:rFonts w:ascii="Times New Roman" w:eastAsia="Times New Roman" w:hAnsi="Times New Roman" w:cs="Times New Roman"/>
          <w:sz w:val="20"/>
          <w:szCs w:val="20"/>
        </w:rPr>
      </w:pPr>
      <w:r>
        <w:rPr>
          <w:rFonts w:ascii="Times New Roman" w:eastAsia="Times New Roman" w:hAnsi="Times New Roman" w:cs="Times New Roman"/>
          <w:i/>
          <w:color w:val="FF0000"/>
          <w:sz w:val="20"/>
          <w:szCs w:val="20"/>
        </w:rPr>
        <w:t xml:space="preserve">Hertz Corp. v. Friend </w:t>
      </w:r>
      <w:r>
        <w:rPr>
          <w:rFonts w:ascii="Times New Roman" w:eastAsia="Times New Roman" w:hAnsi="Times New Roman" w:cs="Times New Roman"/>
          <w:color w:val="FF0000"/>
          <w:sz w:val="20"/>
          <w:szCs w:val="20"/>
        </w:rPr>
        <w:t>(SCOTUS, 2010)</w:t>
      </w:r>
    </w:p>
    <w:p w:rsidR="00E45F3B" w:rsidRDefault="006A3871">
      <w:pPr>
        <w:ind w:left="720"/>
        <w:rPr>
          <w:rFonts w:ascii="Times New Roman" w:eastAsia="Times New Roman" w:hAnsi="Times New Roman" w:cs="Times New Roman"/>
          <w:color w:val="FF0000"/>
          <w:sz w:val="20"/>
          <w:szCs w:val="20"/>
        </w:rPr>
      </w:pPr>
      <w:r>
        <w:rPr>
          <w:rFonts w:ascii="Times New Roman" w:eastAsia="Times New Roman" w:hAnsi="Times New Roman" w:cs="Times New Roman"/>
          <w:color w:val="FF0000"/>
          <w:sz w:val="20"/>
          <w:szCs w:val="20"/>
        </w:rPr>
        <w:tab/>
      </w:r>
      <w:r>
        <w:rPr>
          <w:rFonts w:ascii="Times New Roman" w:eastAsia="Times New Roman" w:hAnsi="Times New Roman" w:cs="Times New Roman"/>
          <w:b/>
          <w:color w:val="FF0000"/>
          <w:sz w:val="20"/>
          <w:szCs w:val="20"/>
        </w:rPr>
        <w:t>H:</w:t>
      </w:r>
      <w:r>
        <w:rPr>
          <w:rFonts w:ascii="Times New Roman" w:eastAsia="Times New Roman" w:hAnsi="Times New Roman" w:cs="Times New Roman"/>
          <w:color w:val="FF0000"/>
          <w:sz w:val="20"/>
          <w:szCs w:val="20"/>
        </w:rPr>
        <w:t xml:space="preserve"> Partnerships are not corporate entities, must look to citizenship of each partner</w:t>
      </w:r>
    </w:p>
    <w:p w:rsidR="00E45F3B" w:rsidRDefault="006A3871">
      <w:pPr>
        <w:numPr>
          <w:ilvl w:val="1"/>
          <w:numId w:val="3"/>
        </w:numPr>
        <w:contextualSpacing/>
        <w:rPr>
          <w:rFonts w:ascii="Times New Roman" w:eastAsia="Times New Roman" w:hAnsi="Times New Roman" w:cs="Times New Roman"/>
          <w:sz w:val="20"/>
          <w:szCs w:val="20"/>
        </w:rPr>
      </w:pPr>
      <w:r>
        <w:rPr>
          <w:rFonts w:ascii="Times New Roman" w:eastAsia="Times New Roman" w:hAnsi="Times New Roman" w:cs="Times New Roman"/>
          <w:b/>
          <w:sz w:val="20"/>
          <w:szCs w:val="20"/>
        </w:rPr>
        <w:t>28 USC § 1332: Diversity of Citizenship; Amount in Controversy; Costs</w:t>
      </w:r>
    </w:p>
    <w:p w:rsidR="00E45F3B" w:rsidRDefault="006A3871">
      <w:pPr>
        <w:numPr>
          <w:ilvl w:val="1"/>
          <w:numId w:val="3"/>
        </w:numPr>
        <w:contextualSpacing/>
        <w:rPr>
          <w:rFonts w:ascii="Times New Roman" w:eastAsia="Times New Roman" w:hAnsi="Times New Roman" w:cs="Times New Roman"/>
          <w:sz w:val="20"/>
          <w:szCs w:val="20"/>
        </w:rPr>
      </w:pPr>
      <w:r>
        <w:rPr>
          <w:rFonts w:ascii="Times New Roman" w:eastAsia="Times New Roman" w:hAnsi="Times New Roman" w:cs="Times New Roman"/>
          <w:sz w:val="20"/>
          <w:szCs w:val="20"/>
        </w:rPr>
        <w:t>Diversity Jurisdiction (28 U.S.C. § 1332), two requirements</w:t>
      </w:r>
    </w:p>
    <w:p w:rsidR="00E45F3B" w:rsidRDefault="006A3871">
      <w:pPr>
        <w:numPr>
          <w:ilvl w:val="2"/>
          <w:numId w:val="3"/>
        </w:numPr>
        <w:contextualSpacing/>
        <w:rPr>
          <w:rFonts w:ascii="Times New Roman" w:eastAsia="Times New Roman" w:hAnsi="Times New Roman" w:cs="Times New Roman"/>
          <w:sz w:val="20"/>
          <w:szCs w:val="20"/>
        </w:rPr>
      </w:pPr>
      <w:r>
        <w:rPr>
          <w:rFonts w:ascii="Times New Roman" w:eastAsia="Times New Roman" w:hAnsi="Times New Roman" w:cs="Times New Roman"/>
          <w:sz w:val="20"/>
          <w:szCs w:val="20"/>
        </w:rPr>
        <w:t>Is there complete diversi</w:t>
      </w:r>
      <w:r>
        <w:rPr>
          <w:rFonts w:ascii="Times New Roman" w:eastAsia="Times New Roman" w:hAnsi="Times New Roman" w:cs="Times New Roman"/>
          <w:sz w:val="20"/>
          <w:szCs w:val="20"/>
        </w:rPr>
        <w:t xml:space="preserve">ty between the parties </w:t>
      </w:r>
      <w:r>
        <w:rPr>
          <w:rFonts w:ascii="Times New Roman" w:eastAsia="Times New Roman" w:hAnsi="Times New Roman" w:cs="Times New Roman"/>
          <w:sz w:val="20"/>
          <w:szCs w:val="20"/>
          <w:u w:val="single"/>
        </w:rPr>
        <w:t>and</w:t>
      </w:r>
    </w:p>
    <w:p w:rsidR="00E45F3B" w:rsidRDefault="006A3871">
      <w:pPr>
        <w:numPr>
          <w:ilvl w:val="2"/>
          <w:numId w:val="3"/>
        </w:numPr>
        <w:contextualSpacing/>
        <w:rPr>
          <w:rFonts w:ascii="Times New Roman" w:eastAsia="Times New Roman" w:hAnsi="Times New Roman" w:cs="Times New Roman"/>
          <w:sz w:val="20"/>
          <w:szCs w:val="20"/>
        </w:rPr>
      </w:pPr>
      <w:r>
        <w:rPr>
          <w:rFonts w:ascii="Times New Roman" w:eastAsia="Times New Roman" w:hAnsi="Times New Roman" w:cs="Times New Roman"/>
          <w:sz w:val="20"/>
          <w:szCs w:val="20"/>
        </w:rPr>
        <w:t>Does the complaint allege an amount in controversy that exceeds $75,000</w:t>
      </w:r>
    </w:p>
    <w:p w:rsidR="00E45F3B" w:rsidRDefault="006A3871">
      <w:pPr>
        <w:numPr>
          <w:ilvl w:val="3"/>
          <w:numId w:val="3"/>
        </w:numPr>
        <w:contextualSpacing/>
        <w:rPr>
          <w:rFonts w:ascii="Times New Roman" w:eastAsia="Times New Roman" w:hAnsi="Times New Roman" w:cs="Times New Roman"/>
          <w:sz w:val="20"/>
          <w:szCs w:val="20"/>
        </w:rPr>
      </w:pPr>
      <w:r>
        <w:rPr>
          <w:rFonts w:ascii="Times New Roman" w:eastAsia="Times New Roman" w:hAnsi="Times New Roman" w:cs="Times New Roman"/>
          <w:sz w:val="20"/>
          <w:szCs w:val="20"/>
        </w:rPr>
        <w:t>Court’s discretion on AIC, may need hearing over whether damages add up to P’s claimed AIC</w:t>
      </w:r>
    </w:p>
    <w:p w:rsidR="00E45F3B" w:rsidRDefault="006A3871">
      <w:pPr>
        <w:numPr>
          <w:ilvl w:val="2"/>
          <w:numId w:val="3"/>
        </w:numPr>
        <w:contextualSpacing/>
        <w:rPr>
          <w:rFonts w:ascii="Times New Roman" w:eastAsia="Times New Roman" w:hAnsi="Times New Roman" w:cs="Times New Roman"/>
          <w:sz w:val="20"/>
          <w:szCs w:val="20"/>
        </w:rPr>
      </w:pPr>
      <w:r>
        <w:rPr>
          <w:rFonts w:ascii="Times New Roman" w:eastAsia="Times New Roman" w:hAnsi="Times New Roman" w:cs="Times New Roman"/>
          <w:sz w:val="20"/>
          <w:szCs w:val="20"/>
        </w:rPr>
        <w:t>If yes, there is diversity JD, unless D can prove to a legal certa</w:t>
      </w:r>
      <w:r>
        <w:rPr>
          <w:rFonts w:ascii="Times New Roman" w:eastAsia="Times New Roman" w:hAnsi="Times New Roman" w:cs="Times New Roman"/>
          <w:sz w:val="20"/>
          <w:szCs w:val="20"/>
        </w:rPr>
        <w:t>inty (high standard for D to challenge) that the claim is really for less than $75,000</w:t>
      </w:r>
    </w:p>
    <w:p w:rsidR="00E45F3B" w:rsidRDefault="006A3871">
      <w:pPr>
        <w:ind w:left="1440"/>
        <w:rPr>
          <w:rFonts w:ascii="Times New Roman" w:eastAsia="Times New Roman" w:hAnsi="Times New Roman" w:cs="Times New Roman"/>
          <w:sz w:val="20"/>
          <w:szCs w:val="20"/>
        </w:rPr>
      </w:pPr>
      <w:r>
        <w:rPr>
          <w:rFonts w:ascii="Cardo" w:eastAsia="Cardo" w:hAnsi="Cardo" w:cs="Cardo"/>
          <w:sz w:val="20"/>
          <w:szCs w:val="20"/>
        </w:rPr>
        <w:t xml:space="preserve">→ Purpose of AIC: To prevent federal courts from becoming small claims courts and lessen burden on federal court dockets </w:t>
      </w:r>
    </w:p>
    <w:p w:rsidR="00E45F3B" w:rsidRDefault="006A3871">
      <w:pPr>
        <w:numPr>
          <w:ilvl w:val="0"/>
          <w:numId w:val="3"/>
        </w:numPr>
        <w:contextualSpacing/>
        <w:rPr>
          <w:rFonts w:ascii="Times New Roman" w:eastAsia="Times New Roman" w:hAnsi="Times New Roman" w:cs="Times New Roman"/>
          <w:sz w:val="20"/>
          <w:szCs w:val="20"/>
        </w:rPr>
      </w:pPr>
      <w:r>
        <w:rPr>
          <w:rFonts w:ascii="Times New Roman" w:eastAsia="Times New Roman" w:hAnsi="Times New Roman" w:cs="Times New Roman"/>
          <w:sz w:val="20"/>
          <w:szCs w:val="20"/>
        </w:rPr>
        <w:t>Supplemental JD</w:t>
      </w:r>
    </w:p>
    <w:p w:rsidR="00E45F3B" w:rsidRDefault="006A3871">
      <w:pPr>
        <w:numPr>
          <w:ilvl w:val="1"/>
          <w:numId w:val="3"/>
        </w:numPr>
        <w:contextualSpacing/>
        <w:rPr>
          <w:rFonts w:ascii="Times New Roman" w:eastAsia="Times New Roman" w:hAnsi="Times New Roman" w:cs="Times New Roman"/>
          <w:sz w:val="20"/>
          <w:szCs w:val="20"/>
        </w:rPr>
      </w:pPr>
      <w:r>
        <w:rPr>
          <w:rFonts w:ascii="Times New Roman" w:eastAsia="Times New Roman" w:hAnsi="Times New Roman" w:cs="Times New Roman"/>
          <w:i/>
          <w:color w:val="FF0000"/>
          <w:sz w:val="20"/>
          <w:szCs w:val="20"/>
        </w:rPr>
        <w:t xml:space="preserve">In re Ameriquest Mortgage Co. Mortgage Lending Practices Litigation </w:t>
      </w:r>
      <w:r>
        <w:rPr>
          <w:rFonts w:ascii="Times New Roman" w:eastAsia="Times New Roman" w:hAnsi="Times New Roman" w:cs="Times New Roman"/>
          <w:color w:val="FF0000"/>
          <w:sz w:val="20"/>
          <w:szCs w:val="20"/>
        </w:rPr>
        <w:t>(N.D. Ill., 2007)</w:t>
      </w:r>
    </w:p>
    <w:p w:rsidR="00E45F3B" w:rsidRDefault="006A3871">
      <w:pPr>
        <w:ind w:left="1440"/>
        <w:rPr>
          <w:rFonts w:ascii="Times New Roman" w:eastAsia="Times New Roman" w:hAnsi="Times New Roman" w:cs="Times New Roman"/>
          <w:color w:val="FF0000"/>
          <w:sz w:val="20"/>
          <w:szCs w:val="20"/>
        </w:rPr>
      </w:pPr>
      <w:r>
        <w:rPr>
          <w:rFonts w:ascii="Times New Roman" w:eastAsia="Times New Roman" w:hAnsi="Times New Roman" w:cs="Times New Roman"/>
          <w:b/>
          <w:color w:val="FF0000"/>
          <w:sz w:val="20"/>
          <w:szCs w:val="20"/>
        </w:rPr>
        <w:lastRenderedPageBreak/>
        <w:t>H:</w:t>
      </w:r>
      <w:r>
        <w:rPr>
          <w:rFonts w:ascii="Times New Roman" w:eastAsia="Times New Roman" w:hAnsi="Times New Roman" w:cs="Times New Roman"/>
          <w:color w:val="FF0000"/>
          <w:sz w:val="20"/>
          <w:szCs w:val="20"/>
        </w:rPr>
        <w:t xml:space="preserve"> State claims (fraud) explicitly connected with federal claim (TILA), state claims cannot be dismissed/resolved without affecting federal claim</w:t>
      </w:r>
      <w:r>
        <w:rPr>
          <w:rFonts w:ascii="Times New Roman" w:eastAsia="Times New Roman" w:hAnsi="Times New Roman" w:cs="Times New Roman"/>
          <w:b/>
          <w:color w:val="FF0000"/>
          <w:sz w:val="20"/>
          <w:szCs w:val="20"/>
        </w:rPr>
        <w:t xml:space="preserve"> </w:t>
      </w:r>
      <w:r>
        <w:rPr>
          <w:rFonts w:ascii="Times New Roman" w:eastAsia="Times New Roman" w:hAnsi="Times New Roman" w:cs="Times New Roman"/>
          <w:color w:val="FF0000"/>
          <w:sz w:val="20"/>
          <w:szCs w:val="20"/>
        </w:rPr>
        <w:t xml:space="preserve">– court cannot conclude </w:t>
      </w:r>
      <w:r>
        <w:rPr>
          <w:rFonts w:ascii="Times New Roman" w:eastAsia="Times New Roman" w:hAnsi="Times New Roman" w:cs="Times New Roman"/>
          <w:color w:val="FF0000"/>
          <w:sz w:val="20"/>
          <w:szCs w:val="20"/>
        </w:rPr>
        <w:t xml:space="preserve">that state claims will have no effect on resolution of federal claim and therefore cannot deny supplemental JD </w:t>
      </w:r>
    </w:p>
    <w:p w:rsidR="00E45F3B" w:rsidRDefault="006A3871">
      <w:pPr>
        <w:numPr>
          <w:ilvl w:val="1"/>
          <w:numId w:val="3"/>
        </w:numPr>
        <w:contextualSpacing/>
        <w:rPr>
          <w:rFonts w:ascii="Times New Roman" w:eastAsia="Times New Roman" w:hAnsi="Times New Roman" w:cs="Times New Roman"/>
          <w:sz w:val="20"/>
          <w:szCs w:val="20"/>
        </w:rPr>
      </w:pPr>
      <w:r>
        <w:rPr>
          <w:rFonts w:ascii="Times New Roman" w:eastAsia="Times New Roman" w:hAnsi="Times New Roman" w:cs="Times New Roman"/>
          <w:i/>
          <w:color w:val="FF0000"/>
          <w:sz w:val="20"/>
          <w:szCs w:val="20"/>
        </w:rPr>
        <w:t xml:space="preserve">Szendrey-Ramos v. First Bancorp </w:t>
      </w:r>
      <w:r>
        <w:rPr>
          <w:rFonts w:ascii="Times New Roman" w:eastAsia="Times New Roman" w:hAnsi="Times New Roman" w:cs="Times New Roman"/>
          <w:color w:val="FF0000"/>
          <w:sz w:val="20"/>
          <w:szCs w:val="20"/>
        </w:rPr>
        <w:t>(D.P.R., 2007)</w:t>
      </w:r>
    </w:p>
    <w:p w:rsidR="00E45F3B" w:rsidRDefault="006A3871">
      <w:pPr>
        <w:ind w:left="1440"/>
        <w:rPr>
          <w:rFonts w:ascii="Times New Roman" w:eastAsia="Times New Roman" w:hAnsi="Times New Roman" w:cs="Times New Roman"/>
          <w:color w:val="FF0000"/>
          <w:sz w:val="20"/>
          <w:szCs w:val="20"/>
        </w:rPr>
      </w:pPr>
      <w:r>
        <w:rPr>
          <w:rFonts w:ascii="Times New Roman" w:eastAsia="Times New Roman" w:hAnsi="Times New Roman" w:cs="Times New Roman"/>
          <w:b/>
          <w:color w:val="FF0000"/>
          <w:sz w:val="20"/>
          <w:szCs w:val="20"/>
        </w:rPr>
        <w:t>H:</w:t>
      </w:r>
      <w:r>
        <w:rPr>
          <w:rFonts w:ascii="Times New Roman" w:eastAsia="Times New Roman" w:hAnsi="Times New Roman" w:cs="Times New Roman"/>
          <w:color w:val="FF0000"/>
          <w:sz w:val="20"/>
          <w:szCs w:val="20"/>
        </w:rPr>
        <w:t xml:space="preserve"> No SMJ where P alleging violations of federal employment law adn additionally stating a number</w:t>
      </w:r>
      <w:r>
        <w:rPr>
          <w:rFonts w:ascii="Times New Roman" w:eastAsia="Times New Roman" w:hAnsi="Times New Roman" w:cs="Times New Roman"/>
          <w:color w:val="FF0000"/>
          <w:sz w:val="20"/>
          <w:szCs w:val="20"/>
        </w:rPr>
        <w:t xml:space="preserve"> of claims under PR law; per § 1367(a) yes common nucleus of operative facts but via § 1367(c) (1) PR claims substantially predominate over federal claims and (2) PR claims posit novel and complex issues of territorial law (courts have discretion to deny s</w:t>
      </w:r>
      <w:r>
        <w:rPr>
          <w:rFonts w:ascii="Times New Roman" w:eastAsia="Times New Roman" w:hAnsi="Times New Roman" w:cs="Times New Roman"/>
          <w:color w:val="FF0000"/>
          <w:sz w:val="20"/>
          <w:szCs w:val="20"/>
        </w:rPr>
        <w:t xml:space="preserve">upplemental JD per § 1367(c)) </w:t>
      </w:r>
    </w:p>
    <w:p w:rsidR="00E45F3B" w:rsidRDefault="006A3871">
      <w:pPr>
        <w:numPr>
          <w:ilvl w:val="2"/>
          <w:numId w:val="3"/>
        </w:numPr>
        <w:contextualSpacing/>
        <w:rPr>
          <w:rFonts w:ascii="Times New Roman" w:eastAsia="Times New Roman" w:hAnsi="Times New Roman" w:cs="Times New Roman"/>
          <w:color w:val="FF0000"/>
          <w:sz w:val="20"/>
          <w:szCs w:val="20"/>
        </w:rPr>
      </w:pPr>
      <w:r>
        <w:rPr>
          <w:rFonts w:ascii="Times New Roman" w:eastAsia="Times New Roman" w:hAnsi="Times New Roman" w:cs="Times New Roman"/>
          <w:color w:val="FF0000"/>
          <w:sz w:val="20"/>
          <w:szCs w:val="20"/>
        </w:rPr>
        <w:t>PR claims dismissed without prejudice (can refile in PR)</w:t>
      </w:r>
    </w:p>
    <w:p w:rsidR="00E45F3B" w:rsidRDefault="006A3871">
      <w:pPr>
        <w:numPr>
          <w:ilvl w:val="1"/>
          <w:numId w:val="3"/>
        </w:numPr>
        <w:contextualSpacing/>
        <w:rPr>
          <w:rFonts w:ascii="Times New Roman" w:eastAsia="Times New Roman" w:hAnsi="Times New Roman" w:cs="Times New Roman"/>
          <w:sz w:val="20"/>
          <w:szCs w:val="20"/>
        </w:rPr>
      </w:pPr>
      <w:r>
        <w:rPr>
          <w:rFonts w:ascii="Times New Roman" w:eastAsia="Times New Roman" w:hAnsi="Times New Roman" w:cs="Times New Roman"/>
          <w:b/>
          <w:sz w:val="20"/>
          <w:szCs w:val="20"/>
        </w:rPr>
        <w:t>28 USC § 1367: Supplemental Jurisdiction</w:t>
      </w:r>
    </w:p>
    <w:p w:rsidR="00E45F3B" w:rsidRDefault="006A3871">
      <w:pPr>
        <w:numPr>
          <w:ilvl w:val="1"/>
          <w:numId w:val="3"/>
        </w:numPr>
        <w:contextualSpacing/>
        <w:rPr>
          <w:rFonts w:ascii="Times New Roman" w:eastAsia="Times New Roman" w:hAnsi="Times New Roman" w:cs="Times New Roman"/>
          <w:sz w:val="20"/>
          <w:szCs w:val="20"/>
        </w:rPr>
      </w:pPr>
      <w:r>
        <w:rPr>
          <w:rFonts w:ascii="Times New Roman" w:eastAsia="Times New Roman" w:hAnsi="Times New Roman" w:cs="Times New Roman"/>
          <w:sz w:val="20"/>
          <w:szCs w:val="20"/>
        </w:rPr>
        <w:t>Supplemental JD flowchart: (1367(a) grants SMJ, 1367(b) removes SMJ in diversity cases, 1367(c) court discretion)</w:t>
      </w:r>
    </w:p>
    <w:p w:rsidR="00E45F3B" w:rsidRDefault="006A3871">
      <w:pPr>
        <w:numPr>
          <w:ilvl w:val="2"/>
          <w:numId w:val="3"/>
        </w:numPr>
        <w:contextualSpacing/>
        <w:rPr>
          <w:rFonts w:ascii="Times New Roman" w:eastAsia="Times New Roman" w:hAnsi="Times New Roman" w:cs="Times New Roman"/>
          <w:sz w:val="20"/>
          <w:szCs w:val="20"/>
        </w:rPr>
      </w:pPr>
      <w:r>
        <w:rPr>
          <w:rFonts w:ascii="Times New Roman" w:eastAsia="Times New Roman" w:hAnsi="Times New Roman" w:cs="Times New Roman"/>
          <w:sz w:val="20"/>
          <w:szCs w:val="20"/>
        </w:rPr>
        <w:t>If not all cl</w:t>
      </w:r>
      <w:r>
        <w:rPr>
          <w:rFonts w:ascii="Times New Roman" w:eastAsia="Times New Roman" w:hAnsi="Times New Roman" w:cs="Times New Roman"/>
          <w:sz w:val="20"/>
          <w:szCs w:val="20"/>
        </w:rPr>
        <w:t>aims have original SMJ, do the claims form part of the same case or controversy via § 1367(a)?</w:t>
      </w:r>
    </w:p>
    <w:p w:rsidR="00E45F3B" w:rsidRDefault="006A3871">
      <w:pPr>
        <w:numPr>
          <w:ilvl w:val="3"/>
          <w:numId w:val="3"/>
        </w:numPr>
        <w:contextualSpacing/>
        <w:rPr>
          <w:rFonts w:ascii="Times New Roman" w:eastAsia="Times New Roman" w:hAnsi="Times New Roman" w:cs="Times New Roman"/>
          <w:sz w:val="20"/>
          <w:szCs w:val="20"/>
        </w:rPr>
      </w:pPr>
      <w:r>
        <w:rPr>
          <w:rFonts w:ascii="Times New Roman" w:eastAsia="Times New Roman" w:hAnsi="Times New Roman" w:cs="Times New Roman"/>
          <w:sz w:val="20"/>
          <w:szCs w:val="20"/>
        </w:rPr>
        <w:t>If no, no JD</w:t>
      </w:r>
    </w:p>
    <w:p w:rsidR="00E45F3B" w:rsidRDefault="006A3871">
      <w:pPr>
        <w:numPr>
          <w:ilvl w:val="2"/>
          <w:numId w:val="3"/>
        </w:numPr>
        <w:contextualSpacing/>
        <w:rPr>
          <w:rFonts w:ascii="Times New Roman" w:eastAsia="Times New Roman" w:hAnsi="Times New Roman" w:cs="Times New Roman"/>
          <w:sz w:val="20"/>
          <w:szCs w:val="20"/>
        </w:rPr>
      </w:pPr>
      <w:r>
        <w:rPr>
          <w:rFonts w:ascii="Times New Roman" w:eastAsia="Times New Roman" w:hAnsi="Times New Roman" w:cs="Times New Roman"/>
          <w:sz w:val="20"/>
          <w:szCs w:val="20"/>
        </w:rPr>
        <w:t>If yes, what’s the basis for original JD?</w:t>
      </w:r>
    </w:p>
    <w:p w:rsidR="00E45F3B" w:rsidRDefault="006A3871">
      <w:pPr>
        <w:numPr>
          <w:ilvl w:val="3"/>
          <w:numId w:val="3"/>
        </w:numPr>
        <w:contextualSpacing/>
        <w:rPr>
          <w:rFonts w:ascii="Times New Roman" w:eastAsia="Times New Roman" w:hAnsi="Times New Roman" w:cs="Times New Roman"/>
          <w:sz w:val="20"/>
          <w:szCs w:val="20"/>
        </w:rPr>
      </w:pPr>
      <w:r>
        <w:rPr>
          <w:rFonts w:ascii="Times New Roman" w:eastAsia="Times New Roman" w:hAnsi="Times New Roman" w:cs="Times New Roman"/>
          <w:sz w:val="20"/>
          <w:szCs w:val="20"/>
        </w:rPr>
        <w:t>Federal question (§ 1367(a))</w:t>
      </w:r>
    </w:p>
    <w:p w:rsidR="00E45F3B" w:rsidRDefault="006A3871">
      <w:pPr>
        <w:numPr>
          <w:ilvl w:val="4"/>
          <w:numId w:val="3"/>
        </w:numPr>
        <w:contextualSpacing/>
        <w:rPr>
          <w:rFonts w:ascii="Times New Roman" w:eastAsia="Times New Roman" w:hAnsi="Times New Roman" w:cs="Times New Roman"/>
          <w:sz w:val="20"/>
          <w:szCs w:val="20"/>
        </w:rPr>
      </w:pPr>
      <w:r>
        <w:rPr>
          <w:rFonts w:ascii="Times New Roman" w:eastAsia="Times New Roman" w:hAnsi="Times New Roman" w:cs="Times New Roman"/>
          <w:sz w:val="20"/>
          <w:szCs w:val="20"/>
        </w:rPr>
        <w:t>Are the claims related or do they arise under a common nucleus of operative f</w:t>
      </w:r>
      <w:r>
        <w:rPr>
          <w:rFonts w:ascii="Times New Roman" w:eastAsia="Times New Roman" w:hAnsi="Times New Roman" w:cs="Times New Roman"/>
          <w:sz w:val="20"/>
          <w:szCs w:val="20"/>
        </w:rPr>
        <w:t xml:space="preserve">act? </w:t>
      </w:r>
    </w:p>
    <w:p w:rsidR="00E45F3B" w:rsidRDefault="006A3871">
      <w:pPr>
        <w:numPr>
          <w:ilvl w:val="5"/>
          <w:numId w:val="3"/>
        </w:numPr>
        <w:contextualSpacing/>
        <w:rPr>
          <w:rFonts w:ascii="Times New Roman" w:eastAsia="Times New Roman" w:hAnsi="Times New Roman" w:cs="Times New Roman"/>
          <w:sz w:val="20"/>
          <w:szCs w:val="20"/>
        </w:rPr>
      </w:pPr>
      <w:r>
        <w:rPr>
          <w:rFonts w:ascii="Times New Roman" w:eastAsia="Times New Roman" w:hAnsi="Times New Roman" w:cs="Times New Roman"/>
          <w:sz w:val="20"/>
          <w:szCs w:val="20"/>
        </w:rPr>
        <w:t>To determine – can you resolve on claim without resolving the other? (Gibbs Test)</w:t>
      </w:r>
    </w:p>
    <w:p w:rsidR="00E45F3B" w:rsidRDefault="006A3871">
      <w:pPr>
        <w:numPr>
          <w:ilvl w:val="5"/>
          <w:numId w:val="3"/>
        </w:numPr>
        <w:contextualSpacing/>
        <w:rPr>
          <w:rFonts w:ascii="Times New Roman" w:eastAsia="Times New Roman" w:hAnsi="Times New Roman" w:cs="Times New Roman"/>
          <w:sz w:val="20"/>
          <w:szCs w:val="20"/>
        </w:rPr>
      </w:pPr>
      <w:r>
        <w:rPr>
          <w:rFonts w:ascii="Times New Roman" w:eastAsia="Times New Roman" w:hAnsi="Times New Roman" w:cs="Times New Roman"/>
          <w:sz w:val="20"/>
          <w:szCs w:val="20"/>
        </w:rPr>
        <w:t>If yes related/arise under a common nucleus of operative fact, the court has SMJ</w:t>
      </w:r>
    </w:p>
    <w:p w:rsidR="00E45F3B" w:rsidRDefault="006A3871">
      <w:pPr>
        <w:numPr>
          <w:ilvl w:val="3"/>
          <w:numId w:val="3"/>
        </w:numPr>
        <w:contextualSpacing/>
        <w:rPr>
          <w:rFonts w:ascii="Times New Roman" w:eastAsia="Times New Roman" w:hAnsi="Times New Roman" w:cs="Times New Roman"/>
          <w:sz w:val="20"/>
          <w:szCs w:val="20"/>
        </w:rPr>
      </w:pPr>
      <w:r>
        <w:rPr>
          <w:rFonts w:ascii="Times New Roman" w:eastAsia="Times New Roman" w:hAnsi="Times New Roman" w:cs="Times New Roman"/>
          <w:sz w:val="20"/>
          <w:szCs w:val="20"/>
        </w:rPr>
        <w:t>Diversity (§ 1367(b))</w:t>
      </w:r>
    </w:p>
    <w:p w:rsidR="00E45F3B" w:rsidRDefault="006A3871">
      <w:pPr>
        <w:numPr>
          <w:ilvl w:val="4"/>
          <w:numId w:val="3"/>
        </w:numPr>
        <w:contextualSpacing/>
        <w:rPr>
          <w:rFonts w:ascii="Times New Roman" w:eastAsia="Times New Roman" w:hAnsi="Times New Roman" w:cs="Times New Roman"/>
          <w:sz w:val="20"/>
          <w:szCs w:val="20"/>
        </w:rPr>
      </w:pPr>
      <w:r>
        <w:rPr>
          <w:rFonts w:ascii="Times New Roman" w:eastAsia="Times New Roman" w:hAnsi="Times New Roman" w:cs="Times New Roman"/>
          <w:sz w:val="20"/>
          <w:szCs w:val="20"/>
        </w:rPr>
        <w:t>Is P seeking to join the claim via FRCP Rules 14, 19, 20, or 24?</w:t>
      </w:r>
    </w:p>
    <w:p w:rsidR="00E45F3B" w:rsidRDefault="006A3871">
      <w:pPr>
        <w:numPr>
          <w:ilvl w:val="5"/>
          <w:numId w:val="3"/>
        </w:numPr>
        <w:contextualSpacing/>
        <w:rPr>
          <w:rFonts w:ascii="Times New Roman" w:eastAsia="Times New Roman" w:hAnsi="Times New Roman" w:cs="Times New Roman"/>
          <w:sz w:val="20"/>
          <w:szCs w:val="20"/>
        </w:rPr>
      </w:pPr>
      <w:r>
        <w:rPr>
          <w:rFonts w:ascii="Times New Roman" w:eastAsia="Times New Roman" w:hAnsi="Times New Roman" w:cs="Times New Roman"/>
          <w:sz w:val="20"/>
          <w:szCs w:val="20"/>
        </w:rPr>
        <w:t>Does joiner destroy diversity?</w:t>
      </w:r>
    </w:p>
    <w:p w:rsidR="00E45F3B" w:rsidRDefault="006A3871">
      <w:pPr>
        <w:numPr>
          <w:ilvl w:val="6"/>
          <w:numId w:val="3"/>
        </w:numPr>
        <w:contextualSpacing/>
        <w:rPr>
          <w:rFonts w:ascii="Times New Roman" w:eastAsia="Times New Roman" w:hAnsi="Times New Roman" w:cs="Times New Roman"/>
          <w:sz w:val="20"/>
          <w:szCs w:val="20"/>
        </w:rPr>
      </w:pPr>
      <w:r>
        <w:rPr>
          <w:rFonts w:ascii="Times New Roman" w:eastAsia="Times New Roman" w:hAnsi="Times New Roman" w:cs="Times New Roman"/>
          <w:sz w:val="20"/>
          <w:szCs w:val="20"/>
        </w:rPr>
        <w:t>If yes, no SMJ</w:t>
      </w:r>
    </w:p>
    <w:p w:rsidR="00E45F3B" w:rsidRDefault="006A3871">
      <w:pPr>
        <w:numPr>
          <w:ilvl w:val="6"/>
          <w:numId w:val="3"/>
        </w:numPr>
        <w:contextualSpacing/>
        <w:rPr>
          <w:rFonts w:ascii="Times New Roman" w:eastAsia="Times New Roman" w:hAnsi="Times New Roman" w:cs="Times New Roman"/>
          <w:sz w:val="20"/>
          <w:szCs w:val="20"/>
        </w:rPr>
      </w:pPr>
      <w:r>
        <w:rPr>
          <w:rFonts w:ascii="Times New Roman" w:eastAsia="Times New Roman" w:hAnsi="Times New Roman" w:cs="Times New Roman"/>
          <w:sz w:val="20"/>
          <w:szCs w:val="20"/>
        </w:rPr>
        <w:t>If no, court has SMJ</w:t>
      </w:r>
    </w:p>
    <w:p w:rsidR="00E45F3B" w:rsidRDefault="006A3871">
      <w:pPr>
        <w:numPr>
          <w:ilvl w:val="2"/>
          <w:numId w:val="3"/>
        </w:numPr>
        <w:contextualSpacing/>
        <w:rPr>
          <w:rFonts w:ascii="Times New Roman" w:eastAsia="Times New Roman" w:hAnsi="Times New Roman" w:cs="Times New Roman"/>
          <w:sz w:val="20"/>
          <w:szCs w:val="20"/>
        </w:rPr>
      </w:pPr>
      <w:r>
        <w:rPr>
          <w:rFonts w:ascii="Times New Roman" w:eastAsia="Times New Roman" w:hAnsi="Times New Roman" w:cs="Times New Roman"/>
          <w:sz w:val="20"/>
          <w:szCs w:val="20"/>
        </w:rPr>
        <w:t xml:space="preserve">Even when § 1367(a) &amp; (b) are met, the trial court may </w:t>
      </w:r>
      <w:r>
        <w:rPr>
          <w:rFonts w:ascii="Times New Roman" w:eastAsia="Times New Roman" w:hAnsi="Times New Roman" w:cs="Times New Roman"/>
          <w:i/>
          <w:sz w:val="20"/>
          <w:szCs w:val="20"/>
        </w:rPr>
        <w:t>choose</w:t>
      </w:r>
      <w:r>
        <w:rPr>
          <w:rFonts w:ascii="Times New Roman" w:eastAsia="Times New Roman" w:hAnsi="Times New Roman" w:cs="Times New Roman"/>
          <w:sz w:val="20"/>
          <w:szCs w:val="20"/>
        </w:rPr>
        <w:t xml:space="preserve"> to decline supplemental JD over a claim if (via 28 U.S.C. §1367(c))</w:t>
      </w:r>
    </w:p>
    <w:p w:rsidR="00E45F3B" w:rsidRDefault="006A3871">
      <w:pPr>
        <w:numPr>
          <w:ilvl w:val="3"/>
          <w:numId w:val="3"/>
        </w:numPr>
        <w:contextualSpacing/>
        <w:rPr>
          <w:rFonts w:ascii="Times New Roman" w:eastAsia="Times New Roman" w:hAnsi="Times New Roman" w:cs="Times New Roman"/>
          <w:sz w:val="20"/>
          <w:szCs w:val="20"/>
        </w:rPr>
      </w:pPr>
      <w:r>
        <w:rPr>
          <w:rFonts w:ascii="Times New Roman" w:eastAsia="Times New Roman" w:hAnsi="Times New Roman" w:cs="Times New Roman"/>
          <w:sz w:val="20"/>
          <w:szCs w:val="20"/>
        </w:rPr>
        <w:t xml:space="preserve">The claim raises a novel or complex issue of State law </w:t>
      </w:r>
    </w:p>
    <w:p w:rsidR="00E45F3B" w:rsidRDefault="006A3871">
      <w:pPr>
        <w:numPr>
          <w:ilvl w:val="3"/>
          <w:numId w:val="3"/>
        </w:numPr>
        <w:contextualSpacing/>
        <w:rPr>
          <w:rFonts w:ascii="Times New Roman" w:eastAsia="Times New Roman" w:hAnsi="Times New Roman" w:cs="Times New Roman"/>
          <w:sz w:val="20"/>
          <w:szCs w:val="20"/>
        </w:rPr>
      </w:pPr>
      <w:r>
        <w:rPr>
          <w:rFonts w:ascii="Times New Roman" w:eastAsia="Times New Roman" w:hAnsi="Times New Roman" w:cs="Times New Roman"/>
          <w:sz w:val="20"/>
          <w:szCs w:val="20"/>
        </w:rPr>
        <w:t xml:space="preserve">The claim substantially predominates over the claim or claims over which the district court has original JD </w:t>
      </w:r>
    </w:p>
    <w:p w:rsidR="00E45F3B" w:rsidRDefault="006A3871">
      <w:pPr>
        <w:numPr>
          <w:ilvl w:val="3"/>
          <w:numId w:val="3"/>
        </w:numPr>
        <w:contextualSpacing/>
        <w:rPr>
          <w:rFonts w:ascii="Times New Roman" w:eastAsia="Times New Roman" w:hAnsi="Times New Roman" w:cs="Times New Roman"/>
          <w:sz w:val="20"/>
          <w:szCs w:val="20"/>
        </w:rPr>
      </w:pPr>
      <w:r>
        <w:rPr>
          <w:rFonts w:ascii="Times New Roman" w:eastAsia="Times New Roman" w:hAnsi="Times New Roman" w:cs="Times New Roman"/>
          <w:sz w:val="20"/>
          <w:szCs w:val="20"/>
        </w:rPr>
        <w:t xml:space="preserve">The district court has dismissed all claims over which it has original JD </w:t>
      </w:r>
      <w:r>
        <w:rPr>
          <w:rFonts w:ascii="Times New Roman" w:eastAsia="Times New Roman" w:hAnsi="Times New Roman" w:cs="Times New Roman"/>
          <w:sz w:val="20"/>
          <w:szCs w:val="20"/>
          <w:u w:val="single"/>
        </w:rPr>
        <w:t>or</w:t>
      </w:r>
    </w:p>
    <w:p w:rsidR="00E45F3B" w:rsidRDefault="006A3871">
      <w:pPr>
        <w:numPr>
          <w:ilvl w:val="3"/>
          <w:numId w:val="3"/>
        </w:numPr>
        <w:contextualSpacing/>
        <w:rPr>
          <w:rFonts w:ascii="Times New Roman" w:eastAsia="Times New Roman" w:hAnsi="Times New Roman" w:cs="Times New Roman"/>
          <w:sz w:val="20"/>
          <w:szCs w:val="20"/>
        </w:rPr>
      </w:pPr>
      <w:r>
        <w:rPr>
          <w:rFonts w:ascii="Times New Roman" w:eastAsia="Times New Roman" w:hAnsi="Times New Roman" w:cs="Times New Roman"/>
          <w:sz w:val="20"/>
          <w:szCs w:val="20"/>
        </w:rPr>
        <w:t>In exceptional circumstances, there are other compelling reasons for d</w:t>
      </w:r>
      <w:r>
        <w:rPr>
          <w:rFonts w:ascii="Times New Roman" w:eastAsia="Times New Roman" w:hAnsi="Times New Roman" w:cs="Times New Roman"/>
          <w:sz w:val="20"/>
          <w:szCs w:val="20"/>
        </w:rPr>
        <w:t>eclining JD</w:t>
      </w:r>
    </w:p>
    <w:p w:rsidR="00E45F3B" w:rsidRDefault="00E45F3B">
      <w:pPr>
        <w:ind w:left="720"/>
        <w:rPr>
          <w:rFonts w:ascii="Times New Roman" w:eastAsia="Times New Roman" w:hAnsi="Times New Roman" w:cs="Times New Roman"/>
          <w:b/>
          <w:sz w:val="20"/>
          <w:szCs w:val="20"/>
        </w:rPr>
      </w:pPr>
    </w:p>
    <w:p w:rsidR="00E45F3B" w:rsidRDefault="006A3871">
      <w:pPr>
        <w:jc w:val="center"/>
        <w:rPr>
          <w:rFonts w:ascii="Times New Roman" w:eastAsia="Times New Roman" w:hAnsi="Times New Roman" w:cs="Times New Roman"/>
          <w:sz w:val="24"/>
          <w:szCs w:val="24"/>
        </w:rPr>
      </w:pPr>
      <w:r>
        <w:rPr>
          <w:rFonts w:ascii="Times New Roman" w:eastAsia="Times New Roman" w:hAnsi="Times New Roman" w:cs="Times New Roman"/>
          <w:sz w:val="24"/>
          <w:szCs w:val="24"/>
        </w:rPr>
        <w:t>Removal &amp; Remedies</w:t>
      </w:r>
    </w:p>
    <w:p w:rsidR="00E45F3B" w:rsidRDefault="006A3871">
      <w:pPr>
        <w:numPr>
          <w:ilvl w:val="0"/>
          <w:numId w:val="5"/>
        </w:numPr>
        <w:contextualSpacing/>
        <w:rPr>
          <w:rFonts w:ascii="Times New Roman" w:eastAsia="Times New Roman" w:hAnsi="Times New Roman" w:cs="Times New Roman"/>
          <w:sz w:val="20"/>
          <w:szCs w:val="20"/>
        </w:rPr>
      </w:pPr>
      <w:r>
        <w:rPr>
          <w:rFonts w:ascii="Times New Roman" w:eastAsia="Times New Roman" w:hAnsi="Times New Roman" w:cs="Times New Roman"/>
          <w:sz w:val="20"/>
          <w:szCs w:val="20"/>
        </w:rPr>
        <w:t>Removal – P chooses where to file claim, if in state court D has the power to remove from state to federal court; removal is automatic, federal court is where fight over SMJ occurs, if no SMJ then remanded back to state cour</w:t>
      </w:r>
      <w:r>
        <w:rPr>
          <w:rFonts w:ascii="Times New Roman" w:eastAsia="Times New Roman" w:hAnsi="Times New Roman" w:cs="Times New Roman"/>
          <w:sz w:val="20"/>
          <w:szCs w:val="20"/>
        </w:rPr>
        <w:t>t; § 1441 limits removal to one federal court</w:t>
      </w:r>
    </w:p>
    <w:p w:rsidR="00E45F3B" w:rsidRDefault="006A3871">
      <w:pPr>
        <w:numPr>
          <w:ilvl w:val="1"/>
          <w:numId w:val="5"/>
        </w:numPr>
        <w:contextualSpacing/>
        <w:rPr>
          <w:rFonts w:ascii="Times New Roman" w:eastAsia="Times New Roman" w:hAnsi="Times New Roman" w:cs="Times New Roman"/>
          <w:sz w:val="20"/>
          <w:szCs w:val="20"/>
        </w:rPr>
      </w:pPr>
      <w:r>
        <w:rPr>
          <w:rFonts w:ascii="Times New Roman" w:eastAsia="Times New Roman" w:hAnsi="Times New Roman" w:cs="Times New Roman"/>
          <w:sz w:val="20"/>
          <w:szCs w:val="20"/>
        </w:rPr>
        <w:t>If P wants to keep case in federal court – keep AIC below $75k, create a non-diverse case by enjoining a non-diverse defendant if legitimate one exists; flexibility in diversity cases, none in federal Q cases</w:t>
      </w:r>
    </w:p>
    <w:p w:rsidR="00E45F3B" w:rsidRDefault="006A3871">
      <w:pPr>
        <w:numPr>
          <w:ilvl w:val="1"/>
          <w:numId w:val="5"/>
        </w:numPr>
        <w:contextualSpacing/>
        <w:rPr>
          <w:rFonts w:ascii="Times New Roman" w:eastAsia="Times New Roman" w:hAnsi="Times New Roman" w:cs="Times New Roman"/>
          <w:sz w:val="20"/>
          <w:szCs w:val="20"/>
        </w:rPr>
      </w:pPr>
      <w:r>
        <w:rPr>
          <w:rFonts w:ascii="Times New Roman" w:eastAsia="Times New Roman" w:hAnsi="Times New Roman" w:cs="Times New Roman"/>
          <w:sz w:val="20"/>
          <w:szCs w:val="20"/>
        </w:rPr>
        <w:t>R</w:t>
      </w:r>
      <w:r>
        <w:rPr>
          <w:rFonts w:ascii="Times New Roman" w:eastAsia="Times New Roman" w:hAnsi="Times New Roman" w:cs="Times New Roman"/>
          <w:sz w:val="20"/>
          <w:szCs w:val="20"/>
        </w:rPr>
        <w:t>emoval Inquiry:</w:t>
      </w:r>
    </w:p>
    <w:p w:rsidR="00E45F3B" w:rsidRDefault="006A3871">
      <w:pPr>
        <w:numPr>
          <w:ilvl w:val="2"/>
          <w:numId w:val="5"/>
        </w:numPr>
        <w:contextualSpacing/>
        <w:rPr>
          <w:rFonts w:ascii="Times New Roman" w:eastAsia="Times New Roman" w:hAnsi="Times New Roman" w:cs="Times New Roman"/>
          <w:sz w:val="20"/>
          <w:szCs w:val="20"/>
        </w:rPr>
      </w:pPr>
      <w:r>
        <w:rPr>
          <w:rFonts w:ascii="Times New Roman" w:eastAsia="Times New Roman" w:hAnsi="Times New Roman" w:cs="Times New Roman"/>
          <w:sz w:val="20"/>
          <w:szCs w:val="20"/>
        </w:rPr>
        <w:t>Is there SMJ under federal question, diversity, or supplemental JD?</w:t>
      </w:r>
    </w:p>
    <w:p w:rsidR="00E45F3B" w:rsidRDefault="006A3871">
      <w:pPr>
        <w:numPr>
          <w:ilvl w:val="3"/>
          <w:numId w:val="5"/>
        </w:numPr>
        <w:contextualSpacing/>
        <w:rPr>
          <w:rFonts w:ascii="Times New Roman" w:eastAsia="Times New Roman" w:hAnsi="Times New Roman" w:cs="Times New Roman"/>
          <w:sz w:val="20"/>
          <w:szCs w:val="20"/>
        </w:rPr>
      </w:pPr>
      <w:r>
        <w:rPr>
          <w:rFonts w:ascii="Times New Roman" w:eastAsia="Times New Roman" w:hAnsi="Times New Roman" w:cs="Times New Roman"/>
          <w:sz w:val="20"/>
          <w:szCs w:val="20"/>
        </w:rPr>
        <w:t xml:space="preserve">If P raises any federal question claim, move onto #3 </w:t>
      </w:r>
    </w:p>
    <w:p w:rsidR="00E45F3B" w:rsidRDefault="006A3871">
      <w:pPr>
        <w:numPr>
          <w:ilvl w:val="3"/>
          <w:numId w:val="5"/>
        </w:numPr>
        <w:contextualSpacing/>
        <w:rPr>
          <w:rFonts w:ascii="Times New Roman" w:eastAsia="Times New Roman" w:hAnsi="Times New Roman" w:cs="Times New Roman"/>
          <w:sz w:val="20"/>
          <w:szCs w:val="20"/>
        </w:rPr>
      </w:pPr>
      <w:r>
        <w:rPr>
          <w:rFonts w:ascii="Times New Roman" w:eastAsia="Times New Roman" w:hAnsi="Times New Roman" w:cs="Times New Roman"/>
          <w:sz w:val="20"/>
          <w:szCs w:val="20"/>
        </w:rPr>
        <w:t>If diversity only, does the home-state D rule apply?</w:t>
      </w:r>
    </w:p>
    <w:p w:rsidR="00E45F3B" w:rsidRDefault="006A3871">
      <w:pPr>
        <w:numPr>
          <w:ilvl w:val="4"/>
          <w:numId w:val="5"/>
        </w:numPr>
        <w:contextualSpacing/>
        <w:rPr>
          <w:rFonts w:ascii="Times New Roman" w:eastAsia="Times New Roman" w:hAnsi="Times New Roman" w:cs="Times New Roman"/>
          <w:sz w:val="20"/>
          <w:szCs w:val="20"/>
        </w:rPr>
      </w:pPr>
      <w:r>
        <w:rPr>
          <w:rFonts w:ascii="Cardo" w:eastAsia="Cardo" w:hAnsi="Cardo" w:cs="Cardo"/>
          <w:sz w:val="20"/>
          <w:szCs w:val="20"/>
        </w:rPr>
        <w:t>Under § 1441(b), is any D a citizen of the state where P filed th</w:t>
      </w:r>
      <w:r>
        <w:rPr>
          <w:rFonts w:ascii="Cardo" w:eastAsia="Cardo" w:hAnsi="Cardo" w:cs="Cardo"/>
          <w:sz w:val="20"/>
          <w:szCs w:val="20"/>
        </w:rPr>
        <w:t xml:space="preserve">e case? → no diversity JD </w:t>
      </w:r>
    </w:p>
    <w:p w:rsidR="00E45F3B" w:rsidRDefault="006A3871">
      <w:pPr>
        <w:numPr>
          <w:ilvl w:val="4"/>
          <w:numId w:val="5"/>
        </w:numPr>
        <w:contextualSpacing/>
        <w:rPr>
          <w:rFonts w:ascii="Times New Roman" w:eastAsia="Times New Roman" w:hAnsi="Times New Roman" w:cs="Times New Roman"/>
          <w:sz w:val="20"/>
          <w:szCs w:val="20"/>
        </w:rPr>
      </w:pPr>
      <w:r>
        <w:rPr>
          <w:rFonts w:ascii="Times New Roman" w:eastAsia="Times New Roman" w:hAnsi="Times New Roman" w:cs="Times New Roman"/>
          <w:sz w:val="20"/>
          <w:szCs w:val="20"/>
        </w:rPr>
        <w:t>Has it been more than one year since the suit began?</w:t>
      </w:r>
    </w:p>
    <w:p w:rsidR="00E45F3B" w:rsidRDefault="006A3871">
      <w:pPr>
        <w:numPr>
          <w:ilvl w:val="5"/>
          <w:numId w:val="5"/>
        </w:numPr>
        <w:contextualSpacing/>
        <w:rPr>
          <w:rFonts w:ascii="Times New Roman" w:eastAsia="Times New Roman" w:hAnsi="Times New Roman" w:cs="Times New Roman"/>
          <w:sz w:val="20"/>
          <w:szCs w:val="20"/>
        </w:rPr>
      </w:pPr>
      <w:r>
        <w:rPr>
          <w:rFonts w:ascii="Times New Roman" w:eastAsia="Times New Roman" w:hAnsi="Times New Roman" w:cs="Times New Roman"/>
          <w:sz w:val="20"/>
          <w:szCs w:val="20"/>
        </w:rPr>
        <w:t>If yes, no removal</w:t>
      </w:r>
    </w:p>
    <w:p w:rsidR="00E45F3B" w:rsidRDefault="006A3871">
      <w:pPr>
        <w:numPr>
          <w:ilvl w:val="5"/>
          <w:numId w:val="5"/>
        </w:numPr>
        <w:contextualSpacing/>
        <w:rPr>
          <w:rFonts w:ascii="Times New Roman" w:eastAsia="Times New Roman" w:hAnsi="Times New Roman" w:cs="Times New Roman"/>
          <w:sz w:val="20"/>
          <w:szCs w:val="20"/>
        </w:rPr>
      </w:pPr>
      <w:r>
        <w:rPr>
          <w:rFonts w:ascii="Times New Roman" w:eastAsia="Times New Roman" w:hAnsi="Times New Roman" w:cs="Times New Roman"/>
          <w:sz w:val="20"/>
          <w:szCs w:val="20"/>
        </w:rPr>
        <w:t>If no, D must remove within 30 days of receipt of the complaint or other document before showing that the case is removable via § 1446(b)</w:t>
      </w:r>
      <w:r>
        <w:rPr>
          <w:rFonts w:ascii="Times New Roman" w:eastAsia="Times New Roman" w:hAnsi="Times New Roman" w:cs="Times New Roman"/>
          <w:sz w:val="20"/>
          <w:szCs w:val="20"/>
        </w:rPr>
        <w:t xml:space="preserve">; for diversity cases with changing parties, D must remove </w:t>
      </w:r>
      <w:r>
        <w:rPr>
          <w:rFonts w:ascii="Times New Roman" w:eastAsia="Times New Roman" w:hAnsi="Times New Roman" w:cs="Times New Roman"/>
          <w:sz w:val="20"/>
          <w:szCs w:val="20"/>
        </w:rPr>
        <w:lastRenderedPageBreak/>
        <w:t>within one year of the commencement of the suit § 1447(c)(1) (</w:t>
      </w:r>
      <w:r>
        <w:rPr>
          <w:rFonts w:ascii="Times New Roman" w:eastAsia="Times New Roman" w:hAnsi="Times New Roman" w:cs="Times New Roman"/>
          <w:i/>
          <w:sz w:val="20"/>
          <w:szCs w:val="20"/>
        </w:rPr>
        <w:t>Caterpillar</w:t>
      </w:r>
      <w:r>
        <w:rPr>
          <w:rFonts w:ascii="Times New Roman" w:eastAsia="Times New Roman" w:hAnsi="Times New Roman" w:cs="Times New Roman"/>
          <w:sz w:val="20"/>
          <w:szCs w:val="20"/>
        </w:rPr>
        <w:t>)</w:t>
      </w:r>
    </w:p>
    <w:p w:rsidR="00E45F3B" w:rsidRDefault="006A3871">
      <w:pPr>
        <w:numPr>
          <w:ilvl w:val="3"/>
          <w:numId w:val="5"/>
        </w:numPr>
        <w:contextualSpacing/>
        <w:rPr>
          <w:rFonts w:ascii="Times New Roman" w:eastAsia="Times New Roman" w:hAnsi="Times New Roman" w:cs="Times New Roman"/>
          <w:sz w:val="20"/>
          <w:szCs w:val="20"/>
        </w:rPr>
      </w:pPr>
      <w:r>
        <w:rPr>
          <w:rFonts w:ascii="Times New Roman" w:eastAsia="Times New Roman" w:hAnsi="Times New Roman" w:cs="Times New Roman"/>
          <w:sz w:val="20"/>
          <w:szCs w:val="20"/>
        </w:rPr>
        <w:t>If P filed non-diverse state law claims, is supplemental JD satisfied so that the whole case could have been brought?</w:t>
      </w:r>
    </w:p>
    <w:p w:rsidR="00E45F3B" w:rsidRDefault="006A3871">
      <w:pPr>
        <w:numPr>
          <w:ilvl w:val="4"/>
          <w:numId w:val="5"/>
        </w:numPr>
        <w:contextualSpacing/>
        <w:rPr>
          <w:rFonts w:ascii="Times New Roman" w:eastAsia="Times New Roman" w:hAnsi="Times New Roman" w:cs="Times New Roman"/>
          <w:sz w:val="20"/>
          <w:szCs w:val="20"/>
        </w:rPr>
      </w:pPr>
      <w:r>
        <w:rPr>
          <w:rFonts w:ascii="Times New Roman" w:eastAsia="Times New Roman" w:hAnsi="Times New Roman" w:cs="Times New Roman"/>
          <w:sz w:val="20"/>
          <w:szCs w:val="20"/>
        </w:rPr>
        <w:t>If y</w:t>
      </w:r>
      <w:r>
        <w:rPr>
          <w:rFonts w:ascii="Times New Roman" w:eastAsia="Times New Roman" w:hAnsi="Times New Roman" w:cs="Times New Roman"/>
          <w:sz w:val="20"/>
          <w:szCs w:val="20"/>
        </w:rPr>
        <w:t>es, removal is permitted</w:t>
      </w:r>
    </w:p>
    <w:p w:rsidR="00E45F3B" w:rsidRDefault="006A3871">
      <w:pPr>
        <w:numPr>
          <w:ilvl w:val="1"/>
          <w:numId w:val="5"/>
        </w:numPr>
        <w:contextualSpacing/>
        <w:rPr>
          <w:rFonts w:ascii="Times New Roman" w:eastAsia="Times New Roman" w:hAnsi="Times New Roman" w:cs="Times New Roman"/>
          <w:sz w:val="20"/>
          <w:szCs w:val="20"/>
        </w:rPr>
      </w:pPr>
      <w:r>
        <w:rPr>
          <w:rFonts w:ascii="Times New Roman" w:eastAsia="Times New Roman" w:hAnsi="Times New Roman" w:cs="Times New Roman"/>
          <w:i/>
          <w:color w:val="FF0000"/>
          <w:sz w:val="20"/>
          <w:szCs w:val="20"/>
        </w:rPr>
        <w:t xml:space="preserve">Caterpillar, Inc. v. Lewis </w:t>
      </w:r>
      <w:r>
        <w:rPr>
          <w:rFonts w:ascii="Times New Roman" w:eastAsia="Times New Roman" w:hAnsi="Times New Roman" w:cs="Times New Roman"/>
          <w:color w:val="FF0000"/>
          <w:sz w:val="20"/>
          <w:szCs w:val="20"/>
        </w:rPr>
        <w:t>(SCOTUS, 1996)</w:t>
      </w:r>
    </w:p>
    <w:p w:rsidR="00E45F3B" w:rsidRDefault="006A3871">
      <w:pPr>
        <w:ind w:left="1440"/>
        <w:rPr>
          <w:rFonts w:ascii="Times New Roman" w:eastAsia="Times New Roman" w:hAnsi="Times New Roman" w:cs="Times New Roman"/>
          <w:sz w:val="20"/>
          <w:szCs w:val="20"/>
        </w:rPr>
      </w:pPr>
      <w:r>
        <w:rPr>
          <w:rFonts w:ascii="Times New Roman" w:eastAsia="Times New Roman" w:hAnsi="Times New Roman" w:cs="Times New Roman"/>
          <w:b/>
          <w:color w:val="FF0000"/>
          <w:sz w:val="20"/>
          <w:szCs w:val="20"/>
        </w:rPr>
        <w:t>H:</w:t>
      </w:r>
      <w:r>
        <w:rPr>
          <w:rFonts w:ascii="Times New Roman" w:eastAsia="Times New Roman" w:hAnsi="Times New Roman" w:cs="Times New Roman"/>
          <w:color w:val="FF0000"/>
          <w:sz w:val="20"/>
          <w:szCs w:val="20"/>
        </w:rPr>
        <w:t xml:space="preserve"> P (KY) sues Caterpillar (incorporated in DE, PPB in IL) and Whayne (KY) in KY court – no complete diversity, Liberty Mutual intervenes claiming subrogation, P and Whayne settle case but Whayne and Liberty Mutual still have unsettled claim, Caterpillar rem</w:t>
      </w:r>
      <w:r>
        <w:rPr>
          <w:rFonts w:ascii="Times New Roman" w:eastAsia="Times New Roman" w:hAnsi="Times New Roman" w:cs="Times New Roman"/>
          <w:color w:val="FF0000"/>
          <w:sz w:val="20"/>
          <w:szCs w:val="20"/>
        </w:rPr>
        <w:t xml:space="preserve">oves case to federal court one day before 1Y hard line restriction but Liberty Mutual/Whayne claim and no removal until </w:t>
      </w:r>
      <w:r>
        <w:rPr>
          <w:rFonts w:ascii="Times New Roman" w:eastAsia="Times New Roman" w:hAnsi="Times New Roman" w:cs="Times New Roman"/>
          <w:i/>
          <w:color w:val="FF0000"/>
          <w:sz w:val="20"/>
          <w:szCs w:val="20"/>
        </w:rPr>
        <w:t xml:space="preserve">complete </w:t>
      </w:r>
      <w:r>
        <w:rPr>
          <w:rFonts w:ascii="Times New Roman" w:eastAsia="Times New Roman" w:hAnsi="Times New Roman" w:cs="Times New Roman"/>
          <w:color w:val="FF0000"/>
          <w:sz w:val="20"/>
          <w:szCs w:val="20"/>
        </w:rPr>
        <w:t>diversity (P’s argument), P tries to remand to state court but claim denied for finality, efficiency, and economy (would be hea</w:t>
      </w:r>
      <w:r>
        <w:rPr>
          <w:rFonts w:ascii="Times New Roman" w:eastAsia="Times New Roman" w:hAnsi="Times New Roman" w:cs="Times New Roman"/>
          <w:color w:val="FF0000"/>
          <w:sz w:val="20"/>
          <w:szCs w:val="20"/>
        </w:rPr>
        <w:t>ring same case over again – same case, same facts)</w:t>
      </w:r>
    </w:p>
    <w:p w:rsidR="00E45F3B" w:rsidRDefault="006A3871">
      <w:pPr>
        <w:numPr>
          <w:ilvl w:val="1"/>
          <w:numId w:val="5"/>
        </w:numPr>
        <w:contextualSpacing/>
        <w:rPr>
          <w:rFonts w:ascii="Times New Roman" w:eastAsia="Times New Roman" w:hAnsi="Times New Roman" w:cs="Times New Roman"/>
          <w:sz w:val="20"/>
          <w:szCs w:val="20"/>
        </w:rPr>
      </w:pPr>
      <w:r>
        <w:rPr>
          <w:rFonts w:ascii="Times New Roman" w:eastAsia="Times New Roman" w:hAnsi="Times New Roman" w:cs="Times New Roman"/>
          <w:b/>
          <w:sz w:val="20"/>
          <w:szCs w:val="20"/>
        </w:rPr>
        <w:t>28 USC § 1441: Removal of Civil Actions</w:t>
      </w:r>
    </w:p>
    <w:p w:rsidR="00E45F3B" w:rsidRDefault="006A3871">
      <w:pPr>
        <w:numPr>
          <w:ilvl w:val="1"/>
          <w:numId w:val="5"/>
        </w:numPr>
        <w:contextualSpacing/>
        <w:rPr>
          <w:rFonts w:ascii="Times New Roman" w:eastAsia="Times New Roman" w:hAnsi="Times New Roman" w:cs="Times New Roman"/>
          <w:sz w:val="20"/>
          <w:szCs w:val="20"/>
        </w:rPr>
      </w:pPr>
      <w:r>
        <w:rPr>
          <w:rFonts w:ascii="Times New Roman" w:eastAsia="Times New Roman" w:hAnsi="Times New Roman" w:cs="Times New Roman"/>
          <w:b/>
          <w:sz w:val="20"/>
          <w:szCs w:val="20"/>
        </w:rPr>
        <w:t xml:space="preserve">28 USC § 1442: Federal Officers or Agencies Sued or Prosecuted  </w:t>
      </w:r>
    </w:p>
    <w:p w:rsidR="00E45F3B" w:rsidRDefault="006A3871">
      <w:pPr>
        <w:numPr>
          <w:ilvl w:val="1"/>
          <w:numId w:val="5"/>
        </w:numPr>
        <w:contextualSpacing/>
        <w:rPr>
          <w:rFonts w:ascii="Times New Roman" w:eastAsia="Times New Roman" w:hAnsi="Times New Roman" w:cs="Times New Roman"/>
          <w:sz w:val="20"/>
          <w:szCs w:val="20"/>
        </w:rPr>
      </w:pPr>
      <w:r>
        <w:rPr>
          <w:rFonts w:ascii="Times New Roman" w:eastAsia="Times New Roman" w:hAnsi="Times New Roman" w:cs="Times New Roman"/>
          <w:b/>
          <w:sz w:val="20"/>
          <w:szCs w:val="20"/>
        </w:rPr>
        <w:t xml:space="preserve">28 USC § 1443: Civil Rights Cases </w:t>
      </w:r>
    </w:p>
    <w:p w:rsidR="00E45F3B" w:rsidRDefault="006A3871">
      <w:pPr>
        <w:numPr>
          <w:ilvl w:val="1"/>
          <w:numId w:val="5"/>
        </w:numPr>
        <w:contextualSpacing/>
        <w:rPr>
          <w:rFonts w:ascii="Times New Roman" w:eastAsia="Times New Roman" w:hAnsi="Times New Roman" w:cs="Times New Roman"/>
          <w:sz w:val="20"/>
          <w:szCs w:val="20"/>
        </w:rPr>
      </w:pPr>
      <w:r>
        <w:rPr>
          <w:rFonts w:ascii="Times New Roman" w:eastAsia="Times New Roman" w:hAnsi="Times New Roman" w:cs="Times New Roman"/>
          <w:b/>
          <w:sz w:val="20"/>
          <w:szCs w:val="20"/>
        </w:rPr>
        <w:t>28 USC § 1444: Foreclosure Action Against United States</w:t>
      </w:r>
    </w:p>
    <w:p w:rsidR="00E45F3B" w:rsidRDefault="006A3871">
      <w:pPr>
        <w:numPr>
          <w:ilvl w:val="1"/>
          <w:numId w:val="5"/>
        </w:numPr>
        <w:contextualSpacing/>
        <w:rPr>
          <w:rFonts w:ascii="Times New Roman" w:eastAsia="Times New Roman" w:hAnsi="Times New Roman" w:cs="Times New Roman"/>
          <w:sz w:val="20"/>
          <w:szCs w:val="20"/>
        </w:rPr>
      </w:pPr>
      <w:r>
        <w:rPr>
          <w:rFonts w:ascii="Times New Roman" w:eastAsia="Times New Roman" w:hAnsi="Times New Roman" w:cs="Times New Roman"/>
          <w:b/>
          <w:sz w:val="20"/>
          <w:szCs w:val="20"/>
        </w:rPr>
        <w:t xml:space="preserve">28 USC § </w:t>
      </w:r>
      <w:r>
        <w:rPr>
          <w:rFonts w:ascii="Times New Roman" w:eastAsia="Times New Roman" w:hAnsi="Times New Roman" w:cs="Times New Roman"/>
          <w:b/>
          <w:sz w:val="20"/>
          <w:szCs w:val="20"/>
        </w:rPr>
        <w:t>1445: Non-Removable Actions</w:t>
      </w:r>
    </w:p>
    <w:p w:rsidR="00E45F3B" w:rsidRDefault="006A3871">
      <w:pPr>
        <w:numPr>
          <w:ilvl w:val="1"/>
          <w:numId w:val="5"/>
        </w:numPr>
        <w:contextualSpacing/>
        <w:rPr>
          <w:rFonts w:ascii="Times New Roman" w:eastAsia="Times New Roman" w:hAnsi="Times New Roman" w:cs="Times New Roman"/>
          <w:sz w:val="20"/>
          <w:szCs w:val="20"/>
        </w:rPr>
      </w:pPr>
      <w:r>
        <w:rPr>
          <w:rFonts w:ascii="Times New Roman" w:eastAsia="Times New Roman" w:hAnsi="Times New Roman" w:cs="Times New Roman"/>
          <w:b/>
          <w:sz w:val="20"/>
          <w:szCs w:val="20"/>
        </w:rPr>
        <w:t>28 USC § 1446: Procedure for Removal of Civil Actions</w:t>
      </w:r>
    </w:p>
    <w:p w:rsidR="00E45F3B" w:rsidRDefault="006A3871">
      <w:pPr>
        <w:numPr>
          <w:ilvl w:val="1"/>
          <w:numId w:val="5"/>
        </w:numPr>
        <w:contextualSpacing/>
        <w:rPr>
          <w:rFonts w:ascii="Times New Roman" w:eastAsia="Times New Roman" w:hAnsi="Times New Roman" w:cs="Times New Roman"/>
          <w:sz w:val="20"/>
          <w:szCs w:val="20"/>
        </w:rPr>
      </w:pPr>
      <w:r>
        <w:rPr>
          <w:rFonts w:ascii="Times New Roman" w:eastAsia="Times New Roman" w:hAnsi="Times New Roman" w:cs="Times New Roman"/>
          <w:b/>
          <w:sz w:val="20"/>
          <w:szCs w:val="20"/>
        </w:rPr>
        <w:t xml:space="preserve">28 USC § 1447: Procedure After Removal Generally </w:t>
      </w:r>
    </w:p>
    <w:p w:rsidR="00E45F3B" w:rsidRDefault="006A3871">
      <w:pPr>
        <w:numPr>
          <w:ilvl w:val="0"/>
          <w:numId w:val="5"/>
        </w:numPr>
        <w:contextualSpacing/>
        <w:rPr>
          <w:rFonts w:ascii="Times New Roman" w:eastAsia="Times New Roman" w:hAnsi="Times New Roman" w:cs="Times New Roman"/>
          <w:sz w:val="20"/>
          <w:szCs w:val="20"/>
        </w:rPr>
      </w:pPr>
      <w:r>
        <w:rPr>
          <w:rFonts w:ascii="Times New Roman" w:eastAsia="Times New Roman" w:hAnsi="Times New Roman" w:cs="Times New Roman"/>
          <w:sz w:val="20"/>
          <w:szCs w:val="20"/>
        </w:rPr>
        <w:t>Remedies</w:t>
      </w:r>
    </w:p>
    <w:p w:rsidR="00E45F3B" w:rsidRDefault="006A3871">
      <w:pPr>
        <w:numPr>
          <w:ilvl w:val="1"/>
          <w:numId w:val="5"/>
        </w:numPr>
        <w:contextualSpacing/>
        <w:rPr>
          <w:rFonts w:ascii="Times New Roman" w:eastAsia="Times New Roman" w:hAnsi="Times New Roman" w:cs="Times New Roman"/>
          <w:sz w:val="20"/>
          <w:szCs w:val="20"/>
        </w:rPr>
      </w:pPr>
      <w:r>
        <w:rPr>
          <w:rFonts w:ascii="Times New Roman" w:eastAsia="Times New Roman" w:hAnsi="Times New Roman" w:cs="Times New Roman"/>
          <w:sz w:val="20"/>
          <w:szCs w:val="20"/>
        </w:rPr>
        <w:t>Substitutionary Remedies – concrete losses (usually in contract/tort cases)</w:t>
      </w:r>
    </w:p>
    <w:p w:rsidR="00E45F3B" w:rsidRDefault="006A3871">
      <w:pPr>
        <w:numPr>
          <w:ilvl w:val="2"/>
          <w:numId w:val="5"/>
        </w:numPr>
        <w:contextualSpacing/>
        <w:rPr>
          <w:rFonts w:ascii="Times New Roman" w:eastAsia="Times New Roman" w:hAnsi="Times New Roman" w:cs="Times New Roman"/>
          <w:sz w:val="20"/>
          <w:szCs w:val="20"/>
        </w:rPr>
      </w:pPr>
      <w:r>
        <w:rPr>
          <w:rFonts w:ascii="Times New Roman" w:eastAsia="Times New Roman" w:hAnsi="Times New Roman" w:cs="Times New Roman"/>
          <w:sz w:val="20"/>
          <w:szCs w:val="20"/>
        </w:rPr>
        <w:t xml:space="preserve">Compensatory damages </w:t>
      </w:r>
    </w:p>
    <w:p w:rsidR="00E45F3B" w:rsidRDefault="006A3871">
      <w:pPr>
        <w:numPr>
          <w:ilvl w:val="3"/>
          <w:numId w:val="5"/>
        </w:numPr>
        <w:contextualSpacing/>
        <w:rPr>
          <w:rFonts w:ascii="Times New Roman" w:eastAsia="Times New Roman" w:hAnsi="Times New Roman" w:cs="Times New Roman"/>
          <w:sz w:val="20"/>
          <w:szCs w:val="20"/>
        </w:rPr>
      </w:pPr>
      <w:r>
        <w:rPr>
          <w:rFonts w:ascii="Times New Roman" w:eastAsia="Times New Roman" w:hAnsi="Times New Roman" w:cs="Times New Roman"/>
          <w:sz w:val="20"/>
          <w:szCs w:val="20"/>
        </w:rPr>
        <w:t xml:space="preserve">Economic damages </w:t>
      </w:r>
      <w:r>
        <w:rPr>
          <w:rFonts w:ascii="Times New Roman" w:eastAsia="Times New Roman" w:hAnsi="Times New Roman" w:cs="Times New Roman"/>
          <w:sz w:val="20"/>
          <w:szCs w:val="20"/>
        </w:rPr>
        <w:t>– expectation damages, lost wages</w:t>
      </w:r>
    </w:p>
    <w:p w:rsidR="00E45F3B" w:rsidRDefault="006A3871">
      <w:pPr>
        <w:numPr>
          <w:ilvl w:val="3"/>
          <w:numId w:val="5"/>
        </w:numPr>
        <w:contextualSpacing/>
        <w:rPr>
          <w:rFonts w:ascii="Times New Roman" w:eastAsia="Times New Roman" w:hAnsi="Times New Roman" w:cs="Times New Roman"/>
          <w:sz w:val="20"/>
          <w:szCs w:val="20"/>
        </w:rPr>
      </w:pPr>
      <w:r>
        <w:rPr>
          <w:rFonts w:ascii="Times New Roman" w:eastAsia="Times New Roman" w:hAnsi="Times New Roman" w:cs="Times New Roman"/>
          <w:sz w:val="20"/>
          <w:szCs w:val="20"/>
        </w:rPr>
        <w:t>Non-economic damages – pain and suffering, emotional distress</w:t>
      </w:r>
    </w:p>
    <w:p w:rsidR="00E45F3B" w:rsidRDefault="006A3871">
      <w:pPr>
        <w:numPr>
          <w:ilvl w:val="2"/>
          <w:numId w:val="5"/>
        </w:numPr>
        <w:contextualSpacing/>
        <w:rPr>
          <w:rFonts w:ascii="Times New Roman" w:eastAsia="Times New Roman" w:hAnsi="Times New Roman" w:cs="Times New Roman"/>
          <w:sz w:val="20"/>
          <w:szCs w:val="20"/>
        </w:rPr>
      </w:pPr>
      <w:r>
        <w:rPr>
          <w:rFonts w:ascii="Times New Roman" w:eastAsia="Times New Roman" w:hAnsi="Times New Roman" w:cs="Times New Roman"/>
          <w:sz w:val="20"/>
          <w:szCs w:val="20"/>
        </w:rPr>
        <w:t>Liquidated damages</w:t>
      </w:r>
    </w:p>
    <w:p w:rsidR="00E45F3B" w:rsidRDefault="006A3871">
      <w:pPr>
        <w:numPr>
          <w:ilvl w:val="2"/>
          <w:numId w:val="5"/>
        </w:numPr>
        <w:contextualSpacing/>
        <w:rPr>
          <w:rFonts w:ascii="Times New Roman" w:eastAsia="Times New Roman" w:hAnsi="Times New Roman" w:cs="Times New Roman"/>
          <w:sz w:val="20"/>
          <w:szCs w:val="20"/>
        </w:rPr>
      </w:pPr>
      <w:r>
        <w:rPr>
          <w:rFonts w:ascii="Times New Roman" w:eastAsia="Times New Roman" w:hAnsi="Times New Roman" w:cs="Times New Roman"/>
          <w:sz w:val="20"/>
          <w:szCs w:val="20"/>
        </w:rPr>
        <w:t>Statutory damages – if seeking specific remedy can write statutory damages that if P wins, D pays both parties’ attorney fees</w:t>
      </w:r>
    </w:p>
    <w:p w:rsidR="00E45F3B" w:rsidRDefault="006A3871">
      <w:pPr>
        <w:numPr>
          <w:ilvl w:val="2"/>
          <w:numId w:val="5"/>
        </w:numPr>
        <w:contextualSpacing/>
        <w:rPr>
          <w:rFonts w:ascii="Times New Roman" w:eastAsia="Times New Roman" w:hAnsi="Times New Roman" w:cs="Times New Roman"/>
          <w:sz w:val="20"/>
          <w:szCs w:val="20"/>
        </w:rPr>
      </w:pPr>
      <w:r>
        <w:rPr>
          <w:rFonts w:ascii="Times New Roman" w:eastAsia="Times New Roman" w:hAnsi="Times New Roman" w:cs="Times New Roman"/>
          <w:sz w:val="20"/>
          <w:szCs w:val="20"/>
        </w:rPr>
        <w:t>Civil penalties</w:t>
      </w:r>
      <w:r>
        <w:rPr>
          <w:rFonts w:ascii="Times New Roman" w:eastAsia="Times New Roman" w:hAnsi="Times New Roman" w:cs="Times New Roman"/>
          <w:sz w:val="20"/>
          <w:szCs w:val="20"/>
        </w:rPr>
        <w:t xml:space="preserve"> – similar to statutory but go to gov’t instead of P or D</w:t>
      </w:r>
    </w:p>
    <w:p w:rsidR="00E45F3B" w:rsidRDefault="006A3871">
      <w:pPr>
        <w:numPr>
          <w:ilvl w:val="2"/>
          <w:numId w:val="5"/>
        </w:numPr>
        <w:contextualSpacing/>
        <w:rPr>
          <w:rFonts w:ascii="Times New Roman" w:eastAsia="Times New Roman" w:hAnsi="Times New Roman" w:cs="Times New Roman"/>
          <w:sz w:val="20"/>
          <w:szCs w:val="20"/>
        </w:rPr>
      </w:pPr>
      <w:r>
        <w:rPr>
          <w:rFonts w:ascii="Cardo" w:eastAsia="Cardo" w:hAnsi="Cardo" w:cs="Cardo"/>
          <w:sz w:val="20"/>
          <w:szCs w:val="20"/>
        </w:rPr>
        <w:t>Punitive damages → Deterrence and retribution</w:t>
      </w:r>
    </w:p>
    <w:p w:rsidR="00E45F3B" w:rsidRDefault="006A3871">
      <w:pPr>
        <w:numPr>
          <w:ilvl w:val="2"/>
          <w:numId w:val="5"/>
        </w:numPr>
        <w:contextualSpacing/>
        <w:rPr>
          <w:rFonts w:ascii="Times New Roman" w:eastAsia="Times New Roman" w:hAnsi="Times New Roman" w:cs="Times New Roman"/>
          <w:sz w:val="20"/>
          <w:szCs w:val="20"/>
        </w:rPr>
      </w:pPr>
      <w:r>
        <w:rPr>
          <w:rFonts w:ascii="Times New Roman" w:eastAsia="Times New Roman" w:hAnsi="Times New Roman" w:cs="Times New Roman"/>
          <w:i/>
          <w:color w:val="FF0000"/>
          <w:sz w:val="20"/>
          <w:szCs w:val="20"/>
        </w:rPr>
        <w:t xml:space="preserve">State Farm Mutual Automobile Insurance Co. v. Campbell </w:t>
      </w:r>
      <w:r>
        <w:rPr>
          <w:rFonts w:ascii="Times New Roman" w:eastAsia="Times New Roman" w:hAnsi="Times New Roman" w:cs="Times New Roman"/>
          <w:color w:val="FF0000"/>
          <w:sz w:val="20"/>
          <w:szCs w:val="20"/>
        </w:rPr>
        <w:t>(SCOTUS, 2003)</w:t>
      </w:r>
    </w:p>
    <w:p w:rsidR="00E45F3B" w:rsidRDefault="006A3871">
      <w:pPr>
        <w:ind w:left="2160"/>
        <w:rPr>
          <w:rFonts w:ascii="Times New Roman" w:eastAsia="Times New Roman" w:hAnsi="Times New Roman" w:cs="Times New Roman"/>
          <w:sz w:val="20"/>
          <w:szCs w:val="20"/>
        </w:rPr>
      </w:pPr>
      <w:r>
        <w:rPr>
          <w:rFonts w:ascii="Times New Roman" w:eastAsia="Times New Roman" w:hAnsi="Times New Roman" w:cs="Times New Roman"/>
          <w:b/>
          <w:color w:val="FF0000"/>
          <w:sz w:val="20"/>
          <w:szCs w:val="20"/>
        </w:rPr>
        <w:t>H:</w:t>
      </w:r>
      <w:r>
        <w:rPr>
          <w:rFonts w:ascii="Times New Roman" w:eastAsia="Times New Roman" w:hAnsi="Times New Roman" w:cs="Times New Roman"/>
          <w:color w:val="FF0000"/>
          <w:sz w:val="20"/>
          <w:szCs w:val="20"/>
        </w:rPr>
        <w:t xml:space="preserve"> P seeking $1M compensatory, $14M punitive – court held $14M to be excessive as a matter of Due Process</w:t>
      </w:r>
    </w:p>
    <w:p w:rsidR="00E45F3B" w:rsidRDefault="006A3871">
      <w:pPr>
        <w:numPr>
          <w:ilvl w:val="2"/>
          <w:numId w:val="5"/>
        </w:numPr>
        <w:contextualSpacing/>
        <w:rPr>
          <w:rFonts w:ascii="Times New Roman" w:eastAsia="Times New Roman" w:hAnsi="Times New Roman" w:cs="Times New Roman"/>
          <w:sz w:val="20"/>
          <w:szCs w:val="20"/>
        </w:rPr>
      </w:pPr>
      <w:r>
        <w:rPr>
          <w:rFonts w:ascii="Times New Roman" w:eastAsia="Times New Roman" w:hAnsi="Times New Roman" w:cs="Times New Roman"/>
          <w:b/>
          <w:color w:val="FF0000"/>
          <w:sz w:val="20"/>
          <w:szCs w:val="20"/>
        </w:rPr>
        <w:t xml:space="preserve">Rule: </w:t>
      </w:r>
      <w:r>
        <w:rPr>
          <w:rFonts w:ascii="Times New Roman" w:eastAsia="Times New Roman" w:hAnsi="Times New Roman" w:cs="Times New Roman"/>
          <w:sz w:val="20"/>
          <w:szCs w:val="20"/>
        </w:rPr>
        <w:t xml:space="preserve">Due process guideposts:     </w:t>
      </w:r>
    </w:p>
    <w:p w:rsidR="00E45F3B" w:rsidRDefault="006A3871">
      <w:pPr>
        <w:numPr>
          <w:ilvl w:val="3"/>
          <w:numId w:val="5"/>
        </w:numPr>
        <w:contextualSpacing/>
        <w:rPr>
          <w:rFonts w:ascii="Times New Roman" w:eastAsia="Times New Roman" w:hAnsi="Times New Roman" w:cs="Times New Roman"/>
          <w:sz w:val="20"/>
          <w:szCs w:val="20"/>
        </w:rPr>
      </w:pPr>
      <w:r>
        <w:rPr>
          <w:rFonts w:ascii="Times New Roman" w:eastAsia="Times New Roman" w:hAnsi="Times New Roman" w:cs="Times New Roman"/>
          <w:sz w:val="20"/>
          <w:szCs w:val="20"/>
        </w:rPr>
        <w:t>(1) Degree of reprehensibility</w:t>
      </w:r>
    </w:p>
    <w:p w:rsidR="00E45F3B" w:rsidRDefault="006A3871">
      <w:pPr>
        <w:numPr>
          <w:ilvl w:val="4"/>
          <w:numId w:val="5"/>
        </w:numPr>
        <w:contextualSpacing/>
        <w:rPr>
          <w:rFonts w:ascii="Times New Roman" w:eastAsia="Times New Roman" w:hAnsi="Times New Roman" w:cs="Times New Roman"/>
          <w:color w:val="FF0000"/>
          <w:sz w:val="20"/>
          <w:szCs w:val="20"/>
        </w:rPr>
      </w:pPr>
      <w:r>
        <w:rPr>
          <w:rFonts w:ascii="Cardo" w:eastAsia="Cardo" w:hAnsi="Cardo" w:cs="Cardo"/>
          <w:color w:val="FF0000"/>
          <w:sz w:val="20"/>
          <w:szCs w:val="20"/>
        </w:rPr>
        <w:t>State Farm being punished for national scheme not just present case → state territorial limit – (1) can look at multiple reprehensible acts but a state cannot punish acts occurring outside of state (JD issue) and (2) can look only to what’s unlawful in sta</w:t>
      </w:r>
      <w:r>
        <w:rPr>
          <w:rFonts w:ascii="Cardo" w:eastAsia="Cardo" w:hAnsi="Cardo" w:cs="Cardo"/>
          <w:color w:val="FF0000"/>
          <w:sz w:val="20"/>
          <w:szCs w:val="20"/>
        </w:rPr>
        <w:t xml:space="preserve">te where conduct occurred </w:t>
      </w:r>
    </w:p>
    <w:p w:rsidR="00E45F3B" w:rsidRDefault="006A3871">
      <w:pPr>
        <w:ind w:left="3600"/>
        <w:rPr>
          <w:rFonts w:ascii="Times New Roman" w:eastAsia="Times New Roman" w:hAnsi="Times New Roman" w:cs="Times New Roman"/>
          <w:color w:val="FF0000"/>
          <w:sz w:val="20"/>
          <w:szCs w:val="20"/>
        </w:rPr>
      </w:pPr>
      <w:r>
        <w:rPr>
          <w:rFonts w:ascii="Cardo" w:eastAsia="Cardo" w:hAnsi="Cardo" w:cs="Cardo"/>
          <w:color w:val="FF0000"/>
          <w:sz w:val="20"/>
          <w:szCs w:val="20"/>
        </w:rPr>
        <w:t xml:space="preserve"> → Creates </w:t>
      </w:r>
      <w:r>
        <w:rPr>
          <w:rFonts w:ascii="Times New Roman" w:eastAsia="Times New Roman" w:hAnsi="Times New Roman" w:cs="Times New Roman"/>
          <w:i/>
          <w:color w:val="FF0000"/>
          <w:sz w:val="20"/>
          <w:szCs w:val="20"/>
        </w:rPr>
        <w:t>double</w:t>
      </w:r>
      <w:r>
        <w:rPr>
          <w:rFonts w:ascii="Times New Roman" w:eastAsia="Times New Roman" w:hAnsi="Times New Roman" w:cs="Times New Roman"/>
          <w:color w:val="FF0000"/>
          <w:sz w:val="20"/>
          <w:szCs w:val="20"/>
        </w:rPr>
        <w:t xml:space="preserve"> territorial limit because within state (geographic) and by state law</w:t>
      </w:r>
    </w:p>
    <w:p w:rsidR="00E45F3B" w:rsidRDefault="006A3871">
      <w:pPr>
        <w:numPr>
          <w:ilvl w:val="3"/>
          <w:numId w:val="5"/>
        </w:numPr>
        <w:contextualSpacing/>
        <w:rPr>
          <w:rFonts w:ascii="Times New Roman" w:eastAsia="Times New Roman" w:hAnsi="Times New Roman" w:cs="Times New Roman"/>
          <w:sz w:val="20"/>
          <w:szCs w:val="20"/>
        </w:rPr>
      </w:pPr>
      <w:r>
        <w:rPr>
          <w:rFonts w:ascii="Times New Roman" w:eastAsia="Times New Roman" w:hAnsi="Times New Roman" w:cs="Times New Roman"/>
          <w:sz w:val="20"/>
          <w:szCs w:val="20"/>
        </w:rPr>
        <w:t xml:space="preserve">(2) Disparity between compensatory and punitive damage awards – </w:t>
      </w:r>
      <w:r>
        <w:rPr>
          <w:rFonts w:ascii="Times New Roman" w:eastAsia="Times New Roman" w:hAnsi="Times New Roman" w:cs="Times New Roman"/>
          <w:sz w:val="20"/>
          <w:szCs w:val="20"/>
          <w:u w:val="single"/>
        </w:rPr>
        <w:t>single digit multiplier rule</w:t>
      </w:r>
      <w:r>
        <w:rPr>
          <w:rFonts w:ascii="Times New Roman" w:eastAsia="Times New Roman" w:hAnsi="Times New Roman" w:cs="Times New Roman"/>
          <w:sz w:val="20"/>
          <w:szCs w:val="20"/>
        </w:rPr>
        <w:t xml:space="preserve"> – ratio should be single digits (i.e. max is 9:1)</w:t>
      </w:r>
    </w:p>
    <w:p w:rsidR="00E45F3B" w:rsidRDefault="006A3871">
      <w:pPr>
        <w:numPr>
          <w:ilvl w:val="3"/>
          <w:numId w:val="5"/>
        </w:numPr>
        <w:contextualSpacing/>
        <w:rPr>
          <w:rFonts w:ascii="Times New Roman" w:eastAsia="Times New Roman" w:hAnsi="Times New Roman" w:cs="Times New Roman"/>
          <w:sz w:val="20"/>
          <w:szCs w:val="20"/>
        </w:rPr>
      </w:pPr>
      <w:r>
        <w:rPr>
          <w:rFonts w:ascii="Times New Roman" w:eastAsia="Times New Roman" w:hAnsi="Times New Roman" w:cs="Times New Roman"/>
          <w:sz w:val="20"/>
          <w:szCs w:val="20"/>
        </w:rPr>
        <w:t>(3) Difference between punitive award awarded by jury and civil penalties authorized/imposed in comparable cases</w:t>
      </w:r>
    </w:p>
    <w:p w:rsidR="00E45F3B" w:rsidRDefault="006A3871">
      <w:pPr>
        <w:numPr>
          <w:ilvl w:val="3"/>
          <w:numId w:val="5"/>
        </w:numPr>
        <w:contextualSpacing/>
        <w:rPr>
          <w:rFonts w:ascii="Times New Roman" w:eastAsia="Times New Roman" w:hAnsi="Times New Roman" w:cs="Times New Roman"/>
          <w:sz w:val="20"/>
          <w:szCs w:val="20"/>
        </w:rPr>
      </w:pPr>
      <w:r>
        <w:rPr>
          <w:rFonts w:ascii="Times New Roman" w:eastAsia="Times New Roman" w:hAnsi="Times New Roman" w:cs="Times New Roman"/>
          <w:sz w:val="20"/>
          <w:szCs w:val="20"/>
        </w:rPr>
        <w:lastRenderedPageBreak/>
        <w:t>Rationale: Due Process, no deprivation of life, liberty, or property (here property via money and process as Campbell’s suit doesn’t bar other</w:t>
      </w:r>
      <w:r>
        <w:rPr>
          <w:rFonts w:ascii="Times New Roman" w:eastAsia="Times New Roman" w:hAnsi="Times New Roman" w:cs="Times New Roman"/>
          <w:sz w:val="20"/>
          <w:szCs w:val="20"/>
        </w:rPr>
        <w:t xml:space="preserve">s affected by scheme from bringing suit against State Farm); Court attempts to establish more uniformity for punitive damages </w:t>
      </w:r>
    </w:p>
    <w:p w:rsidR="00E45F3B" w:rsidRDefault="006A3871">
      <w:pPr>
        <w:numPr>
          <w:ilvl w:val="4"/>
          <w:numId w:val="5"/>
        </w:numPr>
        <w:contextualSpacing/>
        <w:rPr>
          <w:rFonts w:ascii="Times New Roman" w:eastAsia="Times New Roman" w:hAnsi="Times New Roman" w:cs="Times New Roman"/>
          <w:sz w:val="20"/>
          <w:szCs w:val="20"/>
        </w:rPr>
      </w:pPr>
      <w:r>
        <w:rPr>
          <w:rFonts w:ascii="Times New Roman" w:eastAsia="Times New Roman" w:hAnsi="Times New Roman" w:cs="Times New Roman"/>
          <w:sz w:val="20"/>
          <w:szCs w:val="20"/>
        </w:rPr>
        <w:t xml:space="preserve">State Farm can’t defend against other claims as not being provided notice and/or hearing specific to those claims; can only look </w:t>
      </w:r>
      <w:r>
        <w:rPr>
          <w:rFonts w:ascii="Times New Roman" w:eastAsia="Times New Roman" w:hAnsi="Times New Roman" w:cs="Times New Roman"/>
          <w:sz w:val="20"/>
          <w:szCs w:val="20"/>
        </w:rPr>
        <w:t>to other like claims to adjudicate case</w:t>
      </w:r>
    </w:p>
    <w:p w:rsidR="00E45F3B" w:rsidRDefault="006A3871">
      <w:pPr>
        <w:numPr>
          <w:ilvl w:val="1"/>
          <w:numId w:val="5"/>
        </w:numPr>
        <w:contextualSpacing/>
        <w:rPr>
          <w:rFonts w:ascii="Times New Roman" w:eastAsia="Times New Roman" w:hAnsi="Times New Roman" w:cs="Times New Roman"/>
          <w:sz w:val="20"/>
          <w:szCs w:val="20"/>
        </w:rPr>
      </w:pPr>
      <w:r>
        <w:rPr>
          <w:rFonts w:ascii="Times New Roman" w:eastAsia="Times New Roman" w:hAnsi="Times New Roman" w:cs="Times New Roman"/>
          <w:sz w:val="20"/>
          <w:szCs w:val="20"/>
        </w:rPr>
        <w:t xml:space="preserve">Equity &amp; Specific Remedies (Provisional Remedies) – deterrence and retribution, when money damages might not resolve – preventing harm, preventing something from happening again, or providing to the P the thing that </w:t>
      </w:r>
      <w:r>
        <w:rPr>
          <w:rFonts w:ascii="Times New Roman" w:eastAsia="Times New Roman" w:hAnsi="Times New Roman" w:cs="Times New Roman"/>
          <w:sz w:val="20"/>
          <w:szCs w:val="20"/>
        </w:rPr>
        <w:t>the he/she lost</w:t>
      </w:r>
    </w:p>
    <w:p w:rsidR="00E45F3B" w:rsidRDefault="006A3871">
      <w:pPr>
        <w:numPr>
          <w:ilvl w:val="2"/>
          <w:numId w:val="5"/>
        </w:numPr>
        <w:contextualSpacing/>
        <w:rPr>
          <w:rFonts w:ascii="Times New Roman" w:eastAsia="Times New Roman" w:hAnsi="Times New Roman" w:cs="Times New Roman"/>
          <w:sz w:val="20"/>
          <w:szCs w:val="20"/>
        </w:rPr>
      </w:pPr>
      <w:r>
        <w:rPr>
          <w:rFonts w:ascii="Times New Roman" w:eastAsia="Times New Roman" w:hAnsi="Times New Roman" w:cs="Times New Roman"/>
          <w:sz w:val="20"/>
          <w:szCs w:val="20"/>
        </w:rPr>
        <w:t>Injunctions</w:t>
      </w:r>
    </w:p>
    <w:p w:rsidR="00E45F3B" w:rsidRDefault="006A3871">
      <w:pPr>
        <w:numPr>
          <w:ilvl w:val="3"/>
          <w:numId w:val="5"/>
        </w:numPr>
        <w:contextualSpacing/>
        <w:rPr>
          <w:rFonts w:ascii="Times New Roman" w:eastAsia="Times New Roman" w:hAnsi="Times New Roman" w:cs="Times New Roman"/>
          <w:sz w:val="20"/>
          <w:szCs w:val="20"/>
        </w:rPr>
      </w:pPr>
      <w:r>
        <w:rPr>
          <w:rFonts w:ascii="Times New Roman" w:eastAsia="Times New Roman" w:hAnsi="Times New Roman" w:cs="Times New Roman"/>
          <w:sz w:val="20"/>
          <w:szCs w:val="20"/>
        </w:rPr>
        <w:t>Preliminary injunction, factors</w:t>
      </w:r>
    </w:p>
    <w:p w:rsidR="00E45F3B" w:rsidRDefault="006A3871">
      <w:pPr>
        <w:numPr>
          <w:ilvl w:val="4"/>
          <w:numId w:val="5"/>
        </w:numPr>
        <w:contextualSpacing/>
        <w:rPr>
          <w:rFonts w:ascii="Times New Roman" w:eastAsia="Times New Roman" w:hAnsi="Times New Roman" w:cs="Times New Roman"/>
          <w:sz w:val="20"/>
          <w:szCs w:val="20"/>
        </w:rPr>
      </w:pPr>
      <w:r>
        <w:rPr>
          <w:rFonts w:ascii="Times New Roman" w:eastAsia="Times New Roman" w:hAnsi="Times New Roman" w:cs="Times New Roman"/>
          <w:sz w:val="20"/>
          <w:szCs w:val="20"/>
        </w:rPr>
        <w:t>Likelihood of success on the merits</w:t>
      </w:r>
    </w:p>
    <w:p w:rsidR="00E45F3B" w:rsidRDefault="006A3871">
      <w:pPr>
        <w:numPr>
          <w:ilvl w:val="4"/>
          <w:numId w:val="5"/>
        </w:numPr>
        <w:contextualSpacing/>
        <w:rPr>
          <w:rFonts w:ascii="Times New Roman" w:eastAsia="Times New Roman" w:hAnsi="Times New Roman" w:cs="Times New Roman"/>
          <w:sz w:val="20"/>
          <w:szCs w:val="20"/>
        </w:rPr>
      </w:pPr>
      <w:r>
        <w:rPr>
          <w:rFonts w:ascii="Times New Roman" w:eastAsia="Times New Roman" w:hAnsi="Times New Roman" w:cs="Times New Roman"/>
          <w:sz w:val="20"/>
          <w:szCs w:val="20"/>
        </w:rPr>
        <w:t>Likelihood of irreparable harm in absence of preliminary relief</w:t>
      </w:r>
    </w:p>
    <w:p w:rsidR="00E45F3B" w:rsidRDefault="006A3871">
      <w:pPr>
        <w:numPr>
          <w:ilvl w:val="4"/>
          <w:numId w:val="5"/>
        </w:numPr>
        <w:contextualSpacing/>
        <w:rPr>
          <w:rFonts w:ascii="Times New Roman" w:eastAsia="Times New Roman" w:hAnsi="Times New Roman" w:cs="Times New Roman"/>
          <w:sz w:val="20"/>
          <w:szCs w:val="20"/>
        </w:rPr>
      </w:pPr>
      <w:r>
        <w:rPr>
          <w:rFonts w:ascii="Times New Roman" w:eastAsia="Times New Roman" w:hAnsi="Times New Roman" w:cs="Times New Roman"/>
          <w:sz w:val="20"/>
          <w:szCs w:val="20"/>
        </w:rPr>
        <w:t>Balance of equities tips in P’s favor</w:t>
      </w:r>
    </w:p>
    <w:p w:rsidR="00E45F3B" w:rsidRDefault="006A3871">
      <w:pPr>
        <w:numPr>
          <w:ilvl w:val="4"/>
          <w:numId w:val="5"/>
        </w:numPr>
        <w:contextualSpacing/>
        <w:rPr>
          <w:rFonts w:ascii="Times New Roman" w:eastAsia="Times New Roman" w:hAnsi="Times New Roman" w:cs="Times New Roman"/>
          <w:sz w:val="20"/>
          <w:szCs w:val="20"/>
        </w:rPr>
      </w:pPr>
      <w:r>
        <w:rPr>
          <w:rFonts w:ascii="Times New Roman" w:eastAsia="Times New Roman" w:hAnsi="Times New Roman" w:cs="Times New Roman"/>
          <w:sz w:val="20"/>
          <w:szCs w:val="20"/>
        </w:rPr>
        <w:t>That injunction in the public interest</w:t>
      </w:r>
    </w:p>
    <w:p w:rsidR="00E45F3B" w:rsidRDefault="006A3871">
      <w:pPr>
        <w:numPr>
          <w:ilvl w:val="4"/>
          <w:numId w:val="5"/>
        </w:numPr>
        <w:contextualSpacing/>
        <w:rPr>
          <w:rFonts w:ascii="Times New Roman" w:eastAsia="Times New Roman" w:hAnsi="Times New Roman" w:cs="Times New Roman"/>
          <w:sz w:val="20"/>
          <w:szCs w:val="20"/>
        </w:rPr>
      </w:pPr>
      <w:r>
        <w:rPr>
          <w:rFonts w:ascii="Times New Roman" w:eastAsia="Times New Roman" w:hAnsi="Times New Roman" w:cs="Times New Roman"/>
          <w:i/>
          <w:color w:val="FF0000"/>
          <w:sz w:val="20"/>
          <w:szCs w:val="20"/>
        </w:rPr>
        <w:t>Winter v. Natural R</w:t>
      </w:r>
      <w:r>
        <w:rPr>
          <w:rFonts w:ascii="Times New Roman" w:eastAsia="Times New Roman" w:hAnsi="Times New Roman" w:cs="Times New Roman"/>
          <w:i/>
          <w:color w:val="FF0000"/>
          <w:sz w:val="20"/>
          <w:szCs w:val="20"/>
        </w:rPr>
        <w:t xml:space="preserve">esources Defense Council, Inc. </w:t>
      </w:r>
      <w:r>
        <w:rPr>
          <w:rFonts w:ascii="Times New Roman" w:eastAsia="Times New Roman" w:hAnsi="Times New Roman" w:cs="Times New Roman"/>
          <w:color w:val="FF0000"/>
          <w:sz w:val="20"/>
          <w:szCs w:val="20"/>
        </w:rPr>
        <w:t>(SCOTUS, 2008)</w:t>
      </w:r>
    </w:p>
    <w:p w:rsidR="00E45F3B" w:rsidRDefault="006A3871">
      <w:pPr>
        <w:ind w:left="3600"/>
        <w:rPr>
          <w:rFonts w:ascii="Times New Roman" w:eastAsia="Times New Roman" w:hAnsi="Times New Roman" w:cs="Times New Roman"/>
          <w:color w:val="FF0000"/>
          <w:sz w:val="20"/>
          <w:szCs w:val="20"/>
        </w:rPr>
      </w:pPr>
      <w:r>
        <w:rPr>
          <w:rFonts w:ascii="Times New Roman" w:eastAsia="Times New Roman" w:hAnsi="Times New Roman" w:cs="Times New Roman"/>
          <w:b/>
          <w:color w:val="FF0000"/>
          <w:sz w:val="20"/>
          <w:szCs w:val="20"/>
        </w:rPr>
        <w:t>H:</w:t>
      </w:r>
      <w:r>
        <w:rPr>
          <w:rFonts w:ascii="Times New Roman" w:eastAsia="Times New Roman" w:hAnsi="Times New Roman" w:cs="Times New Roman"/>
          <w:color w:val="FF0000"/>
          <w:sz w:val="20"/>
          <w:szCs w:val="20"/>
        </w:rPr>
        <w:t xml:space="preserve"> P seeks preliminary injunction to limit Navy training exercises because of harm to marine life – court denies, requiring </w:t>
      </w:r>
      <w:r>
        <w:rPr>
          <w:rFonts w:ascii="Times New Roman" w:eastAsia="Times New Roman" w:hAnsi="Times New Roman" w:cs="Times New Roman"/>
          <w:i/>
          <w:color w:val="FF0000"/>
          <w:sz w:val="20"/>
          <w:szCs w:val="20"/>
        </w:rPr>
        <w:t>likelihood</w:t>
      </w:r>
      <w:r>
        <w:rPr>
          <w:rFonts w:ascii="Times New Roman" w:eastAsia="Times New Roman" w:hAnsi="Times New Roman" w:cs="Times New Roman"/>
          <w:color w:val="FF0000"/>
          <w:sz w:val="20"/>
          <w:szCs w:val="20"/>
        </w:rPr>
        <w:t xml:space="preserve"> not a </w:t>
      </w:r>
      <w:r>
        <w:rPr>
          <w:rFonts w:ascii="Times New Roman" w:eastAsia="Times New Roman" w:hAnsi="Times New Roman" w:cs="Times New Roman"/>
          <w:i/>
          <w:color w:val="FF0000"/>
          <w:sz w:val="20"/>
          <w:szCs w:val="20"/>
        </w:rPr>
        <w:t>possibility</w:t>
      </w:r>
      <w:r>
        <w:rPr>
          <w:rFonts w:ascii="Times New Roman" w:eastAsia="Times New Roman" w:hAnsi="Times New Roman" w:cs="Times New Roman"/>
          <w:color w:val="FF0000"/>
          <w:sz w:val="20"/>
          <w:szCs w:val="20"/>
        </w:rPr>
        <w:t xml:space="preserve"> in (1) and (2), also requires all factors (as elements) f</w:t>
      </w:r>
      <w:r>
        <w:rPr>
          <w:rFonts w:ascii="Times New Roman" w:eastAsia="Times New Roman" w:hAnsi="Times New Roman" w:cs="Times New Roman"/>
          <w:color w:val="FF0000"/>
          <w:sz w:val="20"/>
          <w:szCs w:val="20"/>
        </w:rPr>
        <w:t>or grant of preliminary injunction (creates checklist); to (4), if national security interest, its going to outweigh other public interests (here irreparable harm to marine life)</w:t>
      </w:r>
    </w:p>
    <w:p w:rsidR="00E45F3B" w:rsidRDefault="006A3871">
      <w:pPr>
        <w:ind w:left="3600"/>
        <w:rPr>
          <w:rFonts w:ascii="Times New Roman" w:eastAsia="Times New Roman" w:hAnsi="Times New Roman" w:cs="Times New Roman"/>
          <w:color w:val="FF0000"/>
          <w:sz w:val="20"/>
          <w:szCs w:val="20"/>
        </w:rPr>
      </w:pPr>
      <w:r>
        <w:rPr>
          <w:rFonts w:ascii="Times New Roman" w:eastAsia="Times New Roman" w:hAnsi="Times New Roman" w:cs="Times New Roman"/>
          <w:b/>
          <w:color w:val="FF0000"/>
          <w:sz w:val="20"/>
          <w:szCs w:val="20"/>
        </w:rPr>
        <w:t xml:space="preserve">Ginsberg Dissent: </w:t>
      </w:r>
      <w:r>
        <w:rPr>
          <w:rFonts w:ascii="Times New Roman" w:eastAsia="Times New Roman" w:hAnsi="Times New Roman" w:cs="Times New Roman"/>
          <w:color w:val="FF0000"/>
          <w:sz w:val="20"/>
          <w:szCs w:val="20"/>
        </w:rPr>
        <w:t>Sliding scale/balancing test between (1) and (2), argues th</w:t>
      </w:r>
      <w:r>
        <w:rPr>
          <w:rFonts w:ascii="Times New Roman" w:eastAsia="Times New Roman" w:hAnsi="Times New Roman" w:cs="Times New Roman"/>
          <w:color w:val="FF0000"/>
          <w:sz w:val="20"/>
          <w:szCs w:val="20"/>
        </w:rPr>
        <w:t>at emphasis on national security in (4) makes analysis of (2) mere dicta</w:t>
      </w:r>
    </w:p>
    <w:p w:rsidR="00E45F3B" w:rsidRDefault="006A3871">
      <w:pPr>
        <w:ind w:left="3600"/>
        <w:rPr>
          <w:rFonts w:ascii="Times New Roman" w:eastAsia="Times New Roman" w:hAnsi="Times New Roman" w:cs="Times New Roman"/>
          <w:color w:val="FF0000"/>
          <w:sz w:val="20"/>
          <w:szCs w:val="20"/>
        </w:rPr>
      </w:pPr>
      <w:r>
        <w:rPr>
          <w:rFonts w:ascii="Cardo" w:eastAsia="Cardo" w:hAnsi="Cardo" w:cs="Cardo"/>
          <w:color w:val="FF0000"/>
          <w:sz w:val="20"/>
          <w:szCs w:val="20"/>
        </w:rPr>
        <w:t>→ Where (1) 99% and (2) 1%, majority would deny, Ginsberg would grant</w:t>
      </w:r>
    </w:p>
    <w:p w:rsidR="00E45F3B" w:rsidRDefault="006A3871">
      <w:pPr>
        <w:ind w:left="3600"/>
        <w:rPr>
          <w:rFonts w:ascii="Times New Roman" w:eastAsia="Times New Roman" w:hAnsi="Times New Roman" w:cs="Times New Roman"/>
          <w:sz w:val="20"/>
          <w:szCs w:val="20"/>
        </w:rPr>
      </w:pPr>
      <w:r>
        <w:rPr>
          <w:rFonts w:ascii="Cardo" w:eastAsia="Cardo" w:hAnsi="Cardo" w:cs="Cardo"/>
          <w:color w:val="FF0000"/>
          <w:sz w:val="20"/>
          <w:szCs w:val="20"/>
        </w:rPr>
        <w:t>→ Lower courts have inconsistently followed checklist/sliding scale, can’t say anything more about precedential value until further rulings</w:t>
      </w:r>
      <w:r>
        <w:rPr>
          <w:rFonts w:ascii="Cardo" w:eastAsia="Cardo" w:hAnsi="Cardo" w:cs="Cardo"/>
          <w:color w:val="FF0000"/>
          <w:sz w:val="20"/>
          <w:szCs w:val="20"/>
        </w:rPr>
        <w:tab/>
      </w:r>
    </w:p>
    <w:p w:rsidR="00E45F3B" w:rsidRDefault="006A3871">
      <w:pPr>
        <w:numPr>
          <w:ilvl w:val="2"/>
          <w:numId w:val="5"/>
        </w:numPr>
        <w:contextualSpacing/>
        <w:rPr>
          <w:rFonts w:ascii="Times New Roman" w:eastAsia="Times New Roman" w:hAnsi="Times New Roman" w:cs="Times New Roman"/>
          <w:sz w:val="20"/>
          <w:szCs w:val="20"/>
        </w:rPr>
      </w:pPr>
      <w:r>
        <w:rPr>
          <w:rFonts w:ascii="Times New Roman" w:eastAsia="Times New Roman" w:hAnsi="Times New Roman" w:cs="Times New Roman"/>
          <w:sz w:val="20"/>
          <w:szCs w:val="20"/>
        </w:rPr>
        <w:t xml:space="preserve">Attachment </w:t>
      </w:r>
    </w:p>
    <w:p w:rsidR="00E45F3B" w:rsidRDefault="006A3871">
      <w:pPr>
        <w:numPr>
          <w:ilvl w:val="2"/>
          <w:numId w:val="5"/>
        </w:numPr>
        <w:contextualSpacing/>
        <w:rPr>
          <w:rFonts w:ascii="Times New Roman" w:eastAsia="Times New Roman" w:hAnsi="Times New Roman" w:cs="Times New Roman"/>
          <w:sz w:val="20"/>
          <w:szCs w:val="20"/>
        </w:rPr>
      </w:pPr>
      <w:r>
        <w:rPr>
          <w:rFonts w:ascii="Times New Roman" w:eastAsia="Times New Roman" w:hAnsi="Times New Roman" w:cs="Times New Roman"/>
          <w:sz w:val="20"/>
          <w:szCs w:val="20"/>
        </w:rPr>
        <w:t>Replevin</w:t>
      </w:r>
    </w:p>
    <w:p w:rsidR="00E45F3B" w:rsidRDefault="006A3871">
      <w:pPr>
        <w:numPr>
          <w:ilvl w:val="2"/>
          <w:numId w:val="5"/>
        </w:numPr>
        <w:contextualSpacing/>
        <w:rPr>
          <w:rFonts w:ascii="Times New Roman" w:eastAsia="Times New Roman" w:hAnsi="Times New Roman" w:cs="Times New Roman"/>
          <w:sz w:val="20"/>
          <w:szCs w:val="20"/>
        </w:rPr>
      </w:pPr>
      <w:r>
        <w:rPr>
          <w:rFonts w:ascii="Times New Roman" w:eastAsia="Times New Roman" w:hAnsi="Times New Roman" w:cs="Times New Roman"/>
          <w:sz w:val="20"/>
          <w:szCs w:val="20"/>
        </w:rPr>
        <w:t>Garnishment</w:t>
      </w:r>
    </w:p>
    <w:p w:rsidR="00E45F3B" w:rsidRDefault="006A3871">
      <w:pPr>
        <w:numPr>
          <w:ilvl w:val="1"/>
          <w:numId w:val="5"/>
        </w:numPr>
        <w:contextualSpacing/>
        <w:rPr>
          <w:rFonts w:ascii="Times New Roman" w:eastAsia="Times New Roman" w:hAnsi="Times New Roman" w:cs="Times New Roman"/>
          <w:sz w:val="20"/>
          <w:szCs w:val="20"/>
        </w:rPr>
      </w:pPr>
      <w:r>
        <w:rPr>
          <w:rFonts w:ascii="Times New Roman" w:eastAsia="Times New Roman" w:hAnsi="Times New Roman" w:cs="Times New Roman"/>
          <w:sz w:val="20"/>
          <w:szCs w:val="20"/>
        </w:rPr>
        <w:t>Declaratory Remedies</w:t>
      </w:r>
    </w:p>
    <w:p w:rsidR="00E45F3B" w:rsidRDefault="006A3871">
      <w:pPr>
        <w:numPr>
          <w:ilvl w:val="1"/>
          <w:numId w:val="5"/>
        </w:numPr>
        <w:contextualSpacing/>
        <w:rPr>
          <w:rFonts w:ascii="Times New Roman" w:eastAsia="Times New Roman" w:hAnsi="Times New Roman" w:cs="Times New Roman"/>
          <w:sz w:val="20"/>
          <w:szCs w:val="20"/>
        </w:rPr>
      </w:pPr>
      <w:r>
        <w:rPr>
          <w:rFonts w:ascii="Times New Roman" w:eastAsia="Times New Roman" w:hAnsi="Times New Roman" w:cs="Times New Roman"/>
          <w:sz w:val="20"/>
          <w:szCs w:val="20"/>
        </w:rPr>
        <w:t>Temporary Remedies &amp; Due Process</w:t>
      </w:r>
    </w:p>
    <w:p w:rsidR="00E45F3B" w:rsidRDefault="006A3871">
      <w:pPr>
        <w:numPr>
          <w:ilvl w:val="2"/>
          <w:numId w:val="5"/>
        </w:numPr>
        <w:contextualSpacing/>
        <w:rPr>
          <w:rFonts w:ascii="Times New Roman" w:eastAsia="Times New Roman" w:hAnsi="Times New Roman" w:cs="Times New Roman"/>
          <w:sz w:val="20"/>
          <w:szCs w:val="20"/>
        </w:rPr>
      </w:pPr>
      <w:r>
        <w:rPr>
          <w:rFonts w:ascii="Times New Roman" w:eastAsia="Times New Roman" w:hAnsi="Times New Roman" w:cs="Times New Roman"/>
          <w:i/>
          <w:color w:val="FF0000"/>
          <w:sz w:val="20"/>
          <w:szCs w:val="20"/>
        </w:rPr>
        <w:t xml:space="preserve">Fuentes v. Shevin </w:t>
      </w:r>
      <w:r>
        <w:rPr>
          <w:rFonts w:ascii="Times New Roman" w:eastAsia="Times New Roman" w:hAnsi="Times New Roman" w:cs="Times New Roman"/>
          <w:color w:val="FF0000"/>
          <w:sz w:val="20"/>
          <w:szCs w:val="20"/>
        </w:rPr>
        <w:t>(SCOTUS, 1972)</w:t>
      </w:r>
    </w:p>
    <w:p w:rsidR="00E45F3B" w:rsidRDefault="006A3871">
      <w:pPr>
        <w:ind w:left="2160"/>
        <w:rPr>
          <w:rFonts w:ascii="Times New Roman" w:eastAsia="Times New Roman" w:hAnsi="Times New Roman" w:cs="Times New Roman"/>
          <w:color w:val="FF0000"/>
          <w:sz w:val="20"/>
          <w:szCs w:val="20"/>
        </w:rPr>
      </w:pPr>
      <w:r>
        <w:rPr>
          <w:rFonts w:ascii="Times New Roman" w:eastAsia="Times New Roman" w:hAnsi="Times New Roman" w:cs="Times New Roman"/>
          <w:b/>
          <w:color w:val="FF0000"/>
          <w:sz w:val="20"/>
          <w:szCs w:val="20"/>
        </w:rPr>
        <w:t>H:</w:t>
      </w:r>
      <w:r>
        <w:rPr>
          <w:rFonts w:ascii="Times New Roman" w:eastAsia="Times New Roman" w:hAnsi="Times New Roman" w:cs="Times New Roman"/>
          <w:color w:val="FF0000"/>
          <w:sz w:val="20"/>
          <w:szCs w:val="20"/>
        </w:rPr>
        <w:t xml:space="preserve"> P seeks return of stove seized via replevin in FL (joined with PA replevin case); Replevin usually granted during trial but in some states (like FL) may file for writ of replevin without any other formal decision on merits and seize, as h</w:t>
      </w:r>
      <w:r>
        <w:rPr>
          <w:rFonts w:ascii="Times New Roman" w:eastAsia="Times New Roman" w:hAnsi="Times New Roman" w:cs="Times New Roman"/>
          <w:color w:val="FF0000"/>
          <w:sz w:val="20"/>
          <w:szCs w:val="20"/>
        </w:rPr>
        <w:t>appened here, P given notice after the seizure that she can that she can regain property via post-seizure hearing; P sues under 14th amendment due process challenging constitutionality of FL (and PA) law (seizure by police = state action; deprivation of pr</w:t>
      </w:r>
      <w:r>
        <w:rPr>
          <w:rFonts w:ascii="Times New Roman" w:eastAsia="Times New Roman" w:hAnsi="Times New Roman" w:cs="Times New Roman"/>
          <w:color w:val="FF0000"/>
          <w:sz w:val="20"/>
          <w:szCs w:val="20"/>
        </w:rPr>
        <w:t xml:space="preserve">operty without due process), since no </w:t>
      </w:r>
      <w:r>
        <w:rPr>
          <w:rFonts w:ascii="Times New Roman" w:eastAsia="Times New Roman" w:hAnsi="Times New Roman" w:cs="Times New Roman"/>
          <w:i/>
          <w:color w:val="FF0000"/>
          <w:sz w:val="20"/>
          <w:szCs w:val="20"/>
        </w:rPr>
        <w:t>likelihood</w:t>
      </w:r>
      <w:r>
        <w:rPr>
          <w:rFonts w:ascii="Times New Roman" w:eastAsia="Times New Roman" w:hAnsi="Times New Roman" w:cs="Times New Roman"/>
          <w:color w:val="FF0000"/>
          <w:sz w:val="20"/>
          <w:szCs w:val="20"/>
        </w:rPr>
        <w:t xml:space="preserve"> of success by Firestone, P may have been treated unfairly </w:t>
      </w:r>
    </w:p>
    <w:p w:rsidR="00E45F3B" w:rsidRDefault="006A3871">
      <w:pPr>
        <w:numPr>
          <w:ilvl w:val="3"/>
          <w:numId w:val="5"/>
        </w:numPr>
        <w:contextualSpacing/>
        <w:rPr>
          <w:rFonts w:ascii="Times New Roman" w:eastAsia="Times New Roman" w:hAnsi="Times New Roman" w:cs="Times New Roman"/>
          <w:color w:val="FF0000"/>
          <w:sz w:val="20"/>
          <w:szCs w:val="20"/>
        </w:rPr>
      </w:pPr>
      <w:r>
        <w:rPr>
          <w:rFonts w:ascii="Times New Roman" w:eastAsia="Times New Roman" w:hAnsi="Times New Roman" w:cs="Times New Roman"/>
          <w:color w:val="FF0000"/>
          <w:sz w:val="20"/>
          <w:szCs w:val="20"/>
        </w:rPr>
        <w:t xml:space="preserve">Due Process – deprivation of life, liberty, or </w:t>
      </w:r>
      <w:r>
        <w:rPr>
          <w:rFonts w:ascii="Times New Roman" w:eastAsia="Times New Roman" w:hAnsi="Times New Roman" w:cs="Times New Roman"/>
          <w:i/>
          <w:color w:val="FF0000"/>
          <w:sz w:val="20"/>
          <w:szCs w:val="20"/>
        </w:rPr>
        <w:t>property</w:t>
      </w:r>
      <w:r>
        <w:rPr>
          <w:rFonts w:ascii="Times New Roman" w:eastAsia="Times New Roman" w:hAnsi="Times New Roman" w:cs="Times New Roman"/>
          <w:color w:val="FF0000"/>
          <w:sz w:val="20"/>
          <w:szCs w:val="20"/>
        </w:rPr>
        <w:t xml:space="preserve"> (protects significant property)</w:t>
      </w:r>
    </w:p>
    <w:p w:rsidR="00E45F3B" w:rsidRDefault="006A3871">
      <w:pPr>
        <w:numPr>
          <w:ilvl w:val="3"/>
          <w:numId w:val="5"/>
        </w:numPr>
        <w:contextualSpacing/>
        <w:rPr>
          <w:rFonts w:ascii="Times New Roman" w:eastAsia="Times New Roman" w:hAnsi="Times New Roman" w:cs="Times New Roman"/>
          <w:color w:val="FF0000"/>
          <w:sz w:val="20"/>
          <w:szCs w:val="20"/>
        </w:rPr>
      </w:pPr>
      <w:r>
        <w:rPr>
          <w:rFonts w:ascii="Times New Roman" w:eastAsia="Times New Roman" w:hAnsi="Times New Roman" w:cs="Times New Roman"/>
          <w:color w:val="FF0000"/>
          <w:sz w:val="20"/>
          <w:szCs w:val="20"/>
        </w:rPr>
        <w:t>Instances where deprivation without due process (without hea</w:t>
      </w:r>
      <w:r>
        <w:rPr>
          <w:rFonts w:ascii="Times New Roman" w:eastAsia="Times New Roman" w:hAnsi="Times New Roman" w:cs="Times New Roman"/>
          <w:color w:val="FF0000"/>
          <w:sz w:val="20"/>
          <w:szCs w:val="20"/>
        </w:rPr>
        <w:t>ring/notice, as here) OK: If P is about to destroy property, if in matter of public interest, in extraordinary circumstances (court doesn’t define)</w:t>
      </w:r>
    </w:p>
    <w:p w:rsidR="00E45F3B" w:rsidRDefault="006A3871">
      <w:pPr>
        <w:ind w:left="2160"/>
        <w:rPr>
          <w:rFonts w:ascii="Times New Roman" w:eastAsia="Times New Roman" w:hAnsi="Times New Roman" w:cs="Times New Roman"/>
          <w:b/>
          <w:sz w:val="20"/>
          <w:szCs w:val="20"/>
        </w:rPr>
      </w:pPr>
      <w:r>
        <w:rPr>
          <w:rFonts w:ascii="Times New Roman" w:eastAsia="Times New Roman" w:hAnsi="Times New Roman" w:cs="Times New Roman"/>
          <w:b/>
          <w:color w:val="FF0000"/>
          <w:sz w:val="20"/>
          <w:szCs w:val="20"/>
        </w:rPr>
        <w:t xml:space="preserve">Rule: </w:t>
      </w:r>
      <w:r>
        <w:rPr>
          <w:rFonts w:ascii="Times New Roman" w:eastAsia="Times New Roman" w:hAnsi="Times New Roman" w:cs="Times New Roman"/>
          <w:color w:val="FF0000"/>
          <w:sz w:val="20"/>
          <w:szCs w:val="20"/>
        </w:rPr>
        <w:t xml:space="preserve">Three goals for due process: (1) Accuracy, (2) efficiency, and (3) dignity (dignitary interest in due </w:t>
      </w:r>
      <w:r>
        <w:rPr>
          <w:rFonts w:ascii="Times New Roman" w:eastAsia="Times New Roman" w:hAnsi="Times New Roman" w:cs="Times New Roman"/>
          <w:color w:val="FF0000"/>
          <w:sz w:val="20"/>
          <w:szCs w:val="20"/>
        </w:rPr>
        <w:t>process, want to feel that we’ve been done right) – here (3) element especially important because low-income plaintiff</w:t>
      </w:r>
    </w:p>
    <w:p w:rsidR="00E45F3B" w:rsidRDefault="006A3871">
      <w:pPr>
        <w:numPr>
          <w:ilvl w:val="2"/>
          <w:numId w:val="5"/>
        </w:numPr>
        <w:contextualSpacing/>
        <w:rPr>
          <w:rFonts w:ascii="Times New Roman" w:eastAsia="Times New Roman" w:hAnsi="Times New Roman" w:cs="Times New Roman"/>
          <w:sz w:val="20"/>
          <w:szCs w:val="20"/>
        </w:rPr>
      </w:pPr>
      <w:r>
        <w:rPr>
          <w:rFonts w:ascii="Times New Roman" w:eastAsia="Times New Roman" w:hAnsi="Times New Roman" w:cs="Times New Roman"/>
          <w:i/>
          <w:color w:val="FF0000"/>
          <w:sz w:val="20"/>
          <w:szCs w:val="20"/>
        </w:rPr>
        <w:t>Mathews v. Eldridge</w:t>
      </w:r>
      <w:r>
        <w:rPr>
          <w:rFonts w:ascii="Times New Roman" w:eastAsia="Times New Roman" w:hAnsi="Times New Roman" w:cs="Times New Roman"/>
          <w:color w:val="FF0000"/>
          <w:sz w:val="20"/>
          <w:szCs w:val="20"/>
        </w:rPr>
        <w:t xml:space="preserve"> (SCOTUS, 1976) </w:t>
      </w:r>
    </w:p>
    <w:p w:rsidR="00E45F3B" w:rsidRDefault="006A3871">
      <w:pPr>
        <w:ind w:left="2160"/>
        <w:rPr>
          <w:rFonts w:ascii="Times New Roman" w:eastAsia="Times New Roman" w:hAnsi="Times New Roman" w:cs="Times New Roman"/>
          <w:color w:val="FF0000"/>
          <w:sz w:val="20"/>
          <w:szCs w:val="20"/>
        </w:rPr>
      </w:pPr>
      <w:r>
        <w:rPr>
          <w:rFonts w:ascii="Times New Roman" w:eastAsia="Times New Roman" w:hAnsi="Times New Roman" w:cs="Times New Roman"/>
          <w:b/>
          <w:color w:val="FF0000"/>
          <w:sz w:val="20"/>
          <w:szCs w:val="20"/>
        </w:rPr>
        <w:t xml:space="preserve">Rule: </w:t>
      </w:r>
      <w:r>
        <w:rPr>
          <w:rFonts w:ascii="Times New Roman" w:eastAsia="Times New Roman" w:hAnsi="Times New Roman" w:cs="Times New Roman"/>
          <w:color w:val="FF0000"/>
          <w:sz w:val="20"/>
          <w:szCs w:val="20"/>
        </w:rPr>
        <w:t>Establishes three factors (new balancing test) for determining whether an individual has receiv</w:t>
      </w:r>
      <w:r>
        <w:rPr>
          <w:rFonts w:ascii="Times New Roman" w:eastAsia="Times New Roman" w:hAnsi="Times New Roman" w:cs="Times New Roman"/>
          <w:color w:val="FF0000"/>
          <w:sz w:val="20"/>
          <w:szCs w:val="20"/>
        </w:rPr>
        <w:t>ed due process (opportunity to be heard at a meaningful time and in a meaningful manner)</w:t>
      </w:r>
      <w:r>
        <w:rPr>
          <w:rFonts w:ascii="Times New Roman" w:eastAsia="Times New Roman" w:hAnsi="Times New Roman" w:cs="Times New Roman"/>
          <w:b/>
          <w:color w:val="FF0000"/>
          <w:sz w:val="20"/>
          <w:szCs w:val="20"/>
        </w:rPr>
        <w:t xml:space="preserve"> </w:t>
      </w:r>
    </w:p>
    <w:p w:rsidR="00E45F3B" w:rsidRDefault="006A3871">
      <w:pPr>
        <w:numPr>
          <w:ilvl w:val="3"/>
          <w:numId w:val="5"/>
        </w:numPr>
        <w:contextualSpacing/>
        <w:rPr>
          <w:rFonts w:ascii="Times New Roman" w:eastAsia="Times New Roman" w:hAnsi="Times New Roman" w:cs="Times New Roman"/>
          <w:sz w:val="20"/>
          <w:szCs w:val="20"/>
        </w:rPr>
      </w:pPr>
      <w:r>
        <w:rPr>
          <w:rFonts w:ascii="Times New Roman" w:eastAsia="Times New Roman" w:hAnsi="Times New Roman" w:cs="Times New Roman"/>
          <w:sz w:val="20"/>
          <w:szCs w:val="20"/>
        </w:rPr>
        <w:t>D’s private interest that will be affected by official action</w:t>
      </w:r>
    </w:p>
    <w:p w:rsidR="00E45F3B" w:rsidRDefault="006A3871">
      <w:pPr>
        <w:numPr>
          <w:ilvl w:val="3"/>
          <w:numId w:val="5"/>
        </w:numPr>
        <w:contextualSpacing/>
        <w:rPr>
          <w:rFonts w:ascii="Times New Roman" w:eastAsia="Times New Roman" w:hAnsi="Times New Roman" w:cs="Times New Roman"/>
          <w:sz w:val="20"/>
          <w:szCs w:val="20"/>
        </w:rPr>
      </w:pPr>
      <w:r>
        <w:rPr>
          <w:rFonts w:ascii="Times New Roman" w:eastAsia="Times New Roman" w:hAnsi="Times New Roman" w:cs="Times New Roman"/>
          <w:sz w:val="20"/>
          <w:szCs w:val="20"/>
        </w:rPr>
        <w:t>Risk of an erroneous deprivation of such interest through the procedures uses and the probable value, if</w:t>
      </w:r>
      <w:r>
        <w:rPr>
          <w:rFonts w:ascii="Times New Roman" w:eastAsia="Times New Roman" w:hAnsi="Times New Roman" w:cs="Times New Roman"/>
          <w:sz w:val="20"/>
          <w:szCs w:val="20"/>
        </w:rPr>
        <w:t xml:space="preserve"> any, of additional or substitute procedural safeguards</w:t>
      </w:r>
    </w:p>
    <w:p w:rsidR="00E45F3B" w:rsidRDefault="006A3871">
      <w:pPr>
        <w:numPr>
          <w:ilvl w:val="3"/>
          <w:numId w:val="5"/>
        </w:numPr>
        <w:contextualSpacing/>
        <w:rPr>
          <w:rFonts w:ascii="Times New Roman" w:eastAsia="Times New Roman" w:hAnsi="Times New Roman" w:cs="Times New Roman"/>
          <w:sz w:val="20"/>
          <w:szCs w:val="20"/>
        </w:rPr>
      </w:pPr>
      <w:r>
        <w:rPr>
          <w:rFonts w:ascii="Times New Roman" w:eastAsia="Times New Roman" w:hAnsi="Times New Roman" w:cs="Times New Roman"/>
          <w:sz w:val="20"/>
          <w:szCs w:val="20"/>
        </w:rPr>
        <w:lastRenderedPageBreak/>
        <w:t xml:space="preserve">Gov’t’s interest (i.e. in obtaining writ), including the function involved and the fiscal and administrative burdens that the additional or substitute procedural requirement would entail </w:t>
      </w:r>
    </w:p>
    <w:p w:rsidR="00E45F3B" w:rsidRDefault="006A3871">
      <w:pPr>
        <w:ind w:left="2160"/>
        <w:rPr>
          <w:rFonts w:ascii="Times New Roman" w:eastAsia="Times New Roman" w:hAnsi="Times New Roman" w:cs="Times New Roman"/>
          <w:sz w:val="20"/>
          <w:szCs w:val="20"/>
        </w:rPr>
      </w:pPr>
      <w:r>
        <w:rPr>
          <w:rFonts w:ascii="Times New Roman" w:eastAsia="Times New Roman" w:hAnsi="Times New Roman" w:cs="Times New Roman"/>
          <w:b/>
          <w:color w:val="FF0000"/>
          <w:sz w:val="20"/>
          <w:szCs w:val="20"/>
        </w:rPr>
        <w:t xml:space="preserve">Hypo: </w:t>
      </w:r>
      <w:r>
        <w:rPr>
          <w:rFonts w:ascii="Times New Roman" w:eastAsia="Times New Roman" w:hAnsi="Times New Roman" w:cs="Times New Roman"/>
          <w:color w:val="FF0000"/>
          <w:sz w:val="20"/>
          <w:szCs w:val="20"/>
        </w:rPr>
        <w:t>City of LA and no pre-tow hearings – OK because low likelihood of erroneous tows, during pre-tow hearing what issues may be raised, would more accuracy lead to fewer erroneous tows (already low, pre-tow hearings unlikely to lead to greater accuracy), gov’t</w:t>
      </w:r>
      <w:r>
        <w:rPr>
          <w:rFonts w:ascii="Times New Roman" w:eastAsia="Times New Roman" w:hAnsi="Times New Roman" w:cs="Times New Roman"/>
          <w:color w:val="FF0000"/>
          <w:sz w:val="20"/>
          <w:szCs w:val="20"/>
        </w:rPr>
        <w:t xml:space="preserve"> interest – if everyone granted a pre-tow hearing then gridlock would ensue and all of the city’s money/resources would go to pre-tow hearings, no other cases could be heard</w:t>
      </w:r>
    </w:p>
    <w:p w:rsidR="00E45F3B" w:rsidRDefault="006A3871">
      <w:pPr>
        <w:numPr>
          <w:ilvl w:val="2"/>
          <w:numId w:val="5"/>
        </w:numPr>
        <w:contextualSpacing/>
        <w:rPr>
          <w:rFonts w:ascii="Times New Roman" w:eastAsia="Times New Roman" w:hAnsi="Times New Roman" w:cs="Times New Roman"/>
          <w:sz w:val="20"/>
          <w:szCs w:val="20"/>
        </w:rPr>
      </w:pPr>
      <w:r>
        <w:rPr>
          <w:rFonts w:ascii="Times New Roman" w:eastAsia="Times New Roman" w:hAnsi="Times New Roman" w:cs="Times New Roman"/>
          <w:b/>
          <w:sz w:val="20"/>
          <w:szCs w:val="20"/>
        </w:rPr>
        <w:t>FRCP 64: Seizing a Person or Property</w:t>
      </w:r>
    </w:p>
    <w:p w:rsidR="00E45F3B" w:rsidRDefault="006A3871">
      <w:pPr>
        <w:numPr>
          <w:ilvl w:val="2"/>
          <w:numId w:val="5"/>
        </w:numPr>
        <w:contextualSpacing/>
        <w:rPr>
          <w:rFonts w:ascii="Times New Roman" w:eastAsia="Times New Roman" w:hAnsi="Times New Roman" w:cs="Times New Roman"/>
          <w:sz w:val="20"/>
          <w:szCs w:val="20"/>
        </w:rPr>
      </w:pPr>
      <w:r>
        <w:rPr>
          <w:rFonts w:ascii="Times New Roman" w:eastAsia="Times New Roman" w:hAnsi="Times New Roman" w:cs="Times New Roman"/>
          <w:b/>
          <w:sz w:val="20"/>
          <w:szCs w:val="20"/>
        </w:rPr>
        <w:t>FRCP 65: Injunctions and Restraining Orders</w:t>
      </w:r>
    </w:p>
    <w:p w:rsidR="00E45F3B" w:rsidRDefault="00E45F3B">
      <w:pPr>
        <w:ind w:left="1440"/>
        <w:rPr>
          <w:rFonts w:ascii="Times New Roman" w:eastAsia="Times New Roman" w:hAnsi="Times New Roman" w:cs="Times New Roman"/>
          <w:b/>
          <w:sz w:val="20"/>
          <w:szCs w:val="20"/>
        </w:rPr>
      </w:pPr>
    </w:p>
    <w:p w:rsidR="00E45F3B" w:rsidRDefault="006A3871">
      <w:pPr>
        <w:jc w:val="center"/>
        <w:rPr>
          <w:rFonts w:ascii="Times New Roman" w:eastAsia="Times New Roman" w:hAnsi="Times New Roman" w:cs="Times New Roman"/>
          <w:sz w:val="24"/>
          <w:szCs w:val="24"/>
        </w:rPr>
      </w:pPr>
      <w:r>
        <w:rPr>
          <w:rFonts w:ascii="Times New Roman" w:eastAsia="Times New Roman" w:hAnsi="Times New Roman" w:cs="Times New Roman"/>
          <w:sz w:val="24"/>
          <w:szCs w:val="24"/>
        </w:rPr>
        <w:t>The Process of Litigation: Pleadings</w:t>
      </w:r>
    </w:p>
    <w:p w:rsidR="00E45F3B" w:rsidRDefault="006A3871">
      <w:pPr>
        <w:numPr>
          <w:ilvl w:val="0"/>
          <w:numId w:val="2"/>
        </w:numPr>
        <w:contextualSpacing/>
        <w:rPr>
          <w:rFonts w:ascii="Times New Roman" w:eastAsia="Times New Roman" w:hAnsi="Times New Roman" w:cs="Times New Roman"/>
          <w:sz w:val="20"/>
          <w:szCs w:val="20"/>
        </w:rPr>
      </w:pPr>
      <w:r>
        <w:rPr>
          <w:rFonts w:ascii="Times New Roman" w:eastAsia="Times New Roman" w:hAnsi="Times New Roman" w:cs="Times New Roman"/>
          <w:sz w:val="20"/>
          <w:szCs w:val="20"/>
        </w:rPr>
        <w:t>Pleadings Introduction – if not listed in Rule 7(a), not a pleading; Rule 8 and Rule 12 tell how much/how little P has to say in a pleading</w:t>
      </w:r>
    </w:p>
    <w:p w:rsidR="00E45F3B" w:rsidRDefault="006A3871">
      <w:pPr>
        <w:numPr>
          <w:ilvl w:val="1"/>
          <w:numId w:val="2"/>
        </w:numPr>
        <w:contextualSpacing/>
        <w:rPr>
          <w:rFonts w:ascii="Times New Roman" w:eastAsia="Times New Roman" w:hAnsi="Times New Roman" w:cs="Times New Roman"/>
          <w:sz w:val="20"/>
          <w:szCs w:val="20"/>
        </w:rPr>
      </w:pPr>
      <w:r>
        <w:rPr>
          <w:rFonts w:ascii="Times New Roman" w:eastAsia="Times New Roman" w:hAnsi="Times New Roman" w:cs="Times New Roman"/>
          <w:sz w:val="20"/>
          <w:szCs w:val="20"/>
        </w:rPr>
        <w:t>Purpose: To put the opposing party on notice (notice pleading): “give the defe</w:t>
      </w:r>
      <w:r>
        <w:rPr>
          <w:rFonts w:ascii="Times New Roman" w:eastAsia="Times New Roman" w:hAnsi="Times New Roman" w:cs="Times New Roman"/>
          <w:sz w:val="20"/>
          <w:szCs w:val="20"/>
        </w:rPr>
        <w:t>ndant fair notice of what the plaintiff’s claim is and the grounds upon which it rests”</w:t>
      </w:r>
    </w:p>
    <w:p w:rsidR="00E45F3B" w:rsidRDefault="006A3871">
      <w:pPr>
        <w:numPr>
          <w:ilvl w:val="0"/>
          <w:numId w:val="2"/>
        </w:numPr>
        <w:contextualSpacing/>
        <w:rPr>
          <w:rFonts w:ascii="Times New Roman" w:eastAsia="Times New Roman" w:hAnsi="Times New Roman" w:cs="Times New Roman"/>
          <w:sz w:val="20"/>
          <w:szCs w:val="20"/>
        </w:rPr>
      </w:pPr>
      <w:r>
        <w:rPr>
          <w:rFonts w:ascii="Times New Roman" w:eastAsia="Times New Roman" w:hAnsi="Times New Roman" w:cs="Times New Roman"/>
          <w:sz w:val="20"/>
          <w:szCs w:val="20"/>
        </w:rPr>
        <w:t>Complaint</w:t>
      </w:r>
    </w:p>
    <w:p w:rsidR="00E45F3B" w:rsidRDefault="006A3871">
      <w:pPr>
        <w:numPr>
          <w:ilvl w:val="1"/>
          <w:numId w:val="2"/>
        </w:numPr>
        <w:contextualSpacing/>
        <w:rPr>
          <w:rFonts w:ascii="Times New Roman" w:eastAsia="Times New Roman" w:hAnsi="Times New Roman" w:cs="Times New Roman"/>
          <w:sz w:val="20"/>
          <w:szCs w:val="20"/>
        </w:rPr>
      </w:pPr>
      <w:r>
        <w:rPr>
          <w:rFonts w:ascii="Times New Roman" w:eastAsia="Times New Roman" w:hAnsi="Times New Roman" w:cs="Times New Roman"/>
          <w:i/>
          <w:color w:val="FF0000"/>
          <w:sz w:val="20"/>
          <w:szCs w:val="20"/>
        </w:rPr>
        <w:t xml:space="preserve">Bridges v. Diesel Service, Inc. </w:t>
      </w:r>
      <w:r>
        <w:rPr>
          <w:rFonts w:ascii="Times New Roman" w:eastAsia="Times New Roman" w:hAnsi="Times New Roman" w:cs="Times New Roman"/>
          <w:color w:val="FF0000"/>
          <w:sz w:val="20"/>
          <w:szCs w:val="20"/>
        </w:rPr>
        <w:t>(E.D. Pa., 1994)</w:t>
      </w:r>
    </w:p>
    <w:p w:rsidR="00E45F3B" w:rsidRDefault="006A3871">
      <w:pPr>
        <w:ind w:left="1440"/>
        <w:rPr>
          <w:rFonts w:ascii="Times New Roman" w:eastAsia="Times New Roman" w:hAnsi="Times New Roman" w:cs="Times New Roman"/>
          <w:i/>
          <w:color w:val="FF0000"/>
          <w:sz w:val="20"/>
          <w:szCs w:val="20"/>
        </w:rPr>
      </w:pPr>
      <w:r>
        <w:rPr>
          <w:rFonts w:ascii="Times New Roman" w:eastAsia="Times New Roman" w:hAnsi="Times New Roman" w:cs="Times New Roman"/>
          <w:b/>
          <w:color w:val="FF0000"/>
          <w:sz w:val="20"/>
          <w:szCs w:val="20"/>
        </w:rPr>
        <w:t>H:</w:t>
      </w:r>
      <w:r>
        <w:rPr>
          <w:rFonts w:ascii="Cardo" w:eastAsia="Cardo" w:hAnsi="Cardo" w:cs="Cardo"/>
          <w:color w:val="FF0000"/>
          <w:sz w:val="20"/>
          <w:szCs w:val="20"/>
        </w:rPr>
        <w:t xml:space="preserve"> D moves for Rule 11 sanctions where P’s counsel failed to file charge with EEOC until after commencement o</w:t>
      </w:r>
      <w:r>
        <w:rPr>
          <w:rFonts w:ascii="Cardo" w:eastAsia="Cardo" w:hAnsi="Cardo" w:cs="Cardo"/>
          <w:color w:val="FF0000"/>
          <w:sz w:val="20"/>
          <w:szCs w:val="20"/>
        </w:rPr>
        <w:t xml:space="preserve">f the action under ADA for dismissal from hob as result of a disability as investigation would’ve clearly revealed the need to file with the EEOC – court denies motion but admonishes P’s counsel → P’s conduct not condoned but the goal of Rule 11 sanctions </w:t>
      </w:r>
      <w:r>
        <w:rPr>
          <w:rFonts w:ascii="Cardo" w:eastAsia="Cardo" w:hAnsi="Cardo" w:cs="Cardo"/>
          <w:color w:val="FF0000"/>
          <w:sz w:val="20"/>
          <w:szCs w:val="20"/>
        </w:rPr>
        <w:t>is deterrence of improper conduct and here monetary sanctions unnecessary to deter future misconduct (counsel acknowledged error and attempted to rectify)</w:t>
      </w:r>
    </w:p>
    <w:p w:rsidR="00E45F3B" w:rsidRDefault="006A3871">
      <w:pPr>
        <w:numPr>
          <w:ilvl w:val="2"/>
          <w:numId w:val="2"/>
        </w:numPr>
        <w:rPr>
          <w:rFonts w:ascii="Times New Roman" w:eastAsia="Times New Roman" w:hAnsi="Times New Roman" w:cs="Times New Roman"/>
          <w:sz w:val="20"/>
          <w:szCs w:val="20"/>
        </w:rPr>
      </w:pPr>
      <w:r>
        <w:rPr>
          <w:rFonts w:ascii="Times New Roman" w:eastAsia="Times New Roman" w:hAnsi="Times New Roman" w:cs="Times New Roman"/>
          <w:color w:val="FF0000"/>
          <w:sz w:val="20"/>
          <w:szCs w:val="20"/>
        </w:rPr>
        <w:t>Rule 11(b) – by signing pleading, attorney certifies that pleading is supported by a reasonable factu</w:t>
      </w:r>
      <w:r>
        <w:rPr>
          <w:rFonts w:ascii="Times New Roman" w:eastAsia="Times New Roman" w:hAnsi="Times New Roman" w:cs="Times New Roman"/>
          <w:color w:val="FF0000"/>
          <w:sz w:val="20"/>
          <w:szCs w:val="20"/>
        </w:rPr>
        <w:t>al investigation and a normally competent level of legal research; 11(b)(2) requires investigation of the law, 11(b)(3) requires investigation of the facts – by signing and filing pleading, representing to the court that had thoroughly investigated the law</w:t>
      </w:r>
      <w:r>
        <w:rPr>
          <w:rFonts w:ascii="Times New Roman" w:eastAsia="Times New Roman" w:hAnsi="Times New Roman" w:cs="Times New Roman"/>
          <w:color w:val="FF0000"/>
          <w:sz w:val="20"/>
          <w:szCs w:val="20"/>
        </w:rPr>
        <w:t>/facts</w:t>
      </w:r>
    </w:p>
    <w:p w:rsidR="00E45F3B" w:rsidRDefault="006A3871">
      <w:pPr>
        <w:numPr>
          <w:ilvl w:val="1"/>
          <w:numId w:val="2"/>
        </w:numPr>
        <w:contextualSpacing/>
        <w:rPr>
          <w:rFonts w:ascii="Times New Roman" w:eastAsia="Times New Roman" w:hAnsi="Times New Roman" w:cs="Times New Roman"/>
          <w:sz w:val="20"/>
          <w:szCs w:val="20"/>
        </w:rPr>
      </w:pPr>
      <w:r>
        <w:rPr>
          <w:rFonts w:ascii="Times New Roman" w:eastAsia="Times New Roman" w:hAnsi="Times New Roman" w:cs="Times New Roman"/>
          <w:i/>
          <w:color w:val="FF0000"/>
          <w:sz w:val="20"/>
          <w:szCs w:val="20"/>
        </w:rPr>
        <w:t xml:space="preserve">Bell v. Novick Transfer Co. </w:t>
      </w:r>
      <w:r>
        <w:rPr>
          <w:rFonts w:ascii="Times New Roman" w:eastAsia="Times New Roman" w:hAnsi="Times New Roman" w:cs="Times New Roman"/>
          <w:color w:val="FF0000"/>
          <w:sz w:val="20"/>
          <w:szCs w:val="20"/>
        </w:rPr>
        <w:t>(D. Md., 1955)</w:t>
      </w:r>
    </w:p>
    <w:p w:rsidR="00E45F3B" w:rsidRDefault="006A3871">
      <w:pPr>
        <w:ind w:left="1440"/>
        <w:rPr>
          <w:rFonts w:ascii="Times New Roman" w:eastAsia="Times New Roman" w:hAnsi="Times New Roman" w:cs="Times New Roman"/>
          <w:color w:val="FF0000"/>
          <w:sz w:val="20"/>
          <w:szCs w:val="20"/>
        </w:rPr>
      </w:pPr>
      <w:r>
        <w:rPr>
          <w:rFonts w:ascii="Times New Roman" w:eastAsia="Times New Roman" w:hAnsi="Times New Roman" w:cs="Times New Roman"/>
          <w:b/>
          <w:color w:val="FF0000"/>
          <w:sz w:val="20"/>
          <w:szCs w:val="20"/>
        </w:rPr>
        <w:t>H:</w:t>
      </w:r>
      <w:r>
        <w:rPr>
          <w:rFonts w:ascii="Times New Roman" w:eastAsia="Times New Roman" w:hAnsi="Times New Roman" w:cs="Times New Roman"/>
          <w:color w:val="FF0000"/>
          <w:sz w:val="20"/>
          <w:szCs w:val="20"/>
        </w:rPr>
        <w:t xml:space="preserve"> In negligence suit for infant plaintiff riding in automobile during accident with truck, D moves to dismiss complaint per Rule 12 alleging need for more facts (too vague) to show COA of negligence or in the alternative moves for more information (Rule 12 </w:t>
      </w:r>
      <w:r>
        <w:rPr>
          <w:rFonts w:ascii="Times New Roman" w:eastAsia="Times New Roman" w:hAnsi="Times New Roman" w:cs="Times New Roman"/>
          <w:color w:val="FF0000"/>
          <w:sz w:val="20"/>
          <w:szCs w:val="20"/>
        </w:rPr>
        <w:t>allows for raising both motions – dismiss or at least refile) – motion overruled, complaint sufficient under Rule 8, which requires only a “short and plain statement showing pleader entitled to relief,” suggesting minimal requirements for Rule 8, meaning w</w:t>
      </w:r>
      <w:r>
        <w:rPr>
          <w:rFonts w:ascii="Times New Roman" w:eastAsia="Times New Roman" w:hAnsi="Times New Roman" w:cs="Times New Roman"/>
          <w:color w:val="FF0000"/>
          <w:sz w:val="20"/>
          <w:szCs w:val="20"/>
        </w:rPr>
        <w:t xml:space="preserve">ide range for what is sufficient  </w:t>
      </w:r>
    </w:p>
    <w:p w:rsidR="00E45F3B" w:rsidRDefault="006A3871">
      <w:pPr>
        <w:ind w:left="1440"/>
        <w:rPr>
          <w:rFonts w:ascii="Times New Roman" w:eastAsia="Times New Roman" w:hAnsi="Times New Roman" w:cs="Times New Roman"/>
          <w:color w:val="FF0000"/>
          <w:sz w:val="20"/>
          <w:szCs w:val="20"/>
        </w:rPr>
      </w:pPr>
      <w:r>
        <w:rPr>
          <w:rFonts w:ascii="Cardo" w:eastAsia="Cardo" w:hAnsi="Cardo" w:cs="Cardo"/>
          <w:color w:val="FF0000"/>
          <w:sz w:val="20"/>
          <w:szCs w:val="20"/>
        </w:rPr>
        <w:t xml:space="preserve">→ Never overruled but still good law? (See </w:t>
      </w:r>
      <w:r>
        <w:rPr>
          <w:rFonts w:ascii="Times New Roman" w:eastAsia="Times New Roman" w:hAnsi="Times New Roman" w:cs="Times New Roman"/>
          <w:i/>
          <w:color w:val="FF0000"/>
          <w:sz w:val="20"/>
          <w:szCs w:val="20"/>
        </w:rPr>
        <w:t>Twiqbal</w:t>
      </w:r>
      <w:r>
        <w:rPr>
          <w:rFonts w:ascii="Times New Roman" w:eastAsia="Times New Roman" w:hAnsi="Times New Roman" w:cs="Times New Roman"/>
          <w:color w:val="FF0000"/>
          <w:sz w:val="20"/>
          <w:szCs w:val="20"/>
        </w:rPr>
        <w:t>)</w:t>
      </w:r>
    </w:p>
    <w:p w:rsidR="00E45F3B" w:rsidRDefault="006A3871">
      <w:pPr>
        <w:numPr>
          <w:ilvl w:val="1"/>
          <w:numId w:val="2"/>
        </w:numPr>
        <w:contextualSpacing/>
        <w:rPr>
          <w:rFonts w:ascii="Times New Roman" w:eastAsia="Times New Roman" w:hAnsi="Times New Roman" w:cs="Times New Roman"/>
          <w:sz w:val="20"/>
          <w:szCs w:val="20"/>
        </w:rPr>
      </w:pPr>
      <w:r>
        <w:rPr>
          <w:rFonts w:ascii="Times New Roman" w:eastAsia="Times New Roman" w:hAnsi="Times New Roman" w:cs="Times New Roman"/>
          <w:sz w:val="20"/>
          <w:szCs w:val="20"/>
        </w:rPr>
        <w:t>Conflict between Rule 8 and Rule 11? No, distinguish complaint and investigation – in signing lawyer is alleging that he/she has fully investigated but he/she is not req</w:t>
      </w:r>
      <w:r>
        <w:rPr>
          <w:rFonts w:ascii="Times New Roman" w:eastAsia="Times New Roman" w:hAnsi="Times New Roman" w:cs="Times New Roman"/>
          <w:sz w:val="20"/>
          <w:szCs w:val="20"/>
        </w:rPr>
        <w:t xml:space="preserve">uired to disclose it in his/her complaint </w:t>
      </w:r>
    </w:p>
    <w:p w:rsidR="00E45F3B" w:rsidRDefault="006A3871">
      <w:pPr>
        <w:numPr>
          <w:ilvl w:val="1"/>
          <w:numId w:val="2"/>
        </w:numPr>
        <w:contextualSpacing/>
        <w:rPr>
          <w:rFonts w:ascii="Times New Roman" w:eastAsia="Times New Roman" w:hAnsi="Times New Roman" w:cs="Times New Roman"/>
          <w:sz w:val="20"/>
          <w:szCs w:val="20"/>
        </w:rPr>
      </w:pPr>
      <w:r>
        <w:rPr>
          <w:rFonts w:ascii="Times New Roman" w:eastAsia="Times New Roman" w:hAnsi="Times New Roman" w:cs="Times New Roman"/>
          <w:sz w:val="20"/>
          <w:szCs w:val="20"/>
        </w:rPr>
        <w:t>Rule 12(b)(1) – motion to dismiss for lack of SMJ</w:t>
      </w:r>
    </w:p>
    <w:p w:rsidR="00E45F3B" w:rsidRDefault="006A3871">
      <w:pPr>
        <w:numPr>
          <w:ilvl w:val="1"/>
          <w:numId w:val="2"/>
        </w:numPr>
        <w:contextualSpacing/>
        <w:rPr>
          <w:rFonts w:ascii="Times New Roman" w:eastAsia="Times New Roman" w:hAnsi="Times New Roman" w:cs="Times New Roman"/>
          <w:sz w:val="20"/>
          <w:szCs w:val="20"/>
        </w:rPr>
      </w:pPr>
      <w:r>
        <w:rPr>
          <w:rFonts w:ascii="Times New Roman" w:eastAsia="Times New Roman" w:hAnsi="Times New Roman" w:cs="Times New Roman"/>
          <w:sz w:val="20"/>
          <w:szCs w:val="20"/>
        </w:rPr>
        <w:t>Rule 12(b)(6) – motion to dismiss for failure to state a claim</w:t>
      </w:r>
    </w:p>
    <w:p w:rsidR="00E45F3B" w:rsidRDefault="006A3871">
      <w:pPr>
        <w:numPr>
          <w:ilvl w:val="1"/>
          <w:numId w:val="2"/>
        </w:numPr>
        <w:contextualSpacing/>
        <w:rPr>
          <w:rFonts w:ascii="Times New Roman" w:eastAsia="Times New Roman" w:hAnsi="Times New Roman" w:cs="Times New Roman"/>
          <w:sz w:val="20"/>
          <w:szCs w:val="20"/>
        </w:rPr>
      </w:pPr>
      <w:r>
        <w:rPr>
          <w:rFonts w:ascii="Times New Roman" w:eastAsia="Times New Roman" w:hAnsi="Times New Roman" w:cs="Times New Roman"/>
          <w:b/>
          <w:sz w:val="20"/>
          <w:szCs w:val="20"/>
        </w:rPr>
        <w:t>FRCP 8: General Rules of Pleading</w:t>
      </w:r>
    </w:p>
    <w:p w:rsidR="00E45F3B" w:rsidRDefault="006A3871">
      <w:pPr>
        <w:numPr>
          <w:ilvl w:val="1"/>
          <w:numId w:val="2"/>
        </w:numPr>
        <w:contextualSpacing/>
        <w:rPr>
          <w:rFonts w:ascii="Times New Roman" w:eastAsia="Times New Roman" w:hAnsi="Times New Roman" w:cs="Times New Roman"/>
          <w:sz w:val="20"/>
          <w:szCs w:val="20"/>
        </w:rPr>
      </w:pPr>
      <w:r>
        <w:rPr>
          <w:rFonts w:ascii="Times New Roman" w:eastAsia="Times New Roman" w:hAnsi="Times New Roman" w:cs="Times New Roman"/>
          <w:b/>
          <w:sz w:val="20"/>
          <w:szCs w:val="20"/>
        </w:rPr>
        <w:t>FRCP 9: Pleading Special Matters</w:t>
      </w:r>
    </w:p>
    <w:p w:rsidR="00E45F3B" w:rsidRDefault="006A3871">
      <w:pPr>
        <w:numPr>
          <w:ilvl w:val="1"/>
          <w:numId w:val="2"/>
        </w:numPr>
        <w:contextualSpacing/>
        <w:rPr>
          <w:rFonts w:ascii="Times New Roman" w:eastAsia="Times New Roman" w:hAnsi="Times New Roman" w:cs="Times New Roman"/>
          <w:sz w:val="20"/>
          <w:szCs w:val="20"/>
        </w:rPr>
      </w:pPr>
      <w:r>
        <w:rPr>
          <w:rFonts w:ascii="Times New Roman" w:eastAsia="Times New Roman" w:hAnsi="Times New Roman" w:cs="Times New Roman"/>
          <w:b/>
          <w:sz w:val="20"/>
          <w:szCs w:val="20"/>
        </w:rPr>
        <w:t>FRCP 10: Form of Pleadings</w:t>
      </w:r>
    </w:p>
    <w:p w:rsidR="00E45F3B" w:rsidRDefault="006A3871">
      <w:pPr>
        <w:numPr>
          <w:ilvl w:val="1"/>
          <w:numId w:val="2"/>
        </w:numPr>
        <w:contextualSpacing/>
        <w:rPr>
          <w:rFonts w:ascii="Times New Roman" w:eastAsia="Times New Roman" w:hAnsi="Times New Roman" w:cs="Times New Roman"/>
          <w:sz w:val="20"/>
          <w:szCs w:val="20"/>
        </w:rPr>
      </w:pPr>
      <w:r>
        <w:rPr>
          <w:rFonts w:ascii="Times New Roman" w:eastAsia="Times New Roman" w:hAnsi="Times New Roman" w:cs="Times New Roman"/>
          <w:b/>
          <w:sz w:val="20"/>
          <w:szCs w:val="20"/>
        </w:rPr>
        <w:t>FRCP 1</w:t>
      </w:r>
      <w:r>
        <w:rPr>
          <w:rFonts w:ascii="Times New Roman" w:eastAsia="Times New Roman" w:hAnsi="Times New Roman" w:cs="Times New Roman"/>
          <w:b/>
          <w:sz w:val="20"/>
          <w:szCs w:val="20"/>
        </w:rPr>
        <w:t xml:space="preserve">1: Signing Pleadings, Motions, and Other Papers; Representations to the Court; Sanctions </w:t>
      </w:r>
    </w:p>
    <w:p w:rsidR="00E45F3B" w:rsidRDefault="006A3871">
      <w:pPr>
        <w:numPr>
          <w:ilvl w:val="1"/>
          <w:numId w:val="2"/>
        </w:numPr>
        <w:contextualSpacing/>
        <w:rPr>
          <w:rFonts w:ascii="Times New Roman" w:eastAsia="Times New Roman" w:hAnsi="Times New Roman" w:cs="Times New Roman"/>
          <w:sz w:val="20"/>
          <w:szCs w:val="20"/>
        </w:rPr>
      </w:pPr>
      <w:r>
        <w:rPr>
          <w:rFonts w:ascii="Times New Roman" w:eastAsia="Times New Roman" w:hAnsi="Times New Roman" w:cs="Times New Roman"/>
          <w:b/>
          <w:sz w:val="20"/>
          <w:szCs w:val="20"/>
        </w:rPr>
        <w:t>FRCP 12(b): How to Present Defenses</w:t>
      </w:r>
    </w:p>
    <w:p w:rsidR="00E45F3B" w:rsidRDefault="006A3871">
      <w:pPr>
        <w:numPr>
          <w:ilvl w:val="0"/>
          <w:numId w:val="2"/>
        </w:numPr>
        <w:contextualSpacing/>
        <w:rPr>
          <w:rFonts w:ascii="Times New Roman" w:eastAsia="Times New Roman" w:hAnsi="Times New Roman" w:cs="Times New Roman"/>
          <w:sz w:val="20"/>
          <w:szCs w:val="20"/>
        </w:rPr>
      </w:pPr>
      <w:r>
        <w:rPr>
          <w:rFonts w:ascii="Times New Roman" w:eastAsia="Times New Roman" w:hAnsi="Times New Roman" w:cs="Times New Roman"/>
          <w:sz w:val="20"/>
          <w:szCs w:val="20"/>
        </w:rPr>
        <w:t>Defining the Law</w:t>
      </w:r>
    </w:p>
    <w:p w:rsidR="00E45F3B" w:rsidRDefault="006A3871">
      <w:pPr>
        <w:numPr>
          <w:ilvl w:val="0"/>
          <w:numId w:val="2"/>
        </w:numPr>
        <w:contextualSpacing/>
        <w:rPr>
          <w:rFonts w:ascii="Times New Roman" w:eastAsia="Times New Roman" w:hAnsi="Times New Roman" w:cs="Times New Roman"/>
          <w:sz w:val="20"/>
          <w:szCs w:val="20"/>
        </w:rPr>
      </w:pPr>
      <w:r>
        <w:rPr>
          <w:rFonts w:ascii="Times New Roman" w:eastAsia="Times New Roman" w:hAnsi="Times New Roman" w:cs="Times New Roman"/>
          <w:i/>
          <w:color w:val="FF0000"/>
          <w:sz w:val="20"/>
          <w:szCs w:val="20"/>
        </w:rPr>
        <w:t xml:space="preserve">Haddle v. Garrison </w:t>
      </w:r>
      <w:r>
        <w:rPr>
          <w:rFonts w:ascii="Times New Roman" w:eastAsia="Times New Roman" w:hAnsi="Times New Roman" w:cs="Times New Roman"/>
          <w:color w:val="FF0000"/>
          <w:sz w:val="20"/>
          <w:szCs w:val="20"/>
        </w:rPr>
        <w:t>(S.D. Ga., 1996)</w:t>
      </w:r>
    </w:p>
    <w:p w:rsidR="00E45F3B" w:rsidRDefault="006A3871">
      <w:pPr>
        <w:ind w:left="720"/>
        <w:rPr>
          <w:rFonts w:ascii="Times New Roman" w:eastAsia="Times New Roman" w:hAnsi="Times New Roman" w:cs="Times New Roman"/>
          <w:sz w:val="20"/>
          <w:szCs w:val="20"/>
        </w:rPr>
      </w:pPr>
      <w:r>
        <w:rPr>
          <w:rFonts w:ascii="Times New Roman" w:eastAsia="Times New Roman" w:hAnsi="Times New Roman" w:cs="Times New Roman"/>
          <w:b/>
          <w:color w:val="FF0000"/>
          <w:sz w:val="20"/>
          <w:szCs w:val="20"/>
        </w:rPr>
        <w:t>H:</w:t>
      </w:r>
      <w:r>
        <w:rPr>
          <w:rFonts w:ascii="Times New Roman" w:eastAsia="Times New Roman" w:hAnsi="Times New Roman" w:cs="Times New Roman"/>
          <w:color w:val="FF0000"/>
          <w:sz w:val="20"/>
          <w:szCs w:val="20"/>
        </w:rPr>
        <w:t xml:space="preserve"> P alleges Ds conspired to have him fired from job in retaliation for obeyi</w:t>
      </w:r>
      <w:r>
        <w:rPr>
          <w:rFonts w:ascii="Times New Roman" w:eastAsia="Times New Roman" w:hAnsi="Times New Roman" w:cs="Times New Roman"/>
          <w:color w:val="FF0000"/>
          <w:sz w:val="20"/>
          <w:szCs w:val="20"/>
        </w:rPr>
        <w:t xml:space="preserve">ng federal grand jury subpoena and to deter him from testifying at a federal criminal trial; Ds motion to dismiss per Rule 12(b)(6) (failure to state a claim upon which relief can be granted), lower courts grant holding there to be no constitutional right </w:t>
      </w:r>
      <w:r>
        <w:rPr>
          <w:rFonts w:ascii="Times New Roman" w:eastAsia="Times New Roman" w:hAnsi="Times New Roman" w:cs="Times New Roman"/>
          <w:color w:val="FF0000"/>
          <w:sz w:val="20"/>
          <w:szCs w:val="20"/>
        </w:rPr>
        <w:t>to continued employment (no injury to life, liberty, property), state supreme court reverses, statute (CRA § 1985) establishes no such requirement, looks instead to injury to person or property and says property interest in losing job</w:t>
      </w:r>
    </w:p>
    <w:p w:rsidR="00E45F3B" w:rsidRDefault="006A3871">
      <w:pPr>
        <w:numPr>
          <w:ilvl w:val="1"/>
          <w:numId w:val="2"/>
        </w:numPr>
        <w:contextualSpacing/>
        <w:rPr>
          <w:rFonts w:ascii="Times New Roman" w:eastAsia="Times New Roman" w:hAnsi="Times New Roman" w:cs="Times New Roman"/>
          <w:color w:val="FF0000"/>
          <w:sz w:val="20"/>
          <w:szCs w:val="20"/>
        </w:rPr>
      </w:pPr>
      <w:r>
        <w:rPr>
          <w:rFonts w:ascii="Times New Roman" w:eastAsia="Times New Roman" w:hAnsi="Times New Roman" w:cs="Times New Roman"/>
          <w:color w:val="FF0000"/>
          <w:sz w:val="20"/>
          <w:szCs w:val="20"/>
        </w:rPr>
        <w:lastRenderedPageBreak/>
        <w:t>Meets Rule 8(a)(2) an</w:t>
      </w:r>
      <w:r>
        <w:rPr>
          <w:rFonts w:ascii="Times New Roman" w:eastAsia="Times New Roman" w:hAnsi="Times New Roman" w:cs="Times New Roman"/>
          <w:color w:val="FF0000"/>
          <w:sz w:val="20"/>
          <w:szCs w:val="20"/>
        </w:rPr>
        <w:t>d elements of § 1985: (1) Conspiracy of at least two people, (2) deterrence/retaliation from testifying in a court proceeding (retaliation aimed at person/property for having done so), (3) party must be so injured to be granted/entitled to remedy (all thre</w:t>
      </w:r>
      <w:r>
        <w:rPr>
          <w:rFonts w:ascii="Times New Roman" w:eastAsia="Times New Roman" w:hAnsi="Times New Roman" w:cs="Times New Roman"/>
          <w:color w:val="FF0000"/>
          <w:sz w:val="20"/>
          <w:szCs w:val="20"/>
        </w:rPr>
        <w:t>e courts considered this a required element, supreme court says being deprived of job is injury – property injured is lost income)</w:t>
      </w:r>
    </w:p>
    <w:p w:rsidR="00E45F3B" w:rsidRDefault="006A3871">
      <w:pPr>
        <w:ind w:left="720"/>
        <w:rPr>
          <w:rFonts w:ascii="Times New Roman" w:eastAsia="Times New Roman" w:hAnsi="Times New Roman" w:cs="Times New Roman"/>
          <w:color w:val="FF0000"/>
          <w:sz w:val="20"/>
          <w:szCs w:val="20"/>
        </w:rPr>
      </w:pPr>
      <w:r>
        <w:rPr>
          <w:rFonts w:ascii="Times New Roman" w:eastAsia="Times New Roman" w:hAnsi="Times New Roman" w:cs="Times New Roman"/>
          <w:b/>
          <w:color w:val="FF0000"/>
          <w:sz w:val="20"/>
          <w:szCs w:val="20"/>
        </w:rPr>
        <w:t xml:space="preserve">Rule: </w:t>
      </w:r>
      <w:r>
        <w:rPr>
          <w:rFonts w:ascii="Times New Roman" w:eastAsia="Times New Roman" w:hAnsi="Times New Roman" w:cs="Times New Roman"/>
          <w:color w:val="FF0000"/>
          <w:sz w:val="20"/>
          <w:szCs w:val="20"/>
        </w:rPr>
        <w:t>Assume alleged facts are true.  If true, does the P have a claim as a matter of law?</w:t>
      </w:r>
    </w:p>
    <w:p w:rsidR="00E45F3B" w:rsidRDefault="006A3871">
      <w:pPr>
        <w:ind w:left="720"/>
        <w:rPr>
          <w:rFonts w:ascii="Times New Roman" w:eastAsia="Times New Roman" w:hAnsi="Times New Roman" w:cs="Times New Roman"/>
          <w:color w:val="FF0000"/>
          <w:sz w:val="20"/>
          <w:szCs w:val="20"/>
        </w:rPr>
      </w:pPr>
      <w:r>
        <w:rPr>
          <w:rFonts w:ascii="Cardo" w:eastAsia="Cardo" w:hAnsi="Cardo" w:cs="Cardo"/>
          <w:sz w:val="20"/>
          <w:szCs w:val="20"/>
        </w:rPr>
        <w:t>→ Complaint can include contradict</w:t>
      </w:r>
      <w:r>
        <w:rPr>
          <w:rFonts w:ascii="Cardo" w:eastAsia="Cardo" w:hAnsi="Cardo" w:cs="Cardo"/>
          <w:sz w:val="20"/>
          <w:szCs w:val="20"/>
        </w:rPr>
        <w:t>ory allegations because pleadings treated as preliminary sketches of claim (broken kettle anecdote)</w:t>
      </w:r>
    </w:p>
    <w:p w:rsidR="00E45F3B" w:rsidRDefault="006A3871">
      <w:pPr>
        <w:numPr>
          <w:ilvl w:val="0"/>
          <w:numId w:val="2"/>
        </w:numPr>
        <w:contextualSpacing/>
        <w:rPr>
          <w:rFonts w:ascii="Times New Roman" w:eastAsia="Times New Roman" w:hAnsi="Times New Roman" w:cs="Times New Roman"/>
          <w:sz w:val="20"/>
          <w:szCs w:val="20"/>
        </w:rPr>
      </w:pPr>
      <w:r>
        <w:rPr>
          <w:rFonts w:ascii="Times New Roman" w:eastAsia="Times New Roman" w:hAnsi="Times New Roman" w:cs="Times New Roman"/>
          <w:sz w:val="20"/>
          <w:szCs w:val="20"/>
        </w:rPr>
        <w:t>Specificity in Pleading</w:t>
      </w:r>
    </w:p>
    <w:p w:rsidR="00E45F3B" w:rsidRDefault="006A3871">
      <w:pPr>
        <w:numPr>
          <w:ilvl w:val="1"/>
          <w:numId w:val="2"/>
        </w:numPr>
        <w:contextualSpacing/>
        <w:rPr>
          <w:rFonts w:ascii="Times New Roman" w:eastAsia="Times New Roman" w:hAnsi="Times New Roman" w:cs="Times New Roman"/>
          <w:sz w:val="20"/>
          <w:szCs w:val="20"/>
        </w:rPr>
      </w:pPr>
      <w:r>
        <w:rPr>
          <w:rFonts w:ascii="Times New Roman" w:eastAsia="Times New Roman" w:hAnsi="Times New Roman" w:cs="Times New Roman"/>
          <w:sz w:val="20"/>
          <w:szCs w:val="20"/>
        </w:rPr>
        <w:t>Pleadings (only what’s listed in 7(a)) v. Motions (can conceivably do anything)</w:t>
      </w:r>
    </w:p>
    <w:p w:rsidR="00E45F3B" w:rsidRDefault="006A3871">
      <w:pPr>
        <w:numPr>
          <w:ilvl w:val="1"/>
          <w:numId w:val="2"/>
        </w:numPr>
        <w:contextualSpacing/>
        <w:rPr>
          <w:rFonts w:ascii="Times New Roman" w:eastAsia="Times New Roman" w:hAnsi="Times New Roman" w:cs="Times New Roman"/>
          <w:sz w:val="20"/>
          <w:szCs w:val="20"/>
        </w:rPr>
      </w:pPr>
      <w:r>
        <w:rPr>
          <w:rFonts w:ascii="Times New Roman" w:eastAsia="Times New Roman" w:hAnsi="Times New Roman" w:cs="Times New Roman"/>
          <w:sz w:val="20"/>
          <w:szCs w:val="20"/>
        </w:rPr>
        <w:t xml:space="preserve">Evolution of specificity: </w:t>
      </w:r>
      <w:r>
        <w:rPr>
          <w:rFonts w:ascii="Times New Roman" w:eastAsia="Times New Roman" w:hAnsi="Times New Roman" w:cs="Times New Roman"/>
          <w:i/>
          <w:sz w:val="20"/>
          <w:szCs w:val="20"/>
        </w:rPr>
        <w:t>Bell</w:t>
      </w:r>
      <w:r>
        <w:rPr>
          <w:rFonts w:ascii="Cardo" w:eastAsia="Cardo" w:hAnsi="Cardo" w:cs="Cardo"/>
          <w:sz w:val="20"/>
          <w:szCs w:val="20"/>
        </w:rPr>
        <w:t xml:space="preserve"> (D given notice of claim and idea of what being sued for in complaint per Rule 8) → </w:t>
      </w:r>
      <w:r>
        <w:rPr>
          <w:rFonts w:ascii="Times New Roman" w:eastAsia="Times New Roman" w:hAnsi="Times New Roman" w:cs="Times New Roman"/>
          <w:i/>
          <w:sz w:val="20"/>
          <w:szCs w:val="20"/>
        </w:rPr>
        <w:t>Bridges</w:t>
      </w:r>
      <w:r>
        <w:rPr>
          <w:rFonts w:ascii="Cardo" w:eastAsia="Cardo" w:hAnsi="Cardo" w:cs="Cardo"/>
          <w:sz w:val="20"/>
          <w:szCs w:val="20"/>
        </w:rPr>
        <w:t xml:space="preserve"> (higher bar for pleading, requires standard, adequate investigation per Rule 11) → </w:t>
      </w:r>
      <w:r>
        <w:rPr>
          <w:rFonts w:ascii="Times New Roman" w:eastAsia="Times New Roman" w:hAnsi="Times New Roman" w:cs="Times New Roman"/>
          <w:i/>
          <w:sz w:val="20"/>
          <w:szCs w:val="20"/>
        </w:rPr>
        <w:t>Haddle</w:t>
      </w:r>
      <w:r>
        <w:rPr>
          <w:rFonts w:ascii="Cardo" w:eastAsia="Cardo" w:hAnsi="Cardo" w:cs="Cardo"/>
          <w:sz w:val="20"/>
          <w:szCs w:val="20"/>
        </w:rPr>
        <w:t xml:space="preserve"> (D given procedural tool/vehicle of ability to move to dismiss complaint </w:t>
      </w:r>
      <w:r>
        <w:rPr>
          <w:rFonts w:ascii="Cardo" w:eastAsia="Cardo" w:hAnsi="Cardo" w:cs="Cardo"/>
          <w:sz w:val="20"/>
          <w:szCs w:val="20"/>
        </w:rPr>
        <w:t xml:space="preserve">for failure to state a claim (if complaint doesn’t measure up to Rule 8) per Rule 12(b)(6)) → </w:t>
      </w:r>
      <w:r>
        <w:rPr>
          <w:rFonts w:ascii="Times New Roman" w:eastAsia="Times New Roman" w:hAnsi="Times New Roman" w:cs="Times New Roman"/>
          <w:i/>
          <w:sz w:val="20"/>
          <w:szCs w:val="20"/>
        </w:rPr>
        <w:t>Twiqbal</w:t>
      </w:r>
      <w:r>
        <w:rPr>
          <w:rFonts w:ascii="Times New Roman" w:eastAsia="Times New Roman" w:hAnsi="Times New Roman" w:cs="Times New Roman"/>
          <w:sz w:val="20"/>
          <w:szCs w:val="20"/>
        </w:rPr>
        <w:t xml:space="preserve"> raises the bar/specificity,  see below</w:t>
      </w:r>
    </w:p>
    <w:p w:rsidR="00E45F3B" w:rsidRDefault="006A3871">
      <w:pPr>
        <w:numPr>
          <w:ilvl w:val="1"/>
          <w:numId w:val="2"/>
        </w:numPr>
        <w:contextualSpacing/>
        <w:rPr>
          <w:rFonts w:ascii="Times New Roman" w:eastAsia="Times New Roman" w:hAnsi="Times New Roman" w:cs="Times New Roman"/>
          <w:sz w:val="20"/>
          <w:szCs w:val="20"/>
        </w:rPr>
      </w:pPr>
      <w:r>
        <w:rPr>
          <w:rFonts w:ascii="Times New Roman" w:eastAsia="Times New Roman" w:hAnsi="Times New Roman" w:cs="Times New Roman"/>
          <w:sz w:val="20"/>
          <w:szCs w:val="20"/>
        </w:rPr>
        <w:t>Mere hope that discovery may turn up evidence to support allegation is not enough – pleading requires reasonable in</w:t>
      </w:r>
      <w:r>
        <w:rPr>
          <w:rFonts w:ascii="Times New Roman" w:eastAsia="Times New Roman" w:hAnsi="Times New Roman" w:cs="Times New Roman"/>
          <w:sz w:val="20"/>
          <w:szCs w:val="20"/>
        </w:rPr>
        <w:t>vestigate (per Rule 11)</w:t>
      </w:r>
    </w:p>
    <w:p w:rsidR="00E45F3B" w:rsidRDefault="006A3871">
      <w:pPr>
        <w:numPr>
          <w:ilvl w:val="1"/>
          <w:numId w:val="2"/>
        </w:numPr>
        <w:contextualSpacing/>
        <w:rPr>
          <w:rFonts w:ascii="Times New Roman" w:eastAsia="Times New Roman" w:hAnsi="Times New Roman" w:cs="Times New Roman"/>
          <w:sz w:val="20"/>
          <w:szCs w:val="20"/>
        </w:rPr>
      </w:pPr>
      <w:r>
        <w:rPr>
          <w:rFonts w:ascii="Times New Roman" w:eastAsia="Times New Roman" w:hAnsi="Times New Roman" w:cs="Times New Roman"/>
          <w:i/>
          <w:color w:val="FF0000"/>
          <w:sz w:val="20"/>
          <w:szCs w:val="20"/>
        </w:rPr>
        <w:t xml:space="preserve">Bell Atlantic Corp. v. Twombly </w:t>
      </w:r>
      <w:r>
        <w:rPr>
          <w:rFonts w:ascii="Times New Roman" w:eastAsia="Times New Roman" w:hAnsi="Times New Roman" w:cs="Times New Roman"/>
          <w:color w:val="FF0000"/>
          <w:sz w:val="20"/>
          <w:szCs w:val="20"/>
        </w:rPr>
        <w:t>(SCOTUS, 2007)</w:t>
      </w:r>
    </w:p>
    <w:p w:rsidR="00E45F3B" w:rsidRDefault="006A3871">
      <w:pPr>
        <w:ind w:left="720"/>
        <w:rPr>
          <w:rFonts w:ascii="Times New Roman" w:eastAsia="Times New Roman" w:hAnsi="Times New Roman" w:cs="Times New Roman"/>
          <w:color w:val="FF0000"/>
          <w:sz w:val="20"/>
          <w:szCs w:val="20"/>
        </w:rPr>
      </w:pPr>
      <w:r>
        <w:rPr>
          <w:rFonts w:ascii="Times New Roman" w:eastAsia="Times New Roman" w:hAnsi="Times New Roman" w:cs="Times New Roman"/>
          <w:color w:val="FF0000"/>
          <w:sz w:val="20"/>
          <w:szCs w:val="20"/>
        </w:rPr>
        <w:tab/>
      </w:r>
      <w:r>
        <w:rPr>
          <w:rFonts w:ascii="Times New Roman" w:eastAsia="Times New Roman" w:hAnsi="Times New Roman" w:cs="Times New Roman"/>
          <w:b/>
          <w:color w:val="FF0000"/>
          <w:sz w:val="20"/>
          <w:szCs w:val="20"/>
        </w:rPr>
        <w:t>H:</w:t>
      </w:r>
      <w:r>
        <w:rPr>
          <w:rFonts w:ascii="Times New Roman" w:eastAsia="Times New Roman" w:hAnsi="Times New Roman" w:cs="Times New Roman"/>
          <w:color w:val="FF0000"/>
          <w:sz w:val="20"/>
          <w:szCs w:val="20"/>
        </w:rPr>
        <w:t xml:space="preserve"> Required enough facts to state a claim to relief that is plausible on its face </w:t>
      </w:r>
    </w:p>
    <w:p w:rsidR="00E45F3B" w:rsidRDefault="006A3871">
      <w:pPr>
        <w:ind w:left="1440"/>
        <w:rPr>
          <w:rFonts w:ascii="Times New Roman" w:eastAsia="Times New Roman" w:hAnsi="Times New Roman" w:cs="Times New Roman"/>
          <w:color w:val="FF0000"/>
          <w:sz w:val="20"/>
          <w:szCs w:val="20"/>
        </w:rPr>
      </w:pPr>
      <w:r>
        <w:rPr>
          <w:rFonts w:ascii="Cardo" w:eastAsia="Cardo" w:hAnsi="Cardo" w:cs="Cardo"/>
          <w:color w:val="FF0000"/>
          <w:sz w:val="20"/>
          <w:szCs w:val="20"/>
        </w:rPr>
        <w:t xml:space="preserve">→ Practitioners/academics unsure if heightened specificity applied only in antitrust claims, </w:t>
      </w:r>
      <w:r>
        <w:rPr>
          <w:rFonts w:ascii="Times New Roman" w:eastAsia="Times New Roman" w:hAnsi="Times New Roman" w:cs="Times New Roman"/>
          <w:i/>
          <w:color w:val="FF0000"/>
          <w:sz w:val="20"/>
          <w:szCs w:val="20"/>
        </w:rPr>
        <w:t>Iqbal</w:t>
      </w:r>
      <w:r>
        <w:rPr>
          <w:rFonts w:ascii="Times New Roman" w:eastAsia="Times New Roman" w:hAnsi="Times New Roman" w:cs="Times New Roman"/>
          <w:color w:val="FF0000"/>
          <w:sz w:val="20"/>
          <w:szCs w:val="20"/>
        </w:rPr>
        <w:t xml:space="preserve"> cla</w:t>
      </w:r>
      <w:r>
        <w:rPr>
          <w:rFonts w:ascii="Times New Roman" w:eastAsia="Times New Roman" w:hAnsi="Times New Roman" w:cs="Times New Roman"/>
          <w:color w:val="FF0000"/>
          <w:sz w:val="20"/>
          <w:szCs w:val="20"/>
        </w:rPr>
        <w:t>rified that applied to all claims/complaints (see below)</w:t>
      </w:r>
    </w:p>
    <w:p w:rsidR="00E45F3B" w:rsidRDefault="006A3871">
      <w:pPr>
        <w:numPr>
          <w:ilvl w:val="1"/>
          <w:numId w:val="2"/>
        </w:numPr>
        <w:contextualSpacing/>
        <w:rPr>
          <w:rFonts w:ascii="Times New Roman" w:eastAsia="Times New Roman" w:hAnsi="Times New Roman" w:cs="Times New Roman"/>
          <w:sz w:val="20"/>
          <w:szCs w:val="20"/>
        </w:rPr>
      </w:pPr>
      <w:r>
        <w:rPr>
          <w:rFonts w:ascii="Times New Roman" w:eastAsia="Times New Roman" w:hAnsi="Times New Roman" w:cs="Times New Roman"/>
          <w:i/>
          <w:color w:val="FF0000"/>
          <w:sz w:val="20"/>
          <w:szCs w:val="20"/>
        </w:rPr>
        <w:t xml:space="preserve">Ashcroft v. Iqbal </w:t>
      </w:r>
      <w:r>
        <w:rPr>
          <w:rFonts w:ascii="Times New Roman" w:eastAsia="Times New Roman" w:hAnsi="Times New Roman" w:cs="Times New Roman"/>
          <w:color w:val="FF0000"/>
          <w:sz w:val="20"/>
          <w:szCs w:val="20"/>
        </w:rPr>
        <w:t>(SCOTUS, 2009)</w:t>
      </w:r>
    </w:p>
    <w:p w:rsidR="00E45F3B" w:rsidRDefault="006A3871">
      <w:pPr>
        <w:ind w:left="1440"/>
        <w:rPr>
          <w:rFonts w:ascii="Times New Roman" w:eastAsia="Times New Roman" w:hAnsi="Times New Roman" w:cs="Times New Roman"/>
          <w:sz w:val="20"/>
          <w:szCs w:val="20"/>
        </w:rPr>
      </w:pPr>
      <w:r>
        <w:rPr>
          <w:rFonts w:ascii="Times New Roman" w:eastAsia="Times New Roman" w:hAnsi="Times New Roman" w:cs="Times New Roman"/>
          <w:b/>
          <w:color w:val="FF0000"/>
          <w:sz w:val="20"/>
          <w:szCs w:val="20"/>
        </w:rPr>
        <w:t>H:</w:t>
      </w:r>
      <w:r>
        <w:rPr>
          <w:rFonts w:ascii="Times New Roman" w:eastAsia="Times New Roman" w:hAnsi="Times New Roman" w:cs="Times New Roman"/>
          <w:color w:val="FF0000"/>
          <w:sz w:val="20"/>
          <w:szCs w:val="20"/>
        </w:rPr>
        <w:t xml:space="preserve"> Grants Ds’s 12(b)(6) motion where P sued Ds, AG and FBI Director, alleging that they’d adopted an unconstitutional policy that subjected P to harsh conditions of c</w:t>
      </w:r>
      <w:r>
        <w:rPr>
          <w:rFonts w:ascii="Times New Roman" w:eastAsia="Times New Roman" w:hAnsi="Times New Roman" w:cs="Times New Roman"/>
          <w:color w:val="FF0000"/>
          <w:sz w:val="20"/>
          <w:szCs w:val="20"/>
        </w:rPr>
        <w:t xml:space="preserve">onfinement on account of his race, religion, and national origin (Iqbal is a Pakistani and Muslim) (Civil Rights claim per </w:t>
      </w:r>
      <w:r>
        <w:rPr>
          <w:rFonts w:ascii="Times New Roman" w:eastAsia="Times New Roman" w:hAnsi="Times New Roman" w:cs="Times New Roman"/>
          <w:i/>
          <w:color w:val="FF0000"/>
          <w:sz w:val="20"/>
          <w:szCs w:val="20"/>
        </w:rPr>
        <w:t>Bivens</w:t>
      </w:r>
      <w:r>
        <w:rPr>
          <w:rFonts w:ascii="Times New Roman" w:eastAsia="Times New Roman" w:hAnsi="Times New Roman" w:cs="Times New Roman"/>
          <w:color w:val="FF0000"/>
          <w:sz w:val="20"/>
          <w:szCs w:val="20"/>
        </w:rPr>
        <w:t xml:space="preserve"> § 1983)</w:t>
      </w:r>
    </w:p>
    <w:p w:rsidR="00E45F3B" w:rsidRDefault="006A3871">
      <w:pPr>
        <w:numPr>
          <w:ilvl w:val="2"/>
          <w:numId w:val="2"/>
        </w:numPr>
        <w:rPr>
          <w:rFonts w:ascii="Times New Roman" w:eastAsia="Times New Roman" w:hAnsi="Times New Roman" w:cs="Times New Roman"/>
          <w:sz w:val="20"/>
          <w:szCs w:val="20"/>
        </w:rPr>
      </w:pPr>
      <w:r>
        <w:rPr>
          <w:rFonts w:ascii="Times New Roman" w:eastAsia="Times New Roman" w:hAnsi="Times New Roman" w:cs="Times New Roman"/>
          <w:i/>
          <w:color w:val="FF0000"/>
          <w:sz w:val="20"/>
          <w:szCs w:val="20"/>
        </w:rPr>
        <w:t>Bivens</w:t>
      </w:r>
      <w:r>
        <w:rPr>
          <w:rFonts w:ascii="Times New Roman" w:eastAsia="Times New Roman" w:hAnsi="Times New Roman" w:cs="Times New Roman"/>
          <w:color w:val="FF0000"/>
          <w:sz w:val="20"/>
          <w:szCs w:val="20"/>
        </w:rPr>
        <w:t xml:space="preserve"> § 1983 – Unconstitutional action by gov’t official; if official was acting in good faith within law then grante</w:t>
      </w:r>
      <w:r>
        <w:rPr>
          <w:rFonts w:ascii="Times New Roman" w:eastAsia="Times New Roman" w:hAnsi="Times New Roman" w:cs="Times New Roman"/>
          <w:color w:val="FF0000"/>
          <w:sz w:val="20"/>
          <w:szCs w:val="20"/>
        </w:rPr>
        <w:t>d qualified immunity</w:t>
      </w:r>
    </w:p>
    <w:p w:rsidR="00E45F3B" w:rsidRDefault="006A3871">
      <w:pPr>
        <w:ind w:left="1440"/>
        <w:rPr>
          <w:rFonts w:ascii="Times New Roman" w:eastAsia="Times New Roman" w:hAnsi="Times New Roman" w:cs="Times New Roman"/>
          <w:color w:val="FF0000"/>
          <w:sz w:val="20"/>
          <w:szCs w:val="20"/>
        </w:rPr>
      </w:pPr>
      <w:r>
        <w:rPr>
          <w:rFonts w:ascii="Cardo" w:eastAsia="Cardo" w:hAnsi="Cardo" w:cs="Cardo"/>
          <w:color w:val="FF0000"/>
          <w:sz w:val="20"/>
          <w:szCs w:val="20"/>
        </w:rPr>
        <w:t>→</w:t>
      </w:r>
      <w:r>
        <w:rPr>
          <w:rFonts w:ascii="Times New Roman" w:eastAsia="Times New Roman" w:hAnsi="Times New Roman" w:cs="Times New Roman"/>
          <w:sz w:val="20"/>
          <w:szCs w:val="20"/>
        </w:rPr>
        <w:t xml:space="preserve"> </w:t>
      </w:r>
      <w:r>
        <w:rPr>
          <w:rFonts w:ascii="Times New Roman" w:eastAsia="Times New Roman" w:hAnsi="Times New Roman" w:cs="Times New Roman"/>
          <w:color w:val="FF0000"/>
          <w:sz w:val="20"/>
          <w:szCs w:val="20"/>
        </w:rPr>
        <w:t xml:space="preserve">Sets pleading higher standard – must be </w:t>
      </w:r>
      <w:r>
        <w:rPr>
          <w:rFonts w:ascii="Times New Roman" w:eastAsia="Times New Roman" w:hAnsi="Times New Roman" w:cs="Times New Roman"/>
          <w:i/>
          <w:color w:val="FF0000"/>
          <w:sz w:val="20"/>
          <w:szCs w:val="20"/>
        </w:rPr>
        <w:t>plausible</w:t>
      </w:r>
      <w:r>
        <w:rPr>
          <w:rFonts w:ascii="Times New Roman" w:eastAsia="Times New Roman" w:hAnsi="Times New Roman" w:cs="Times New Roman"/>
          <w:color w:val="FF0000"/>
          <w:sz w:val="20"/>
          <w:szCs w:val="20"/>
        </w:rPr>
        <w:t>, greater than possible and conceivable but less than more probably than not</w:t>
      </w:r>
    </w:p>
    <w:p w:rsidR="00E45F3B" w:rsidRDefault="006A3871">
      <w:pPr>
        <w:ind w:left="720" w:firstLine="720"/>
        <w:rPr>
          <w:rFonts w:ascii="Times New Roman" w:eastAsia="Times New Roman" w:hAnsi="Times New Roman" w:cs="Times New Roman"/>
          <w:sz w:val="20"/>
          <w:szCs w:val="20"/>
        </w:rPr>
      </w:pPr>
      <w:r>
        <w:rPr>
          <w:rFonts w:ascii="Times New Roman" w:eastAsia="Times New Roman" w:hAnsi="Times New Roman" w:cs="Times New Roman"/>
          <w:b/>
          <w:color w:val="FF0000"/>
          <w:sz w:val="20"/>
          <w:szCs w:val="20"/>
        </w:rPr>
        <w:t xml:space="preserve">Rule: </w:t>
      </w:r>
      <w:r>
        <w:rPr>
          <w:rFonts w:ascii="Times New Roman" w:eastAsia="Times New Roman" w:hAnsi="Times New Roman" w:cs="Times New Roman"/>
          <w:i/>
          <w:sz w:val="20"/>
          <w:szCs w:val="20"/>
        </w:rPr>
        <w:t>Twiqbal</w:t>
      </w:r>
      <w:r>
        <w:rPr>
          <w:rFonts w:ascii="Times New Roman" w:eastAsia="Times New Roman" w:hAnsi="Times New Roman" w:cs="Times New Roman"/>
          <w:sz w:val="20"/>
          <w:szCs w:val="20"/>
        </w:rPr>
        <w:t xml:space="preserve"> Two-Part Test:</w:t>
      </w:r>
    </w:p>
    <w:p w:rsidR="00E45F3B" w:rsidRDefault="006A3871">
      <w:pPr>
        <w:numPr>
          <w:ilvl w:val="2"/>
          <w:numId w:val="2"/>
        </w:numPr>
        <w:contextualSpacing/>
        <w:rPr>
          <w:rFonts w:ascii="Times New Roman" w:eastAsia="Times New Roman" w:hAnsi="Times New Roman" w:cs="Times New Roman"/>
          <w:sz w:val="20"/>
          <w:szCs w:val="20"/>
        </w:rPr>
      </w:pPr>
      <w:r>
        <w:rPr>
          <w:rFonts w:ascii="Times New Roman" w:eastAsia="Times New Roman" w:hAnsi="Times New Roman" w:cs="Times New Roman"/>
          <w:sz w:val="20"/>
          <w:szCs w:val="20"/>
        </w:rPr>
        <w:t>(1) Separate conclusory and non-conclusory allegations</w:t>
      </w:r>
    </w:p>
    <w:p w:rsidR="00E45F3B" w:rsidRDefault="006A3871">
      <w:pPr>
        <w:numPr>
          <w:ilvl w:val="3"/>
          <w:numId w:val="2"/>
        </w:numPr>
        <w:contextualSpacing/>
        <w:rPr>
          <w:rFonts w:ascii="Times New Roman" w:eastAsia="Times New Roman" w:hAnsi="Times New Roman" w:cs="Times New Roman"/>
          <w:sz w:val="20"/>
          <w:szCs w:val="20"/>
        </w:rPr>
      </w:pPr>
      <w:r>
        <w:rPr>
          <w:rFonts w:ascii="Times New Roman" w:eastAsia="Times New Roman" w:hAnsi="Times New Roman" w:cs="Times New Roman"/>
          <w:sz w:val="20"/>
          <w:szCs w:val="20"/>
        </w:rPr>
        <w:t>If conclusory, set aside – evidence that conclusory if essentially an element of the statement/law without evidence to support claim</w:t>
      </w:r>
    </w:p>
    <w:p w:rsidR="00E45F3B" w:rsidRDefault="006A3871">
      <w:pPr>
        <w:numPr>
          <w:ilvl w:val="3"/>
          <w:numId w:val="2"/>
        </w:numPr>
        <w:contextualSpacing/>
        <w:rPr>
          <w:rFonts w:ascii="Times New Roman" w:eastAsia="Times New Roman" w:hAnsi="Times New Roman" w:cs="Times New Roman"/>
          <w:sz w:val="20"/>
          <w:szCs w:val="20"/>
        </w:rPr>
      </w:pPr>
      <w:r>
        <w:rPr>
          <w:rFonts w:ascii="Times New Roman" w:eastAsia="Times New Roman" w:hAnsi="Times New Roman" w:cs="Times New Roman"/>
          <w:sz w:val="20"/>
          <w:szCs w:val="20"/>
        </w:rPr>
        <w:t xml:space="preserve">If non-conclusory, assume truth </w:t>
      </w:r>
    </w:p>
    <w:p w:rsidR="00E45F3B" w:rsidRDefault="006A3871">
      <w:pPr>
        <w:numPr>
          <w:ilvl w:val="2"/>
          <w:numId w:val="2"/>
        </w:numPr>
        <w:contextualSpacing/>
        <w:rPr>
          <w:rFonts w:ascii="Times New Roman" w:eastAsia="Times New Roman" w:hAnsi="Times New Roman" w:cs="Times New Roman"/>
          <w:sz w:val="20"/>
          <w:szCs w:val="20"/>
        </w:rPr>
      </w:pPr>
      <w:r>
        <w:rPr>
          <w:rFonts w:ascii="Times New Roman" w:eastAsia="Times New Roman" w:hAnsi="Times New Roman" w:cs="Times New Roman"/>
          <w:sz w:val="20"/>
          <w:szCs w:val="20"/>
        </w:rPr>
        <w:t>(2) Plausibility analysis assuming truth of non-conclusory allegations (only a complaint t</w:t>
      </w:r>
      <w:r>
        <w:rPr>
          <w:rFonts w:ascii="Times New Roman" w:eastAsia="Times New Roman" w:hAnsi="Times New Roman" w:cs="Times New Roman"/>
          <w:sz w:val="20"/>
          <w:szCs w:val="20"/>
        </w:rPr>
        <w:t xml:space="preserve">hat states a </w:t>
      </w:r>
      <w:r>
        <w:rPr>
          <w:rFonts w:ascii="Times New Roman" w:eastAsia="Times New Roman" w:hAnsi="Times New Roman" w:cs="Times New Roman"/>
          <w:i/>
          <w:sz w:val="20"/>
          <w:szCs w:val="20"/>
        </w:rPr>
        <w:t>plausible</w:t>
      </w:r>
      <w:r>
        <w:rPr>
          <w:rFonts w:ascii="Times New Roman" w:eastAsia="Times New Roman" w:hAnsi="Times New Roman" w:cs="Times New Roman"/>
          <w:sz w:val="20"/>
          <w:szCs w:val="20"/>
        </w:rPr>
        <w:t xml:space="preserve"> claim for relief survives a motion to dismiss)</w:t>
      </w:r>
    </w:p>
    <w:p w:rsidR="00E45F3B" w:rsidRDefault="006A3871">
      <w:pPr>
        <w:numPr>
          <w:ilvl w:val="3"/>
          <w:numId w:val="2"/>
        </w:numPr>
        <w:contextualSpacing/>
        <w:rPr>
          <w:rFonts w:ascii="Times New Roman" w:eastAsia="Times New Roman" w:hAnsi="Times New Roman" w:cs="Times New Roman"/>
          <w:sz w:val="20"/>
          <w:szCs w:val="20"/>
        </w:rPr>
      </w:pPr>
      <w:r>
        <w:rPr>
          <w:rFonts w:ascii="Times New Roman" w:eastAsia="Times New Roman" w:hAnsi="Times New Roman" w:cs="Times New Roman"/>
          <w:sz w:val="20"/>
          <w:szCs w:val="20"/>
        </w:rPr>
        <w:t>Identify likely explanations – P’s explanation, D’s explanation</w:t>
      </w:r>
    </w:p>
    <w:p w:rsidR="00E45F3B" w:rsidRDefault="006A3871">
      <w:pPr>
        <w:numPr>
          <w:ilvl w:val="3"/>
          <w:numId w:val="2"/>
        </w:numPr>
        <w:contextualSpacing/>
        <w:rPr>
          <w:rFonts w:ascii="Times New Roman" w:eastAsia="Times New Roman" w:hAnsi="Times New Roman" w:cs="Times New Roman"/>
          <w:sz w:val="20"/>
          <w:szCs w:val="20"/>
        </w:rPr>
      </w:pPr>
      <w:r>
        <w:rPr>
          <w:rFonts w:ascii="Times New Roman" w:eastAsia="Times New Roman" w:hAnsi="Times New Roman" w:cs="Times New Roman"/>
          <w:sz w:val="20"/>
          <w:szCs w:val="20"/>
        </w:rPr>
        <w:t>Balance explanations to determine which is more plausible (using judicial experience and common sense)</w:t>
      </w:r>
    </w:p>
    <w:p w:rsidR="00E45F3B" w:rsidRDefault="006A3871">
      <w:pPr>
        <w:numPr>
          <w:ilvl w:val="4"/>
          <w:numId w:val="2"/>
        </w:numPr>
        <w:contextualSpacing/>
        <w:rPr>
          <w:rFonts w:ascii="Times New Roman" w:eastAsia="Times New Roman" w:hAnsi="Times New Roman" w:cs="Times New Roman"/>
          <w:sz w:val="20"/>
          <w:szCs w:val="20"/>
        </w:rPr>
      </w:pPr>
      <w:r>
        <w:rPr>
          <w:rFonts w:ascii="Times New Roman" w:eastAsia="Times New Roman" w:hAnsi="Times New Roman" w:cs="Times New Roman"/>
          <w:sz w:val="20"/>
          <w:szCs w:val="20"/>
        </w:rPr>
        <w:t xml:space="preserve">If P’s explanation </w:t>
      </w:r>
      <w:r>
        <w:rPr>
          <w:rFonts w:ascii="Times New Roman" w:eastAsia="Times New Roman" w:hAnsi="Times New Roman" w:cs="Times New Roman"/>
          <w:sz w:val="20"/>
          <w:szCs w:val="20"/>
        </w:rPr>
        <w:t>– go to trial</w:t>
      </w:r>
    </w:p>
    <w:p w:rsidR="00E45F3B" w:rsidRDefault="006A3871">
      <w:pPr>
        <w:numPr>
          <w:ilvl w:val="4"/>
          <w:numId w:val="2"/>
        </w:numPr>
        <w:contextualSpacing/>
        <w:rPr>
          <w:rFonts w:ascii="Times New Roman" w:eastAsia="Times New Roman" w:hAnsi="Times New Roman" w:cs="Times New Roman"/>
          <w:sz w:val="20"/>
          <w:szCs w:val="20"/>
        </w:rPr>
      </w:pPr>
      <w:r>
        <w:rPr>
          <w:rFonts w:ascii="Times New Roman" w:eastAsia="Times New Roman" w:hAnsi="Times New Roman" w:cs="Times New Roman"/>
          <w:sz w:val="20"/>
          <w:szCs w:val="20"/>
        </w:rPr>
        <w:t>If D’s explanation – grant motion to dismiss</w:t>
      </w:r>
    </w:p>
    <w:p w:rsidR="00E45F3B" w:rsidRDefault="006A3871">
      <w:pPr>
        <w:numPr>
          <w:ilvl w:val="4"/>
          <w:numId w:val="2"/>
        </w:numPr>
        <w:contextualSpacing/>
        <w:rPr>
          <w:rFonts w:ascii="Times New Roman" w:eastAsia="Times New Roman" w:hAnsi="Times New Roman" w:cs="Times New Roman"/>
          <w:sz w:val="20"/>
          <w:szCs w:val="20"/>
        </w:rPr>
      </w:pPr>
      <w:r>
        <w:rPr>
          <w:rFonts w:ascii="Times New Roman" w:eastAsia="Times New Roman" w:hAnsi="Times New Roman" w:cs="Times New Roman"/>
          <w:sz w:val="20"/>
          <w:szCs w:val="20"/>
        </w:rPr>
        <w:t xml:space="preserve">If both, should go to trial in theory </w:t>
      </w:r>
    </w:p>
    <w:p w:rsidR="00E45F3B" w:rsidRDefault="006A3871">
      <w:pPr>
        <w:ind w:left="1440"/>
        <w:rPr>
          <w:rFonts w:ascii="Times New Roman" w:eastAsia="Times New Roman" w:hAnsi="Times New Roman" w:cs="Times New Roman"/>
          <w:color w:val="FF0000"/>
          <w:sz w:val="20"/>
          <w:szCs w:val="20"/>
        </w:rPr>
      </w:pPr>
      <w:r>
        <w:rPr>
          <w:rFonts w:ascii="Times New Roman" w:eastAsia="Times New Roman" w:hAnsi="Times New Roman" w:cs="Times New Roman"/>
          <w:b/>
          <w:color w:val="FF0000"/>
          <w:sz w:val="20"/>
          <w:szCs w:val="20"/>
        </w:rPr>
        <w:t xml:space="preserve">Application: </w:t>
      </w:r>
      <w:r>
        <w:rPr>
          <w:rFonts w:ascii="Times New Roman" w:eastAsia="Times New Roman" w:hAnsi="Times New Roman" w:cs="Times New Roman"/>
          <w:color w:val="FF0000"/>
          <w:sz w:val="20"/>
          <w:szCs w:val="20"/>
        </w:rPr>
        <w:t>(1) Conclusory allegations: That Ds knew and condoned policy of harsh conditions and policy based on discrimination, Ashcroft was architect of po</w:t>
      </w:r>
      <w:r>
        <w:rPr>
          <w:rFonts w:ascii="Times New Roman" w:eastAsia="Times New Roman" w:hAnsi="Times New Roman" w:cs="Times New Roman"/>
          <w:color w:val="FF0000"/>
          <w:sz w:val="20"/>
          <w:szCs w:val="20"/>
        </w:rPr>
        <w:t>licy and Mueller was instrument of implementation – need evidence to support these claims; factual/non-conclusory allegations: Mueller detained thousands of Arab Muslims, policy of harsh detention was approved by Ashcroft and Mueller – assume true; (2) Par</w:t>
      </w:r>
      <w:r>
        <w:rPr>
          <w:rFonts w:ascii="Times New Roman" w:eastAsia="Times New Roman" w:hAnsi="Times New Roman" w:cs="Times New Roman"/>
          <w:color w:val="FF0000"/>
          <w:sz w:val="20"/>
          <w:szCs w:val="20"/>
        </w:rPr>
        <w:t>allel conduct between law enforcement/neutral investigation and discrimination more likely (gas station price fixing anecdote)</w:t>
      </w:r>
    </w:p>
    <w:p w:rsidR="00E45F3B" w:rsidRDefault="006A3871">
      <w:pPr>
        <w:numPr>
          <w:ilvl w:val="1"/>
          <w:numId w:val="2"/>
        </w:numPr>
        <w:contextualSpacing/>
        <w:rPr>
          <w:rFonts w:ascii="Times New Roman" w:eastAsia="Times New Roman" w:hAnsi="Times New Roman" w:cs="Times New Roman"/>
          <w:sz w:val="20"/>
          <w:szCs w:val="20"/>
        </w:rPr>
      </w:pPr>
      <w:r>
        <w:rPr>
          <w:rFonts w:ascii="Times New Roman" w:eastAsia="Times New Roman" w:hAnsi="Times New Roman" w:cs="Times New Roman"/>
          <w:i/>
          <w:color w:val="FF0000"/>
          <w:sz w:val="20"/>
          <w:szCs w:val="20"/>
        </w:rPr>
        <w:t xml:space="preserve">Stradford v. Zurich Insurance Co. </w:t>
      </w:r>
      <w:r>
        <w:rPr>
          <w:rFonts w:ascii="Times New Roman" w:eastAsia="Times New Roman" w:hAnsi="Times New Roman" w:cs="Times New Roman"/>
          <w:color w:val="FF0000"/>
          <w:sz w:val="20"/>
          <w:szCs w:val="20"/>
        </w:rPr>
        <w:t>(S.D.N.Y., 2002)</w:t>
      </w:r>
    </w:p>
    <w:p w:rsidR="00E45F3B" w:rsidRDefault="006A3871">
      <w:pPr>
        <w:ind w:left="1440"/>
        <w:rPr>
          <w:rFonts w:ascii="Times New Roman" w:eastAsia="Times New Roman" w:hAnsi="Times New Roman" w:cs="Times New Roman"/>
          <w:color w:val="FF0000"/>
          <w:sz w:val="20"/>
          <w:szCs w:val="20"/>
        </w:rPr>
      </w:pPr>
      <w:r>
        <w:rPr>
          <w:rFonts w:ascii="Times New Roman" w:eastAsia="Times New Roman" w:hAnsi="Times New Roman" w:cs="Times New Roman"/>
          <w:b/>
          <w:color w:val="FF0000"/>
          <w:sz w:val="20"/>
          <w:szCs w:val="20"/>
        </w:rPr>
        <w:t>H:</w:t>
      </w:r>
      <w:r>
        <w:rPr>
          <w:rFonts w:ascii="Times New Roman" w:eastAsia="Times New Roman" w:hAnsi="Times New Roman" w:cs="Times New Roman"/>
          <w:color w:val="FF0000"/>
          <w:sz w:val="20"/>
          <w:szCs w:val="20"/>
        </w:rPr>
        <w:t xml:space="preserve"> Court dismisses D’s claim for lack of Rule 9 specificity (though will be re</w:t>
      </w:r>
      <w:r>
        <w:rPr>
          <w:rFonts w:ascii="Times New Roman" w:eastAsia="Times New Roman" w:hAnsi="Times New Roman" w:cs="Times New Roman"/>
          <w:color w:val="FF0000"/>
          <w:sz w:val="20"/>
          <w:szCs w:val="20"/>
        </w:rPr>
        <w:t>filed) where P suing insurance company for failure to pay (P had purchased premiums, failed to pay and policy lapses (submitted no claims during lapse), revives and begins paying again, then submits claim for water damages ($151k) and for business interrup</w:t>
      </w:r>
      <w:r>
        <w:rPr>
          <w:rFonts w:ascii="Times New Roman" w:eastAsia="Times New Roman" w:hAnsi="Times New Roman" w:cs="Times New Roman"/>
          <w:color w:val="FF0000"/>
          <w:sz w:val="20"/>
          <w:szCs w:val="20"/>
        </w:rPr>
        <w:t xml:space="preserve">tion ($1.2M)), D counterclaims fraud by P alleging scheme and artifice seeking </w:t>
      </w:r>
      <w:r>
        <w:rPr>
          <w:rFonts w:ascii="Times New Roman" w:eastAsia="Times New Roman" w:hAnsi="Times New Roman" w:cs="Times New Roman"/>
          <w:color w:val="FF0000"/>
          <w:sz w:val="20"/>
          <w:szCs w:val="20"/>
        </w:rPr>
        <w:lastRenderedPageBreak/>
        <w:t xml:space="preserve">compensation, attorney’s fees, and punitives – because D’s claims are for fraud, not breach of K (original suit), must refile meeting Rule 9 heightened pleading standard (P won </w:t>
      </w:r>
      <w:r>
        <w:rPr>
          <w:rFonts w:ascii="Times New Roman" w:eastAsia="Times New Roman" w:hAnsi="Times New Roman" w:cs="Times New Roman"/>
          <w:color w:val="FF0000"/>
          <w:sz w:val="20"/>
          <w:szCs w:val="20"/>
        </w:rPr>
        <w:t>Rule 9 claim but D given leave to amend its claim – D the real winner of the case)</w:t>
      </w:r>
    </w:p>
    <w:p w:rsidR="00E45F3B" w:rsidRDefault="006A3871">
      <w:pPr>
        <w:numPr>
          <w:ilvl w:val="1"/>
          <w:numId w:val="2"/>
        </w:numPr>
        <w:contextualSpacing/>
        <w:rPr>
          <w:rFonts w:ascii="Times New Roman" w:eastAsia="Times New Roman" w:hAnsi="Times New Roman" w:cs="Times New Roman"/>
          <w:sz w:val="20"/>
          <w:szCs w:val="20"/>
        </w:rPr>
      </w:pPr>
      <w:r>
        <w:rPr>
          <w:rFonts w:ascii="Times New Roman" w:eastAsia="Times New Roman" w:hAnsi="Times New Roman" w:cs="Times New Roman"/>
          <w:b/>
          <w:sz w:val="20"/>
          <w:szCs w:val="20"/>
        </w:rPr>
        <w:t>FRCP 9: Pleading Special Matters</w:t>
      </w:r>
      <w:r>
        <w:rPr>
          <w:rFonts w:ascii="Times New Roman" w:eastAsia="Times New Roman" w:hAnsi="Times New Roman" w:cs="Times New Roman"/>
          <w:sz w:val="20"/>
          <w:szCs w:val="20"/>
        </w:rPr>
        <w:t xml:space="preserve"> – Requires more specificity [for fraud claims]</w:t>
      </w:r>
    </w:p>
    <w:p w:rsidR="00E45F3B" w:rsidRDefault="006A3871">
      <w:pPr>
        <w:numPr>
          <w:ilvl w:val="2"/>
          <w:numId w:val="2"/>
        </w:numPr>
        <w:contextualSpacing/>
        <w:rPr>
          <w:rFonts w:ascii="Times New Roman" w:eastAsia="Times New Roman" w:hAnsi="Times New Roman" w:cs="Times New Roman"/>
          <w:sz w:val="20"/>
          <w:szCs w:val="20"/>
        </w:rPr>
      </w:pPr>
      <w:r>
        <w:rPr>
          <w:rFonts w:ascii="Times New Roman" w:eastAsia="Times New Roman" w:hAnsi="Times New Roman" w:cs="Times New Roman"/>
          <w:sz w:val="20"/>
          <w:szCs w:val="20"/>
        </w:rPr>
        <w:t xml:space="preserve">Rule 9(b) – requires specificity but may allege intent, motive, knowledge generally </w:t>
      </w:r>
      <w:r>
        <w:rPr>
          <w:rFonts w:ascii="Times New Roman" w:eastAsia="Times New Roman" w:hAnsi="Times New Roman" w:cs="Times New Roman"/>
          <w:sz w:val="20"/>
          <w:szCs w:val="20"/>
        </w:rPr>
        <w:t xml:space="preserve">(where Rule 8 lower standard applies to mitigate P’s lack of knowledge prior to discovery?) </w:t>
      </w:r>
    </w:p>
    <w:p w:rsidR="00E45F3B" w:rsidRDefault="006A3871">
      <w:pPr>
        <w:numPr>
          <w:ilvl w:val="1"/>
          <w:numId w:val="2"/>
        </w:numPr>
        <w:contextualSpacing/>
        <w:rPr>
          <w:rFonts w:ascii="Times New Roman" w:eastAsia="Times New Roman" w:hAnsi="Times New Roman" w:cs="Times New Roman"/>
          <w:sz w:val="20"/>
          <w:szCs w:val="20"/>
        </w:rPr>
      </w:pPr>
      <w:r>
        <w:rPr>
          <w:rFonts w:ascii="Times New Roman" w:eastAsia="Times New Roman" w:hAnsi="Times New Roman" w:cs="Times New Roman"/>
          <w:b/>
          <w:sz w:val="20"/>
          <w:szCs w:val="20"/>
        </w:rPr>
        <w:t>FRCP 8: General Rules of Pleading</w:t>
      </w:r>
    </w:p>
    <w:p w:rsidR="00E45F3B" w:rsidRDefault="006A3871">
      <w:pPr>
        <w:numPr>
          <w:ilvl w:val="0"/>
          <w:numId w:val="2"/>
        </w:numPr>
        <w:contextualSpacing/>
        <w:rPr>
          <w:rFonts w:ascii="Times New Roman" w:eastAsia="Times New Roman" w:hAnsi="Times New Roman" w:cs="Times New Roman"/>
          <w:sz w:val="20"/>
          <w:szCs w:val="20"/>
        </w:rPr>
      </w:pPr>
      <w:r>
        <w:rPr>
          <w:rFonts w:ascii="Times New Roman" w:eastAsia="Times New Roman" w:hAnsi="Times New Roman" w:cs="Times New Roman"/>
          <w:sz w:val="20"/>
          <w:szCs w:val="20"/>
        </w:rPr>
        <w:t>Ethics in Pleading</w:t>
      </w:r>
    </w:p>
    <w:p w:rsidR="00E45F3B" w:rsidRDefault="006A3871">
      <w:pPr>
        <w:numPr>
          <w:ilvl w:val="1"/>
          <w:numId w:val="2"/>
        </w:numPr>
        <w:contextualSpacing/>
        <w:rPr>
          <w:rFonts w:ascii="Times New Roman" w:eastAsia="Times New Roman" w:hAnsi="Times New Roman" w:cs="Times New Roman"/>
          <w:sz w:val="20"/>
          <w:szCs w:val="20"/>
        </w:rPr>
      </w:pPr>
      <w:r>
        <w:rPr>
          <w:rFonts w:ascii="Times New Roman" w:eastAsia="Times New Roman" w:hAnsi="Times New Roman" w:cs="Times New Roman"/>
          <w:b/>
          <w:sz w:val="20"/>
          <w:szCs w:val="20"/>
        </w:rPr>
        <w:t xml:space="preserve">FRCP 11: Signing Pleadings, Motions, and Other Papers; Representations to the Court; Sanctions </w:t>
      </w:r>
      <w:r>
        <w:rPr>
          <w:rFonts w:ascii="Times New Roman" w:eastAsia="Times New Roman" w:hAnsi="Times New Roman" w:cs="Times New Roman"/>
          <w:sz w:val="20"/>
          <w:szCs w:val="20"/>
        </w:rPr>
        <w:t>– governs crimi</w:t>
      </w:r>
      <w:r>
        <w:rPr>
          <w:rFonts w:ascii="Times New Roman" w:eastAsia="Times New Roman" w:hAnsi="Times New Roman" w:cs="Times New Roman"/>
          <w:sz w:val="20"/>
          <w:szCs w:val="20"/>
        </w:rPr>
        <w:t>nal/civil law, professional competence of lawyers (malpractice, professional responsibility), specialized topics (i.e. Sarbanes-Oxley), ethics considerations with civil litigation (applicable even when no bad faith); does not apply to discover (discovery h</w:t>
      </w:r>
      <w:r>
        <w:rPr>
          <w:rFonts w:ascii="Times New Roman" w:eastAsia="Times New Roman" w:hAnsi="Times New Roman" w:cs="Times New Roman"/>
          <w:sz w:val="20"/>
          <w:szCs w:val="20"/>
        </w:rPr>
        <w:t>as own sanctions per Rules 26 and 37)</w:t>
      </w:r>
    </w:p>
    <w:p w:rsidR="00E45F3B" w:rsidRDefault="006A3871">
      <w:pPr>
        <w:numPr>
          <w:ilvl w:val="2"/>
          <w:numId w:val="2"/>
        </w:numPr>
        <w:contextualSpacing/>
        <w:rPr>
          <w:rFonts w:ascii="Times New Roman" w:eastAsia="Times New Roman" w:hAnsi="Times New Roman" w:cs="Times New Roman"/>
          <w:sz w:val="20"/>
          <w:szCs w:val="20"/>
        </w:rPr>
      </w:pPr>
      <w:r>
        <w:rPr>
          <w:rFonts w:ascii="Times New Roman" w:eastAsia="Times New Roman" w:hAnsi="Times New Roman" w:cs="Times New Roman"/>
          <w:sz w:val="20"/>
          <w:szCs w:val="20"/>
        </w:rPr>
        <w:t>Safe harbor provision – opponent given 21 days after service to amend (not filed with court, served to party you want sanctioned), if fixed won’t say anything, if not going to file with court</w:t>
      </w:r>
    </w:p>
    <w:p w:rsidR="00E45F3B" w:rsidRDefault="006A3871">
      <w:pPr>
        <w:numPr>
          <w:ilvl w:val="2"/>
          <w:numId w:val="2"/>
        </w:numPr>
        <w:contextualSpacing/>
        <w:rPr>
          <w:rFonts w:ascii="Times New Roman" w:eastAsia="Times New Roman" w:hAnsi="Times New Roman" w:cs="Times New Roman"/>
          <w:sz w:val="20"/>
          <w:szCs w:val="20"/>
        </w:rPr>
      </w:pPr>
      <w:r>
        <w:rPr>
          <w:rFonts w:ascii="Times New Roman" w:eastAsia="Times New Roman" w:hAnsi="Times New Roman" w:cs="Times New Roman"/>
          <w:sz w:val="20"/>
          <w:szCs w:val="20"/>
        </w:rPr>
        <w:t>Purpose of Rule 11: Deterr</w:t>
      </w:r>
      <w:r>
        <w:rPr>
          <w:rFonts w:ascii="Times New Roman" w:eastAsia="Times New Roman" w:hAnsi="Times New Roman" w:cs="Times New Roman"/>
          <w:sz w:val="20"/>
          <w:szCs w:val="20"/>
        </w:rPr>
        <w:t>ence of conduct harmful to the other party, most often used in pleadings but not limited to pleadings</w:t>
      </w:r>
    </w:p>
    <w:p w:rsidR="00E45F3B" w:rsidRDefault="006A3871">
      <w:pPr>
        <w:numPr>
          <w:ilvl w:val="1"/>
          <w:numId w:val="2"/>
        </w:numPr>
        <w:contextualSpacing/>
        <w:rPr>
          <w:rFonts w:ascii="Times New Roman" w:eastAsia="Times New Roman" w:hAnsi="Times New Roman" w:cs="Times New Roman"/>
          <w:sz w:val="20"/>
          <w:szCs w:val="20"/>
        </w:rPr>
      </w:pPr>
      <w:r>
        <w:rPr>
          <w:rFonts w:ascii="Times New Roman" w:eastAsia="Times New Roman" w:hAnsi="Times New Roman" w:cs="Times New Roman"/>
          <w:i/>
          <w:color w:val="FF0000"/>
          <w:sz w:val="20"/>
          <w:szCs w:val="20"/>
        </w:rPr>
        <w:t xml:space="preserve">Christian v. Mattel, Inc. </w:t>
      </w:r>
      <w:r>
        <w:rPr>
          <w:rFonts w:ascii="Times New Roman" w:eastAsia="Times New Roman" w:hAnsi="Times New Roman" w:cs="Times New Roman"/>
          <w:color w:val="FF0000"/>
          <w:sz w:val="20"/>
          <w:szCs w:val="20"/>
        </w:rPr>
        <w:t>(9th Cir., 2003)</w:t>
      </w:r>
    </w:p>
    <w:p w:rsidR="00E45F3B" w:rsidRDefault="006A3871">
      <w:pPr>
        <w:ind w:left="1440"/>
        <w:rPr>
          <w:rFonts w:ascii="Times New Roman" w:eastAsia="Times New Roman" w:hAnsi="Times New Roman" w:cs="Times New Roman"/>
          <w:color w:val="FF0000"/>
          <w:sz w:val="20"/>
          <w:szCs w:val="20"/>
        </w:rPr>
      </w:pPr>
      <w:r>
        <w:rPr>
          <w:rFonts w:ascii="Times New Roman" w:eastAsia="Times New Roman" w:hAnsi="Times New Roman" w:cs="Times New Roman"/>
          <w:b/>
          <w:color w:val="FF0000"/>
          <w:sz w:val="20"/>
          <w:szCs w:val="20"/>
        </w:rPr>
        <w:t>H:</w:t>
      </w:r>
      <w:r>
        <w:rPr>
          <w:rFonts w:ascii="Times New Roman" w:eastAsia="Times New Roman" w:hAnsi="Times New Roman" w:cs="Times New Roman"/>
          <w:color w:val="FF0000"/>
          <w:sz w:val="20"/>
          <w:szCs w:val="20"/>
        </w:rPr>
        <w:t xml:space="preserve"> In suit where USC student claims copyright against Mattel for her Claudene Doll, court denies D’s Rule 11 mo</w:t>
      </w:r>
      <w:r>
        <w:rPr>
          <w:rFonts w:ascii="Times New Roman" w:eastAsia="Times New Roman" w:hAnsi="Times New Roman" w:cs="Times New Roman"/>
          <w:color w:val="FF0000"/>
          <w:sz w:val="20"/>
          <w:szCs w:val="20"/>
        </w:rPr>
        <w:t>tion for sanctions and vacates and remands case – P’s lawyer complained of behavior not within scope of Rule 11, court essentially telling lower court to strip of unrooted factual allegations and look at the rooted legal allegations</w:t>
      </w:r>
    </w:p>
    <w:p w:rsidR="00E45F3B" w:rsidRDefault="006A3871">
      <w:pPr>
        <w:numPr>
          <w:ilvl w:val="1"/>
          <w:numId w:val="2"/>
        </w:numPr>
        <w:contextualSpacing/>
        <w:rPr>
          <w:rFonts w:ascii="Times New Roman" w:eastAsia="Times New Roman" w:hAnsi="Times New Roman" w:cs="Times New Roman"/>
          <w:sz w:val="20"/>
          <w:szCs w:val="20"/>
        </w:rPr>
      </w:pPr>
      <w:r>
        <w:rPr>
          <w:rFonts w:ascii="Times New Roman" w:eastAsia="Times New Roman" w:hAnsi="Times New Roman" w:cs="Times New Roman"/>
          <w:b/>
          <w:sz w:val="20"/>
          <w:szCs w:val="20"/>
        </w:rPr>
        <w:t>FRCP 8: General Rules of Pleading</w:t>
      </w:r>
    </w:p>
    <w:p w:rsidR="00E45F3B" w:rsidRDefault="006A3871">
      <w:pPr>
        <w:numPr>
          <w:ilvl w:val="0"/>
          <w:numId w:val="2"/>
        </w:numPr>
        <w:contextualSpacing/>
        <w:rPr>
          <w:rFonts w:ascii="Times New Roman" w:eastAsia="Times New Roman" w:hAnsi="Times New Roman" w:cs="Times New Roman"/>
          <w:sz w:val="20"/>
          <w:szCs w:val="20"/>
        </w:rPr>
      </w:pPr>
      <w:r>
        <w:rPr>
          <w:rFonts w:ascii="Times New Roman" w:eastAsia="Times New Roman" w:hAnsi="Times New Roman" w:cs="Times New Roman"/>
          <w:sz w:val="20"/>
          <w:szCs w:val="20"/>
        </w:rPr>
        <w:t>Responding to the Complaint (shift from P to D)</w:t>
      </w:r>
    </w:p>
    <w:p w:rsidR="00E45F3B" w:rsidRDefault="006A3871">
      <w:pPr>
        <w:numPr>
          <w:ilvl w:val="1"/>
          <w:numId w:val="2"/>
        </w:numPr>
        <w:contextualSpacing/>
        <w:rPr>
          <w:rFonts w:ascii="Times New Roman" w:eastAsia="Times New Roman" w:hAnsi="Times New Roman" w:cs="Times New Roman"/>
          <w:sz w:val="20"/>
          <w:szCs w:val="20"/>
        </w:rPr>
      </w:pPr>
      <w:r>
        <w:rPr>
          <w:rFonts w:ascii="Times New Roman" w:eastAsia="Times New Roman" w:hAnsi="Times New Roman" w:cs="Times New Roman"/>
          <w:sz w:val="20"/>
          <w:szCs w:val="20"/>
        </w:rPr>
        <w:t xml:space="preserve">Default – entry of default by clerk (establishes liability), default judgment if other side requests (court entering judgment establishing liability </w:t>
      </w:r>
      <w:r>
        <w:rPr>
          <w:rFonts w:ascii="Times New Roman" w:eastAsia="Times New Roman" w:hAnsi="Times New Roman" w:cs="Times New Roman"/>
          <w:i/>
          <w:sz w:val="20"/>
          <w:szCs w:val="20"/>
        </w:rPr>
        <w:t>and</w:t>
      </w:r>
      <w:r>
        <w:rPr>
          <w:rFonts w:ascii="Times New Roman" w:eastAsia="Times New Roman" w:hAnsi="Times New Roman" w:cs="Times New Roman"/>
          <w:sz w:val="20"/>
          <w:szCs w:val="20"/>
        </w:rPr>
        <w:t xml:space="preserve"> damages, completely e</w:t>
      </w:r>
      <w:r>
        <w:rPr>
          <w:rFonts w:ascii="Times New Roman" w:eastAsia="Times New Roman" w:hAnsi="Times New Roman" w:cs="Times New Roman"/>
          <w:sz w:val="20"/>
          <w:szCs w:val="20"/>
        </w:rPr>
        <w:t xml:space="preserve">nding case) – opening back up a default judgment much more difficult than setting aside an entry of default; court does not send notice of default (for attorneys) </w:t>
      </w:r>
    </w:p>
    <w:p w:rsidR="00E45F3B" w:rsidRDefault="006A3871">
      <w:pPr>
        <w:numPr>
          <w:ilvl w:val="1"/>
          <w:numId w:val="2"/>
        </w:numPr>
        <w:contextualSpacing/>
        <w:rPr>
          <w:rFonts w:ascii="Times New Roman" w:eastAsia="Times New Roman" w:hAnsi="Times New Roman" w:cs="Times New Roman"/>
          <w:sz w:val="20"/>
          <w:szCs w:val="20"/>
        </w:rPr>
      </w:pPr>
      <w:r>
        <w:rPr>
          <w:rFonts w:ascii="Times New Roman" w:eastAsia="Times New Roman" w:hAnsi="Times New Roman" w:cs="Times New Roman"/>
          <w:sz w:val="20"/>
          <w:szCs w:val="20"/>
        </w:rPr>
        <w:t>Pre-Answer Motions</w:t>
      </w:r>
    </w:p>
    <w:p w:rsidR="00E45F3B" w:rsidRDefault="006A3871">
      <w:pPr>
        <w:numPr>
          <w:ilvl w:val="2"/>
          <w:numId w:val="2"/>
        </w:numPr>
        <w:contextualSpacing/>
        <w:rPr>
          <w:rFonts w:ascii="Times New Roman" w:eastAsia="Times New Roman" w:hAnsi="Times New Roman" w:cs="Times New Roman"/>
          <w:sz w:val="20"/>
          <w:szCs w:val="20"/>
        </w:rPr>
      </w:pPr>
      <w:r>
        <w:rPr>
          <w:rFonts w:ascii="Times New Roman" w:eastAsia="Times New Roman" w:hAnsi="Times New Roman" w:cs="Times New Roman"/>
          <w:sz w:val="20"/>
          <w:szCs w:val="20"/>
        </w:rPr>
        <w:t>“Not here” (this isn’t the right place for the dispute) – Rule 12(b)(1)-(</w:t>
      </w:r>
      <w:r>
        <w:rPr>
          <w:rFonts w:ascii="Times New Roman" w:eastAsia="Times New Roman" w:hAnsi="Times New Roman" w:cs="Times New Roman"/>
          <w:sz w:val="20"/>
          <w:szCs w:val="20"/>
        </w:rPr>
        <w:t>3): SMJ, PJ, venue</w:t>
      </w:r>
    </w:p>
    <w:p w:rsidR="00E45F3B" w:rsidRDefault="006A3871">
      <w:pPr>
        <w:numPr>
          <w:ilvl w:val="2"/>
          <w:numId w:val="2"/>
        </w:numPr>
        <w:contextualSpacing/>
        <w:rPr>
          <w:rFonts w:ascii="Times New Roman" w:eastAsia="Times New Roman" w:hAnsi="Times New Roman" w:cs="Times New Roman"/>
          <w:sz w:val="20"/>
          <w:szCs w:val="20"/>
        </w:rPr>
      </w:pPr>
      <w:r>
        <w:rPr>
          <w:rFonts w:ascii="Times New Roman" w:eastAsia="Times New Roman" w:hAnsi="Times New Roman" w:cs="Times New Roman"/>
          <w:sz w:val="20"/>
          <w:szCs w:val="20"/>
        </w:rPr>
        <w:t>“So what?” – Rule 12(b)(6): Failure to state a claim</w:t>
      </w:r>
    </w:p>
    <w:p w:rsidR="00E45F3B" w:rsidRDefault="006A3871">
      <w:pPr>
        <w:numPr>
          <w:ilvl w:val="2"/>
          <w:numId w:val="2"/>
        </w:numPr>
        <w:contextualSpacing/>
        <w:rPr>
          <w:rFonts w:ascii="Times New Roman" w:eastAsia="Times New Roman" w:hAnsi="Times New Roman" w:cs="Times New Roman"/>
          <w:sz w:val="20"/>
          <w:szCs w:val="20"/>
        </w:rPr>
      </w:pPr>
      <w:r>
        <w:rPr>
          <w:rFonts w:ascii="Times New Roman" w:eastAsia="Times New Roman" w:hAnsi="Times New Roman" w:cs="Times New Roman"/>
          <w:sz w:val="20"/>
          <w:szCs w:val="20"/>
        </w:rPr>
        <w:t>“What are you saying?” – 12(e): Motion for a more definite statement (rarely granted)</w:t>
      </w:r>
    </w:p>
    <w:p w:rsidR="00E45F3B" w:rsidRDefault="006A3871">
      <w:pPr>
        <w:ind w:left="1440"/>
        <w:rPr>
          <w:rFonts w:ascii="Times New Roman" w:eastAsia="Times New Roman" w:hAnsi="Times New Roman" w:cs="Times New Roman"/>
          <w:sz w:val="20"/>
          <w:szCs w:val="20"/>
        </w:rPr>
      </w:pPr>
      <w:r>
        <w:rPr>
          <w:rFonts w:ascii="Cardo" w:eastAsia="Cardo" w:hAnsi="Cardo" w:cs="Cardo"/>
          <w:sz w:val="20"/>
          <w:szCs w:val="20"/>
        </w:rPr>
        <w:t>→ May use Rule 12 motions to buy more time however, Rule 12 forbids constant motioning</w:t>
      </w:r>
    </w:p>
    <w:p w:rsidR="00E45F3B" w:rsidRDefault="006A3871">
      <w:pPr>
        <w:numPr>
          <w:ilvl w:val="1"/>
          <w:numId w:val="2"/>
        </w:numPr>
        <w:contextualSpacing/>
        <w:rPr>
          <w:rFonts w:ascii="Times New Roman" w:eastAsia="Times New Roman" w:hAnsi="Times New Roman" w:cs="Times New Roman"/>
          <w:sz w:val="20"/>
          <w:szCs w:val="20"/>
        </w:rPr>
      </w:pPr>
      <w:r>
        <w:rPr>
          <w:rFonts w:ascii="Times New Roman" w:eastAsia="Times New Roman" w:hAnsi="Times New Roman" w:cs="Times New Roman"/>
          <w:sz w:val="20"/>
          <w:szCs w:val="20"/>
        </w:rPr>
        <w:t>Answer</w:t>
      </w:r>
    </w:p>
    <w:p w:rsidR="00E45F3B" w:rsidRDefault="006A3871">
      <w:pPr>
        <w:numPr>
          <w:ilvl w:val="2"/>
          <w:numId w:val="2"/>
        </w:numPr>
        <w:contextualSpacing/>
        <w:rPr>
          <w:rFonts w:ascii="Times New Roman" w:eastAsia="Times New Roman" w:hAnsi="Times New Roman" w:cs="Times New Roman"/>
          <w:sz w:val="20"/>
          <w:szCs w:val="20"/>
        </w:rPr>
      </w:pPr>
      <w:r>
        <w:rPr>
          <w:rFonts w:ascii="Times New Roman" w:eastAsia="Times New Roman" w:hAnsi="Times New Roman" w:cs="Times New Roman"/>
          <w:i/>
          <w:color w:val="FF0000"/>
          <w:sz w:val="20"/>
          <w:szCs w:val="20"/>
        </w:rPr>
        <w:t xml:space="preserve">Zielinski v. Philadelphia Piers, Inc. </w:t>
      </w:r>
      <w:r>
        <w:rPr>
          <w:rFonts w:ascii="Times New Roman" w:eastAsia="Times New Roman" w:hAnsi="Times New Roman" w:cs="Times New Roman"/>
          <w:color w:val="FF0000"/>
          <w:sz w:val="20"/>
          <w:szCs w:val="20"/>
        </w:rPr>
        <w:t>(E.D. Pa., 1956)</w:t>
      </w:r>
    </w:p>
    <w:p w:rsidR="00E45F3B" w:rsidRDefault="006A3871">
      <w:pPr>
        <w:ind w:left="2160"/>
        <w:rPr>
          <w:rFonts w:ascii="Times New Roman" w:eastAsia="Times New Roman" w:hAnsi="Times New Roman" w:cs="Times New Roman"/>
          <w:color w:val="FF0000"/>
          <w:sz w:val="20"/>
          <w:szCs w:val="20"/>
        </w:rPr>
      </w:pPr>
      <w:r>
        <w:rPr>
          <w:rFonts w:ascii="Times New Roman" w:eastAsia="Times New Roman" w:hAnsi="Times New Roman" w:cs="Times New Roman"/>
          <w:b/>
          <w:color w:val="FF0000"/>
          <w:sz w:val="20"/>
          <w:szCs w:val="20"/>
        </w:rPr>
        <w:t>H:</w:t>
      </w:r>
      <w:r>
        <w:rPr>
          <w:rFonts w:ascii="Times New Roman" w:eastAsia="Times New Roman" w:hAnsi="Times New Roman" w:cs="Times New Roman"/>
          <w:color w:val="FF0000"/>
          <w:sz w:val="20"/>
          <w:szCs w:val="20"/>
        </w:rPr>
        <w:t xml:space="preserve"> D not operator of forklift (P targeted wrong party), D generally (rather than specifically – should have specifically admitted ownership, denied operation) denies claim, P interprets as denial of ne</w:t>
      </w:r>
      <w:r>
        <w:rPr>
          <w:rFonts w:ascii="Times New Roman" w:eastAsia="Times New Roman" w:hAnsi="Times New Roman" w:cs="Times New Roman"/>
          <w:color w:val="FF0000"/>
          <w:sz w:val="20"/>
          <w:szCs w:val="20"/>
        </w:rPr>
        <w:t xml:space="preserve">gligence not denial of operation, by the time P learns what D meant SOL had run, court orders PPI to admit to ownership </w:t>
      </w:r>
      <w:r>
        <w:rPr>
          <w:rFonts w:ascii="Times New Roman" w:eastAsia="Times New Roman" w:hAnsi="Times New Roman" w:cs="Times New Roman"/>
          <w:i/>
          <w:color w:val="FF0000"/>
          <w:sz w:val="20"/>
          <w:szCs w:val="20"/>
        </w:rPr>
        <w:t>and</w:t>
      </w:r>
      <w:r>
        <w:rPr>
          <w:rFonts w:ascii="Times New Roman" w:eastAsia="Times New Roman" w:hAnsi="Times New Roman" w:cs="Times New Roman"/>
          <w:color w:val="FF0000"/>
          <w:sz w:val="20"/>
          <w:szCs w:val="20"/>
        </w:rPr>
        <w:t xml:space="preserve"> operation of forklift (despite being untrue)</w:t>
      </w:r>
    </w:p>
    <w:p w:rsidR="00E45F3B" w:rsidRDefault="006A3871">
      <w:pPr>
        <w:numPr>
          <w:ilvl w:val="3"/>
          <w:numId w:val="2"/>
        </w:numPr>
        <w:contextualSpacing/>
        <w:rPr>
          <w:rFonts w:ascii="Times New Roman" w:eastAsia="Times New Roman" w:hAnsi="Times New Roman" w:cs="Times New Roman"/>
          <w:color w:val="FF0000"/>
          <w:sz w:val="20"/>
          <w:szCs w:val="20"/>
        </w:rPr>
      </w:pPr>
      <w:r>
        <w:rPr>
          <w:rFonts w:ascii="Times New Roman" w:eastAsia="Times New Roman" w:hAnsi="Times New Roman" w:cs="Times New Roman"/>
          <w:color w:val="FF0000"/>
          <w:sz w:val="20"/>
          <w:szCs w:val="20"/>
        </w:rPr>
        <w:t>Justifications: (1) Place the burden on the party who could have fixed the error, (2) l</w:t>
      </w:r>
      <w:r>
        <w:rPr>
          <w:rFonts w:ascii="Times New Roman" w:eastAsia="Times New Roman" w:hAnsi="Times New Roman" w:cs="Times New Roman"/>
          <w:color w:val="FF0000"/>
          <w:sz w:val="20"/>
          <w:szCs w:val="20"/>
        </w:rPr>
        <w:t>ook to the real party in interest, the insurance company for both CCI and PPI, (3) surprise v. merits – don’t want surprise to be deciding the merits</w:t>
      </w:r>
    </w:p>
    <w:p w:rsidR="00E45F3B" w:rsidRDefault="006A3871">
      <w:pPr>
        <w:numPr>
          <w:ilvl w:val="3"/>
          <w:numId w:val="2"/>
        </w:numPr>
        <w:contextualSpacing/>
        <w:rPr>
          <w:rFonts w:ascii="Times New Roman" w:eastAsia="Times New Roman" w:hAnsi="Times New Roman" w:cs="Times New Roman"/>
          <w:color w:val="FF0000"/>
          <w:sz w:val="20"/>
          <w:szCs w:val="20"/>
        </w:rPr>
      </w:pPr>
      <w:r>
        <w:rPr>
          <w:rFonts w:ascii="Times New Roman" w:eastAsia="Times New Roman" w:hAnsi="Times New Roman" w:cs="Times New Roman"/>
          <w:color w:val="FF0000"/>
          <w:sz w:val="20"/>
          <w:szCs w:val="20"/>
        </w:rPr>
        <w:t>Pleadings supposed to increase accuracy and narrow surprise, truth not tactics supposed to win; here proce</w:t>
      </w:r>
      <w:r>
        <w:rPr>
          <w:rFonts w:ascii="Times New Roman" w:eastAsia="Times New Roman" w:hAnsi="Times New Roman" w:cs="Times New Roman"/>
          <w:color w:val="FF0000"/>
          <w:sz w:val="20"/>
          <w:szCs w:val="20"/>
        </w:rPr>
        <w:t xml:space="preserve">dural fairness should win out to accuracy/truth  </w:t>
      </w:r>
    </w:p>
    <w:p w:rsidR="00E45F3B" w:rsidRDefault="006A3871">
      <w:pPr>
        <w:numPr>
          <w:ilvl w:val="2"/>
          <w:numId w:val="2"/>
        </w:numPr>
        <w:contextualSpacing/>
        <w:rPr>
          <w:rFonts w:ascii="Times New Roman" w:eastAsia="Times New Roman" w:hAnsi="Times New Roman" w:cs="Times New Roman"/>
          <w:sz w:val="20"/>
          <w:szCs w:val="20"/>
        </w:rPr>
      </w:pPr>
      <w:r>
        <w:rPr>
          <w:rFonts w:ascii="Times New Roman" w:eastAsia="Times New Roman" w:hAnsi="Times New Roman" w:cs="Times New Roman"/>
          <w:sz w:val="20"/>
          <w:szCs w:val="20"/>
        </w:rPr>
        <w:t>“It’s not true” – Rule 8(b): Denials</w:t>
      </w:r>
    </w:p>
    <w:p w:rsidR="00E45F3B" w:rsidRDefault="006A3871">
      <w:pPr>
        <w:numPr>
          <w:ilvl w:val="2"/>
          <w:numId w:val="2"/>
        </w:numPr>
        <w:contextualSpacing/>
        <w:rPr>
          <w:rFonts w:ascii="Times New Roman" w:eastAsia="Times New Roman" w:hAnsi="Times New Roman" w:cs="Times New Roman"/>
          <w:sz w:val="20"/>
          <w:szCs w:val="20"/>
        </w:rPr>
      </w:pPr>
      <w:r>
        <w:rPr>
          <w:rFonts w:ascii="Times New Roman" w:eastAsia="Times New Roman" w:hAnsi="Times New Roman" w:cs="Times New Roman"/>
          <w:sz w:val="20"/>
          <w:szCs w:val="20"/>
        </w:rPr>
        <w:t>“Yes, but…” – Rule 8(c)(1): Affirmative defenses</w:t>
      </w:r>
    </w:p>
    <w:p w:rsidR="00E45F3B" w:rsidRDefault="006A3871">
      <w:pPr>
        <w:numPr>
          <w:ilvl w:val="3"/>
          <w:numId w:val="2"/>
        </w:numPr>
        <w:contextualSpacing/>
        <w:rPr>
          <w:rFonts w:ascii="Times New Roman" w:eastAsia="Times New Roman" w:hAnsi="Times New Roman" w:cs="Times New Roman"/>
          <w:sz w:val="20"/>
          <w:szCs w:val="20"/>
        </w:rPr>
      </w:pPr>
      <w:r>
        <w:rPr>
          <w:rFonts w:ascii="Times New Roman" w:eastAsia="Times New Roman" w:hAnsi="Times New Roman" w:cs="Times New Roman"/>
          <w:sz w:val="20"/>
          <w:szCs w:val="20"/>
        </w:rPr>
        <w:t>Hierarchy of defenses</w:t>
      </w:r>
    </w:p>
    <w:p w:rsidR="00E45F3B" w:rsidRDefault="006A3871">
      <w:pPr>
        <w:numPr>
          <w:ilvl w:val="4"/>
          <w:numId w:val="2"/>
        </w:numPr>
        <w:contextualSpacing/>
        <w:rPr>
          <w:rFonts w:ascii="Times New Roman" w:eastAsia="Times New Roman" w:hAnsi="Times New Roman" w:cs="Times New Roman"/>
          <w:sz w:val="20"/>
          <w:szCs w:val="20"/>
        </w:rPr>
      </w:pPr>
      <w:r>
        <w:rPr>
          <w:rFonts w:ascii="Times New Roman" w:eastAsia="Times New Roman" w:hAnsi="Times New Roman" w:cs="Times New Roman"/>
          <w:sz w:val="20"/>
          <w:szCs w:val="20"/>
        </w:rPr>
        <w:t>Most easily waived (pre-answer motions ^)</w:t>
      </w:r>
    </w:p>
    <w:p w:rsidR="00E45F3B" w:rsidRDefault="006A3871">
      <w:pPr>
        <w:numPr>
          <w:ilvl w:val="5"/>
          <w:numId w:val="2"/>
        </w:numPr>
        <w:contextualSpacing/>
        <w:rPr>
          <w:rFonts w:ascii="Times New Roman" w:eastAsia="Times New Roman" w:hAnsi="Times New Roman" w:cs="Times New Roman"/>
          <w:sz w:val="20"/>
          <w:szCs w:val="20"/>
        </w:rPr>
      </w:pPr>
      <w:r>
        <w:rPr>
          <w:rFonts w:ascii="Times New Roman" w:eastAsia="Times New Roman" w:hAnsi="Times New Roman" w:cs="Times New Roman"/>
          <w:sz w:val="20"/>
          <w:szCs w:val="20"/>
        </w:rPr>
        <w:t>12(b)(2)-(5) – If party makes any Rule 12 pre-answer mot</w:t>
      </w:r>
      <w:r>
        <w:rPr>
          <w:rFonts w:ascii="Times New Roman" w:eastAsia="Times New Roman" w:hAnsi="Times New Roman" w:cs="Times New Roman"/>
          <w:sz w:val="20"/>
          <w:szCs w:val="20"/>
        </w:rPr>
        <w:t>ion, include these defenses or waive them via 12(g)(2) and 12(h)(1)</w:t>
      </w:r>
    </w:p>
    <w:p w:rsidR="00E45F3B" w:rsidRDefault="006A3871">
      <w:pPr>
        <w:numPr>
          <w:ilvl w:val="5"/>
          <w:numId w:val="2"/>
        </w:numPr>
        <w:contextualSpacing/>
        <w:rPr>
          <w:rFonts w:ascii="Times New Roman" w:eastAsia="Times New Roman" w:hAnsi="Times New Roman" w:cs="Times New Roman"/>
          <w:sz w:val="20"/>
          <w:szCs w:val="20"/>
        </w:rPr>
      </w:pPr>
      <w:r>
        <w:rPr>
          <w:rFonts w:ascii="Times New Roman" w:eastAsia="Times New Roman" w:hAnsi="Times New Roman" w:cs="Times New Roman"/>
          <w:sz w:val="20"/>
          <w:szCs w:val="20"/>
        </w:rPr>
        <w:t>If no pre-answer motion, include them in the answer or waive them via 12(h)(1)(B)(ii)</w:t>
      </w:r>
    </w:p>
    <w:p w:rsidR="00E45F3B" w:rsidRDefault="006A3871">
      <w:pPr>
        <w:numPr>
          <w:ilvl w:val="4"/>
          <w:numId w:val="2"/>
        </w:numPr>
        <w:contextualSpacing/>
        <w:rPr>
          <w:rFonts w:ascii="Times New Roman" w:eastAsia="Times New Roman" w:hAnsi="Times New Roman" w:cs="Times New Roman"/>
          <w:sz w:val="20"/>
          <w:szCs w:val="20"/>
        </w:rPr>
      </w:pPr>
      <w:r>
        <w:rPr>
          <w:rFonts w:ascii="Times New Roman" w:eastAsia="Times New Roman" w:hAnsi="Times New Roman" w:cs="Times New Roman"/>
          <w:sz w:val="20"/>
          <w:szCs w:val="20"/>
        </w:rPr>
        <w:t>Move before answer (pre-answer motions ^)</w:t>
      </w:r>
    </w:p>
    <w:p w:rsidR="00E45F3B" w:rsidRDefault="006A3871">
      <w:pPr>
        <w:numPr>
          <w:ilvl w:val="5"/>
          <w:numId w:val="2"/>
        </w:numPr>
        <w:contextualSpacing/>
        <w:rPr>
          <w:rFonts w:ascii="Times New Roman" w:eastAsia="Times New Roman" w:hAnsi="Times New Roman" w:cs="Times New Roman"/>
          <w:sz w:val="20"/>
          <w:szCs w:val="20"/>
        </w:rPr>
      </w:pPr>
      <w:r>
        <w:rPr>
          <w:rFonts w:ascii="Times New Roman" w:eastAsia="Times New Roman" w:hAnsi="Times New Roman" w:cs="Times New Roman"/>
          <w:sz w:val="20"/>
          <w:szCs w:val="20"/>
        </w:rPr>
        <w:t>12(e) – motion for more definite statement</w:t>
      </w:r>
    </w:p>
    <w:p w:rsidR="00E45F3B" w:rsidRDefault="006A3871">
      <w:pPr>
        <w:numPr>
          <w:ilvl w:val="5"/>
          <w:numId w:val="2"/>
        </w:numPr>
        <w:contextualSpacing/>
        <w:rPr>
          <w:rFonts w:ascii="Times New Roman" w:eastAsia="Times New Roman" w:hAnsi="Times New Roman" w:cs="Times New Roman"/>
          <w:sz w:val="20"/>
          <w:szCs w:val="20"/>
        </w:rPr>
      </w:pPr>
      <w:r>
        <w:rPr>
          <w:rFonts w:ascii="Times New Roman" w:eastAsia="Times New Roman" w:hAnsi="Times New Roman" w:cs="Times New Roman"/>
          <w:sz w:val="20"/>
          <w:szCs w:val="20"/>
        </w:rPr>
        <w:lastRenderedPageBreak/>
        <w:t>12(f) – motion to</w:t>
      </w:r>
      <w:r>
        <w:rPr>
          <w:rFonts w:ascii="Times New Roman" w:eastAsia="Times New Roman" w:hAnsi="Times New Roman" w:cs="Times New Roman"/>
          <w:sz w:val="20"/>
          <w:szCs w:val="20"/>
        </w:rPr>
        <w:t xml:space="preserve"> strike</w:t>
      </w:r>
    </w:p>
    <w:p w:rsidR="00E45F3B" w:rsidRDefault="006A3871">
      <w:pPr>
        <w:numPr>
          <w:ilvl w:val="4"/>
          <w:numId w:val="2"/>
        </w:numPr>
        <w:contextualSpacing/>
        <w:rPr>
          <w:rFonts w:ascii="Times New Roman" w:eastAsia="Times New Roman" w:hAnsi="Times New Roman" w:cs="Times New Roman"/>
          <w:sz w:val="20"/>
          <w:szCs w:val="20"/>
        </w:rPr>
      </w:pPr>
      <w:r>
        <w:rPr>
          <w:rFonts w:ascii="Times New Roman" w:eastAsia="Times New Roman" w:hAnsi="Times New Roman" w:cs="Times New Roman"/>
          <w:sz w:val="20"/>
          <w:szCs w:val="20"/>
        </w:rPr>
        <w:t>In the answer, by motion under 12(c) for judgment on pleadings, or at trial</w:t>
      </w:r>
    </w:p>
    <w:p w:rsidR="00E45F3B" w:rsidRDefault="006A3871">
      <w:pPr>
        <w:numPr>
          <w:ilvl w:val="5"/>
          <w:numId w:val="2"/>
        </w:numPr>
        <w:contextualSpacing/>
        <w:rPr>
          <w:rFonts w:ascii="Times New Roman" w:eastAsia="Times New Roman" w:hAnsi="Times New Roman" w:cs="Times New Roman"/>
          <w:sz w:val="20"/>
          <w:szCs w:val="20"/>
        </w:rPr>
      </w:pPr>
      <w:r>
        <w:rPr>
          <w:rFonts w:ascii="Times New Roman" w:eastAsia="Times New Roman" w:hAnsi="Times New Roman" w:cs="Times New Roman"/>
          <w:sz w:val="20"/>
          <w:szCs w:val="20"/>
        </w:rPr>
        <w:t xml:space="preserve">Failure to state a claim </w:t>
      </w:r>
    </w:p>
    <w:p w:rsidR="00E45F3B" w:rsidRDefault="006A3871">
      <w:pPr>
        <w:numPr>
          <w:ilvl w:val="5"/>
          <w:numId w:val="2"/>
        </w:numPr>
        <w:contextualSpacing/>
        <w:rPr>
          <w:rFonts w:ascii="Times New Roman" w:eastAsia="Times New Roman" w:hAnsi="Times New Roman" w:cs="Times New Roman"/>
          <w:sz w:val="20"/>
          <w:szCs w:val="20"/>
        </w:rPr>
      </w:pPr>
      <w:r>
        <w:rPr>
          <w:rFonts w:ascii="Times New Roman" w:eastAsia="Times New Roman" w:hAnsi="Times New Roman" w:cs="Times New Roman"/>
          <w:sz w:val="20"/>
          <w:szCs w:val="20"/>
        </w:rPr>
        <w:t>12(b)(7) indispensable party</w:t>
      </w:r>
    </w:p>
    <w:p w:rsidR="00E45F3B" w:rsidRDefault="006A3871">
      <w:pPr>
        <w:numPr>
          <w:ilvl w:val="5"/>
          <w:numId w:val="2"/>
        </w:numPr>
        <w:contextualSpacing/>
        <w:rPr>
          <w:rFonts w:ascii="Times New Roman" w:eastAsia="Times New Roman" w:hAnsi="Times New Roman" w:cs="Times New Roman"/>
          <w:sz w:val="20"/>
          <w:szCs w:val="20"/>
        </w:rPr>
      </w:pPr>
      <w:r>
        <w:rPr>
          <w:rFonts w:ascii="Times New Roman" w:eastAsia="Times New Roman" w:hAnsi="Times New Roman" w:cs="Times New Roman"/>
          <w:sz w:val="20"/>
          <w:szCs w:val="20"/>
        </w:rPr>
        <w:t>Failure to state a defense via 12(h)(2)</w:t>
      </w:r>
    </w:p>
    <w:p w:rsidR="00E45F3B" w:rsidRDefault="006A3871">
      <w:pPr>
        <w:numPr>
          <w:ilvl w:val="2"/>
          <w:numId w:val="2"/>
        </w:numPr>
        <w:contextualSpacing/>
        <w:rPr>
          <w:rFonts w:ascii="Times New Roman" w:eastAsia="Times New Roman" w:hAnsi="Times New Roman" w:cs="Times New Roman"/>
          <w:sz w:val="20"/>
          <w:szCs w:val="20"/>
        </w:rPr>
      </w:pPr>
      <w:r>
        <w:rPr>
          <w:rFonts w:ascii="Times New Roman" w:eastAsia="Times New Roman" w:hAnsi="Times New Roman" w:cs="Times New Roman"/>
          <w:sz w:val="20"/>
          <w:szCs w:val="20"/>
        </w:rPr>
        <w:t>If anyone did anything wrong, it was X” – Rule 7: Third party claim (new complaint) or cross-claim (answer) against a party on same side of the “v”</w:t>
      </w:r>
    </w:p>
    <w:p w:rsidR="00E45F3B" w:rsidRDefault="006A3871">
      <w:pPr>
        <w:numPr>
          <w:ilvl w:val="2"/>
          <w:numId w:val="2"/>
        </w:numPr>
        <w:contextualSpacing/>
        <w:rPr>
          <w:rFonts w:ascii="Times New Roman" w:eastAsia="Times New Roman" w:hAnsi="Times New Roman" w:cs="Times New Roman"/>
          <w:sz w:val="20"/>
          <w:szCs w:val="20"/>
        </w:rPr>
      </w:pPr>
      <w:r>
        <w:rPr>
          <w:rFonts w:ascii="Times New Roman" w:eastAsia="Times New Roman" w:hAnsi="Times New Roman" w:cs="Times New Roman"/>
          <w:sz w:val="20"/>
          <w:szCs w:val="20"/>
        </w:rPr>
        <w:t>“Now that you mention it, I have a gripe of my own” – Rule 13: Counterclaim</w:t>
      </w:r>
    </w:p>
    <w:p w:rsidR="00E45F3B" w:rsidRDefault="006A3871">
      <w:pPr>
        <w:numPr>
          <w:ilvl w:val="2"/>
          <w:numId w:val="2"/>
        </w:numPr>
        <w:contextualSpacing/>
        <w:rPr>
          <w:rFonts w:ascii="Times New Roman" w:eastAsia="Times New Roman" w:hAnsi="Times New Roman" w:cs="Times New Roman"/>
          <w:sz w:val="20"/>
          <w:szCs w:val="20"/>
        </w:rPr>
      </w:pPr>
      <w:r>
        <w:rPr>
          <w:rFonts w:ascii="Cardo" w:eastAsia="Cardo" w:hAnsi="Cardo" w:cs="Cardo"/>
          <w:sz w:val="20"/>
          <w:szCs w:val="20"/>
        </w:rPr>
        <w:t>With Rules 12(g)(2) and 12(h)(1)</w:t>
      </w:r>
      <w:r>
        <w:rPr>
          <w:rFonts w:ascii="Cardo" w:eastAsia="Cardo" w:hAnsi="Cardo" w:cs="Cardo"/>
          <w:sz w:val="20"/>
          <w:szCs w:val="20"/>
        </w:rPr>
        <w:t xml:space="preserve"> certain inactions/actions may waive defenses – “use it or lose it” (i.e. PJ) → efficiency in determining cases, to prevent PF claims from being brought later in proceedings</w:t>
      </w:r>
    </w:p>
    <w:p w:rsidR="00E45F3B" w:rsidRDefault="006A3871">
      <w:pPr>
        <w:numPr>
          <w:ilvl w:val="3"/>
          <w:numId w:val="2"/>
        </w:numPr>
        <w:contextualSpacing/>
        <w:rPr>
          <w:rFonts w:ascii="Times New Roman" w:eastAsia="Times New Roman" w:hAnsi="Times New Roman" w:cs="Times New Roman"/>
          <w:sz w:val="20"/>
          <w:szCs w:val="20"/>
        </w:rPr>
      </w:pPr>
      <w:r>
        <w:rPr>
          <w:rFonts w:ascii="Times New Roman" w:eastAsia="Times New Roman" w:hAnsi="Times New Roman" w:cs="Times New Roman"/>
          <w:sz w:val="20"/>
          <w:szCs w:val="20"/>
        </w:rPr>
        <w:t>Rule 12(g)(2) – limitations on further motions – a party that makes a motion under</w:t>
      </w:r>
      <w:r>
        <w:rPr>
          <w:rFonts w:ascii="Times New Roman" w:eastAsia="Times New Roman" w:hAnsi="Times New Roman" w:cs="Times New Roman"/>
          <w:sz w:val="20"/>
          <w:szCs w:val="20"/>
        </w:rPr>
        <w:t xml:space="preserve"> this rule must not make another motion under this rule raising a defense or other objection that was available to the party but omitted from its earlier motion BUT may include in answer per Rule 12(h)(3)</w:t>
      </w:r>
    </w:p>
    <w:p w:rsidR="00E45F3B" w:rsidRDefault="006A3871">
      <w:pPr>
        <w:numPr>
          <w:ilvl w:val="2"/>
          <w:numId w:val="2"/>
        </w:numPr>
        <w:contextualSpacing/>
        <w:rPr>
          <w:rFonts w:ascii="Times New Roman" w:eastAsia="Times New Roman" w:hAnsi="Times New Roman" w:cs="Times New Roman"/>
          <w:sz w:val="20"/>
          <w:szCs w:val="20"/>
        </w:rPr>
      </w:pPr>
      <w:r>
        <w:rPr>
          <w:rFonts w:ascii="Times New Roman" w:eastAsia="Times New Roman" w:hAnsi="Times New Roman" w:cs="Times New Roman"/>
          <w:sz w:val="20"/>
          <w:szCs w:val="20"/>
        </w:rPr>
        <w:t>Rule 12(h)(3) SMJ always available – for Federalism</w:t>
      </w:r>
      <w:r>
        <w:rPr>
          <w:rFonts w:ascii="Times New Roman" w:eastAsia="Times New Roman" w:hAnsi="Times New Roman" w:cs="Times New Roman"/>
          <w:sz w:val="20"/>
          <w:szCs w:val="20"/>
        </w:rPr>
        <w:t xml:space="preserve"> reasons, limited constitutional grant to the federal courts</w:t>
      </w:r>
    </w:p>
    <w:p w:rsidR="00E45F3B" w:rsidRDefault="006A3871">
      <w:pPr>
        <w:numPr>
          <w:ilvl w:val="2"/>
          <w:numId w:val="2"/>
        </w:numPr>
        <w:contextualSpacing/>
        <w:rPr>
          <w:rFonts w:ascii="Times New Roman" w:eastAsia="Times New Roman" w:hAnsi="Times New Roman" w:cs="Times New Roman"/>
          <w:sz w:val="20"/>
          <w:szCs w:val="20"/>
        </w:rPr>
      </w:pPr>
      <w:r>
        <w:rPr>
          <w:rFonts w:ascii="Times New Roman" w:eastAsia="Times New Roman" w:hAnsi="Times New Roman" w:cs="Times New Roman"/>
          <w:sz w:val="20"/>
          <w:szCs w:val="20"/>
        </w:rPr>
        <w:t>Rule 8(b) denials: (1) Specific, (2) general, (3) insufficient information (lack of info a denial, distinguished from Rule 11 failure to investigate); failure to deny = deemed to be true</w:t>
      </w:r>
    </w:p>
    <w:p w:rsidR="00E45F3B" w:rsidRDefault="006A3871">
      <w:pPr>
        <w:numPr>
          <w:ilvl w:val="2"/>
          <w:numId w:val="2"/>
        </w:numPr>
        <w:contextualSpacing/>
        <w:rPr>
          <w:rFonts w:ascii="Times New Roman" w:eastAsia="Times New Roman" w:hAnsi="Times New Roman" w:cs="Times New Roman"/>
          <w:sz w:val="20"/>
          <w:szCs w:val="20"/>
        </w:rPr>
      </w:pPr>
      <w:r>
        <w:rPr>
          <w:rFonts w:ascii="Times New Roman" w:eastAsia="Times New Roman" w:hAnsi="Times New Roman" w:cs="Times New Roman"/>
          <w:sz w:val="20"/>
          <w:szCs w:val="20"/>
        </w:rPr>
        <w:t>Rule 7(a)(3) – when D has to reply to P’s claims depends, court can order a reply</w:t>
      </w:r>
    </w:p>
    <w:p w:rsidR="00E45F3B" w:rsidRDefault="006A3871">
      <w:pPr>
        <w:numPr>
          <w:ilvl w:val="1"/>
          <w:numId w:val="2"/>
        </w:numPr>
        <w:contextualSpacing/>
        <w:rPr>
          <w:rFonts w:ascii="Times New Roman" w:eastAsia="Times New Roman" w:hAnsi="Times New Roman" w:cs="Times New Roman"/>
          <w:sz w:val="20"/>
          <w:szCs w:val="20"/>
        </w:rPr>
      </w:pPr>
      <w:r>
        <w:rPr>
          <w:rFonts w:ascii="Times New Roman" w:eastAsia="Times New Roman" w:hAnsi="Times New Roman" w:cs="Times New Roman"/>
          <w:b/>
          <w:sz w:val="20"/>
          <w:szCs w:val="20"/>
        </w:rPr>
        <w:t>FRCP 7: Pleadings Allowed; Forms of Motions and Other Papers</w:t>
      </w:r>
    </w:p>
    <w:p w:rsidR="00E45F3B" w:rsidRDefault="006A3871">
      <w:pPr>
        <w:numPr>
          <w:ilvl w:val="1"/>
          <w:numId w:val="2"/>
        </w:numPr>
        <w:contextualSpacing/>
        <w:rPr>
          <w:rFonts w:ascii="Times New Roman" w:eastAsia="Times New Roman" w:hAnsi="Times New Roman" w:cs="Times New Roman"/>
          <w:sz w:val="20"/>
          <w:szCs w:val="20"/>
        </w:rPr>
      </w:pPr>
      <w:r>
        <w:rPr>
          <w:rFonts w:ascii="Times New Roman" w:eastAsia="Times New Roman" w:hAnsi="Times New Roman" w:cs="Times New Roman"/>
          <w:b/>
          <w:sz w:val="20"/>
          <w:szCs w:val="20"/>
        </w:rPr>
        <w:t>FRCP 8: General Rules of Pleading</w:t>
      </w:r>
    </w:p>
    <w:p w:rsidR="00E45F3B" w:rsidRDefault="006A3871">
      <w:pPr>
        <w:numPr>
          <w:ilvl w:val="1"/>
          <w:numId w:val="2"/>
        </w:numPr>
        <w:contextualSpacing/>
        <w:rPr>
          <w:rFonts w:ascii="Times New Roman" w:eastAsia="Times New Roman" w:hAnsi="Times New Roman" w:cs="Times New Roman"/>
          <w:sz w:val="20"/>
          <w:szCs w:val="20"/>
        </w:rPr>
      </w:pPr>
      <w:r>
        <w:rPr>
          <w:rFonts w:ascii="Times New Roman" w:eastAsia="Times New Roman" w:hAnsi="Times New Roman" w:cs="Times New Roman"/>
          <w:b/>
          <w:sz w:val="20"/>
          <w:szCs w:val="20"/>
        </w:rPr>
        <w:t>FRCP 12: Defenses and Objections: When and How Presented; Motion for Judgment o</w:t>
      </w:r>
      <w:r>
        <w:rPr>
          <w:rFonts w:ascii="Times New Roman" w:eastAsia="Times New Roman" w:hAnsi="Times New Roman" w:cs="Times New Roman"/>
          <w:b/>
          <w:sz w:val="20"/>
          <w:szCs w:val="20"/>
        </w:rPr>
        <w:t>n the Pleadings; Consolidating Motions; Waiving Defenses; Pretrial Hearing</w:t>
      </w:r>
    </w:p>
    <w:p w:rsidR="00E45F3B" w:rsidRDefault="006A3871">
      <w:pPr>
        <w:numPr>
          <w:ilvl w:val="2"/>
          <w:numId w:val="2"/>
        </w:numPr>
        <w:contextualSpacing/>
        <w:rPr>
          <w:rFonts w:ascii="Times New Roman" w:eastAsia="Times New Roman" w:hAnsi="Times New Roman" w:cs="Times New Roman"/>
          <w:sz w:val="20"/>
          <w:szCs w:val="20"/>
        </w:rPr>
      </w:pPr>
      <w:r>
        <w:rPr>
          <w:rFonts w:ascii="Times New Roman" w:eastAsia="Times New Roman" w:hAnsi="Times New Roman" w:cs="Times New Roman"/>
          <w:sz w:val="20"/>
          <w:szCs w:val="20"/>
        </w:rPr>
        <w:t>See Rule 12 Inquiry</w:t>
      </w:r>
    </w:p>
    <w:p w:rsidR="00E45F3B" w:rsidRDefault="006A3871">
      <w:pPr>
        <w:numPr>
          <w:ilvl w:val="1"/>
          <w:numId w:val="2"/>
        </w:numPr>
        <w:contextualSpacing/>
        <w:rPr>
          <w:rFonts w:ascii="Times New Roman" w:eastAsia="Times New Roman" w:hAnsi="Times New Roman" w:cs="Times New Roman"/>
          <w:sz w:val="20"/>
          <w:szCs w:val="20"/>
        </w:rPr>
      </w:pPr>
      <w:r>
        <w:rPr>
          <w:rFonts w:ascii="Times New Roman" w:eastAsia="Times New Roman" w:hAnsi="Times New Roman" w:cs="Times New Roman"/>
          <w:b/>
          <w:sz w:val="20"/>
          <w:szCs w:val="20"/>
        </w:rPr>
        <w:t>FRCP 55: Default; Default Judgment</w:t>
      </w:r>
    </w:p>
    <w:p w:rsidR="00E45F3B" w:rsidRDefault="006A3871">
      <w:pPr>
        <w:numPr>
          <w:ilvl w:val="1"/>
          <w:numId w:val="2"/>
        </w:numPr>
        <w:contextualSpacing/>
        <w:rPr>
          <w:rFonts w:ascii="Times New Roman" w:eastAsia="Times New Roman" w:hAnsi="Times New Roman" w:cs="Times New Roman"/>
          <w:sz w:val="20"/>
          <w:szCs w:val="20"/>
        </w:rPr>
      </w:pPr>
      <w:r>
        <w:rPr>
          <w:rFonts w:ascii="Times New Roman" w:eastAsia="Times New Roman" w:hAnsi="Times New Roman" w:cs="Times New Roman"/>
          <w:b/>
          <w:sz w:val="20"/>
          <w:szCs w:val="20"/>
        </w:rPr>
        <w:t>FRCP 4: Summons</w:t>
      </w:r>
    </w:p>
    <w:p w:rsidR="00E45F3B" w:rsidRDefault="006A3871">
      <w:pPr>
        <w:numPr>
          <w:ilvl w:val="1"/>
          <w:numId w:val="2"/>
        </w:numPr>
        <w:contextualSpacing/>
        <w:rPr>
          <w:rFonts w:ascii="Times New Roman" w:eastAsia="Times New Roman" w:hAnsi="Times New Roman" w:cs="Times New Roman"/>
          <w:sz w:val="20"/>
          <w:szCs w:val="20"/>
        </w:rPr>
      </w:pPr>
      <w:r>
        <w:rPr>
          <w:rFonts w:ascii="Times New Roman" w:eastAsia="Times New Roman" w:hAnsi="Times New Roman" w:cs="Times New Roman"/>
          <w:sz w:val="20"/>
          <w:szCs w:val="20"/>
        </w:rPr>
        <w:t>Rule 8(c) Affirmative Defenses – a defense that allows escape from liability even if P can prove their claims,</w:t>
      </w:r>
      <w:r>
        <w:rPr>
          <w:rFonts w:ascii="Times New Roman" w:eastAsia="Times New Roman" w:hAnsi="Times New Roman" w:cs="Times New Roman"/>
          <w:sz w:val="20"/>
          <w:szCs w:val="20"/>
        </w:rPr>
        <w:t xml:space="preserve"> do not have to admit (i.e. can deny in answer as well as assert an affirmative defense), D has burden of proof in pleading and trial, not all defenses included listed in Rule 8(c)</w:t>
      </w:r>
    </w:p>
    <w:p w:rsidR="00E45F3B" w:rsidRDefault="006A3871">
      <w:pPr>
        <w:numPr>
          <w:ilvl w:val="0"/>
          <w:numId w:val="2"/>
        </w:numPr>
        <w:contextualSpacing/>
        <w:rPr>
          <w:rFonts w:ascii="Times New Roman" w:eastAsia="Times New Roman" w:hAnsi="Times New Roman" w:cs="Times New Roman"/>
          <w:sz w:val="20"/>
          <w:szCs w:val="20"/>
        </w:rPr>
      </w:pPr>
      <w:r>
        <w:rPr>
          <w:rFonts w:ascii="Times New Roman" w:eastAsia="Times New Roman" w:hAnsi="Times New Roman" w:cs="Times New Roman"/>
          <w:sz w:val="20"/>
          <w:szCs w:val="20"/>
        </w:rPr>
        <w:t>Amendment to Pleadings</w:t>
      </w:r>
    </w:p>
    <w:p w:rsidR="00E45F3B" w:rsidRDefault="006A3871">
      <w:pPr>
        <w:numPr>
          <w:ilvl w:val="1"/>
          <w:numId w:val="2"/>
        </w:numPr>
        <w:contextualSpacing/>
        <w:rPr>
          <w:rFonts w:ascii="Times New Roman" w:eastAsia="Times New Roman" w:hAnsi="Times New Roman" w:cs="Times New Roman"/>
          <w:sz w:val="20"/>
          <w:szCs w:val="20"/>
        </w:rPr>
      </w:pPr>
      <w:r>
        <w:rPr>
          <w:rFonts w:ascii="Times New Roman" w:eastAsia="Times New Roman" w:hAnsi="Times New Roman" w:cs="Times New Roman"/>
          <w:sz w:val="20"/>
          <w:szCs w:val="20"/>
        </w:rPr>
        <w:t xml:space="preserve">Tension between liberal/easy amendment as pleadings </w:t>
      </w:r>
      <w:r>
        <w:rPr>
          <w:rFonts w:ascii="Times New Roman" w:eastAsia="Times New Roman" w:hAnsi="Times New Roman" w:cs="Times New Roman"/>
          <w:sz w:val="20"/>
          <w:szCs w:val="20"/>
        </w:rPr>
        <w:t>change and as case develops and the notion of prejudice – at some point other side will need to make decision about how to present their case (but difficult if story continually shifts)</w:t>
      </w:r>
    </w:p>
    <w:p w:rsidR="00E45F3B" w:rsidRDefault="006A3871">
      <w:pPr>
        <w:numPr>
          <w:ilvl w:val="1"/>
          <w:numId w:val="2"/>
        </w:numPr>
        <w:contextualSpacing/>
        <w:rPr>
          <w:rFonts w:ascii="Times New Roman" w:eastAsia="Times New Roman" w:hAnsi="Times New Roman" w:cs="Times New Roman"/>
          <w:sz w:val="20"/>
          <w:szCs w:val="20"/>
        </w:rPr>
      </w:pPr>
      <w:r>
        <w:rPr>
          <w:rFonts w:ascii="Times New Roman" w:eastAsia="Times New Roman" w:hAnsi="Times New Roman" w:cs="Times New Roman"/>
          <w:i/>
          <w:color w:val="FF0000"/>
          <w:sz w:val="20"/>
          <w:szCs w:val="20"/>
        </w:rPr>
        <w:t xml:space="preserve">Beeck v. Aquaslide ‘N’ Dive Corp. </w:t>
      </w:r>
      <w:r>
        <w:rPr>
          <w:rFonts w:ascii="Times New Roman" w:eastAsia="Times New Roman" w:hAnsi="Times New Roman" w:cs="Times New Roman"/>
          <w:color w:val="FF0000"/>
          <w:sz w:val="20"/>
          <w:szCs w:val="20"/>
        </w:rPr>
        <w:t>(8th Cir., 1977)</w:t>
      </w:r>
    </w:p>
    <w:p w:rsidR="00E45F3B" w:rsidRDefault="006A3871">
      <w:pPr>
        <w:ind w:left="1440"/>
        <w:rPr>
          <w:rFonts w:ascii="Times New Roman" w:eastAsia="Times New Roman" w:hAnsi="Times New Roman" w:cs="Times New Roman"/>
          <w:b/>
          <w:color w:val="FF0000"/>
          <w:sz w:val="20"/>
          <w:szCs w:val="20"/>
        </w:rPr>
      </w:pPr>
      <w:r>
        <w:rPr>
          <w:rFonts w:ascii="Times New Roman" w:eastAsia="Times New Roman" w:hAnsi="Times New Roman" w:cs="Times New Roman"/>
          <w:b/>
          <w:color w:val="FF0000"/>
          <w:sz w:val="20"/>
          <w:szCs w:val="20"/>
        </w:rPr>
        <w:t>H:</w:t>
      </w:r>
      <w:r>
        <w:rPr>
          <w:rFonts w:ascii="Times New Roman" w:eastAsia="Times New Roman" w:hAnsi="Times New Roman" w:cs="Times New Roman"/>
          <w:color w:val="FF0000"/>
          <w:sz w:val="20"/>
          <w:szCs w:val="20"/>
        </w:rPr>
        <w:t xml:space="preserve"> In answer Aquasl</w:t>
      </w:r>
      <w:r>
        <w:rPr>
          <w:rFonts w:ascii="Times New Roman" w:eastAsia="Times New Roman" w:hAnsi="Times New Roman" w:cs="Times New Roman"/>
          <w:color w:val="FF0000"/>
          <w:sz w:val="20"/>
          <w:szCs w:val="20"/>
        </w:rPr>
        <w:t xml:space="preserve">ide admits liability then discovers slide counterfeited and requests leaves to amend its answer but SOL has run for filing against a new D, weighing/balancing prejudice against the parties, court grants leave to amend in new suit despite SOL </w:t>
      </w:r>
    </w:p>
    <w:p w:rsidR="00E45F3B" w:rsidRDefault="006A3871">
      <w:pPr>
        <w:numPr>
          <w:ilvl w:val="0"/>
          <w:numId w:val="2"/>
        </w:numPr>
        <w:contextualSpacing/>
        <w:rPr>
          <w:rFonts w:ascii="Times New Roman" w:eastAsia="Times New Roman" w:hAnsi="Times New Roman" w:cs="Times New Roman"/>
          <w:sz w:val="20"/>
          <w:szCs w:val="20"/>
        </w:rPr>
      </w:pPr>
      <w:r>
        <w:rPr>
          <w:rFonts w:ascii="Times New Roman" w:eastAsia="Times New Roman" w:hAnsi="Times New Roman" w:cs="Times New Roman"/>
          <w:b/>
          <w:sz w:val="20"/>
          <w:szCs w:val="20"/>
        </w:rPr>
        <w:t>FRCP 15: Amen</w:t>
      </w:r>
      <w:r>
        <w:rPr>
          <w:rFonts w:ascii="Times New Roman" w:eastAsia="Times New Roman" w:hAnsi="Times New Roman" w:cs="Times New Roman"/>
          <w:b/>
          <w:sz w:val="20"/>
          <w:szCs w:val="20"/>
        </w:rPr>
        <w:t>ded and Supplemental Pleadings</w:t>
      </w:r>
      <w:r>
        <w:rPr>
          <w:rFonts w:ascii="Times New Roman" w:eastAsia="Times New Roman" w:hAnsi="Times New Roman" w:cs="Times New Roman"/>
          <w:sz w:val="20"/>
          <w:szCs w:val="20"/>
        </w:rPr>
        <w:t xml:space="preserve"> – if pleading for which response is required, longer time limit; if pleading for which no response is required, shorter time limit</w:t>
      </w:r>
    </w:p>
    <w:p w:rsidR="00E45F3B" w:rsidRDefault="006A3871">
      <w:pPr>
        <w:numPr>
          <w:ilvl w:val="1"/>
          <w:numId w:val="2"/>
        </w:numPr>
        <w:contextualSpacing/>
        <w:rPr>
          <w:rFonts w:ascii="Times New Roman" w:eastAsia="Times New Roman" w:hAnsi="Times New Roman" w:cs="Times New Roman"/>
          <w:sz w:val="20"/>
          <w:szCs w:val="20"/>
        </w:rPr>
      </w:pPr>
      <w:r>
        <w:rPr>
          <w:rFonts w:ascii="Times New Roman" w:eastAsia="Times New Roman" w:hAnsi="Times New Roman" w:cs="Times New Roman"/>
          <w:sz w:val="20"/>
          <w:szCs w:val="20"/>
        </w:rPr>
        <w:t>Rule 15(a)(1) – within first 21 days, may amend “as a matter of course,” meaning no consent/le</w:t>
      </w:r>
      <w:r>
        <w:rPr>
          <w:rFonts w:ascii="Times New Roman" w:eastAsia="Times New Roman" w:hAnsi="Times New Roman" w:cs="Times New Roman"/>
          <w:sz w:val="20"/>
          <w:szCs w:val="20"/>
        </w:rPr>
        <w:t xml:space="preserve">ave required from court or other party </w:t>
      </w:r>
    </w:p>
    <w:p w:rsidR="00E45F3B" w:rsidRDefault="006A3871">
      <w:pPr>
        <w:numPr>
          <w:ilvl w:val="1"/>
          <w:numId w:val="2"/>
        </w:numPr>
        <w:contextualSpacing/>
        <w:rPr>
          <w:rFonts w:ascii="Times New Roman" w:eastAsia="Times New Roman" w:hAnsi="Times New Roman" w:cs="Times New Roman"/>
          <w:sz w:val="20"/>
          <w:szCs w:val="20"/>
        </w:rPr>
      </w:pPr>
      <w:r>
        <w:rPr>
          <w:rFonts w:ascii="Times New Roman" w:eastAsia="Times New Roman" w:hAnsi="Times New Roman" w:cs="Times New Roman"/>
          <w:sz w:val="20"/>
          <w:szCs w:val="20"/>
        </w:rPr>
        <w:t xml:space="preserve">Rule 15(a)(2) – after 21 days need consent/leave of court to amend </w:t>
      </w:r>
    </w:p>
    <w:p w:rsidR="00E45F3B" w:rsidRDefault="006A3871">
      <w:pPr>
        <w:numPr>
          <w:ilvl w:val="1"/>
          <w:numId w:val="2"/>
        </w:numPr>
        <w:contextualSpacing/>
        <w:rPr>
          <w:rFonts w:ascii="Times New Roman" w:eastAsia="Times New Roman" w:hAnsi="Times New Roman" w:cs="Times New Roman"/>
          <w:sz w:val="20"/>
          <w:szCs w:val="20"/>
        </w:rPr>
      </w:pPr>
      <w:r>
        <w:rPr>
          <w:rFonts w:ascii="Times New Roman" w:eastAsia="Times New Roman" w:hAnsi="Times New Roman" w:cs="Times New Roman"/>
          <w:sz w:val="20"/>
          <w:szCs w:val="20"/>
        </w:rPr>
        <w:t>Rule 15(c): The relation back/time machine provision – when necessary to foster justice, will consider amendment to have taken place on the original date that the pleading was filed and therefore SOL will not apply (necessary when may amend as matter of co</w:t>
      </w:r>
      <w:r>
        <w:rPr>
          <w:rFonts w:ascii="Times New Roman" w:eastAsia="Times New Roman" w:hAnsi="Times New Roman" w:cs="Times New Roman"/>
          <w:sz w:val="20"/>
          <w:szCs w:val="20"/>
        </w:rPr>
        <w:t>urse/with leave of court but SOL has run), three ways</w:t>
      </w:r>
    </w:p>
    <w:p w:rsidR="00E45F3B" w:rsidRDefault="006A3871">
      <w:pPr>
        <w:numPr>
          <w:ilvl w:val="2"/>
          <w:numId w:val="2"/>
        </w:numPr>
        <w:contextualSpacing/>
        <w:rPr>
          <w:rFonts w:ascii="Times New Roman" w:eastAsia="Times New Roman" w:hAnsi="Times New Roman" w:cs="Times New Roman"/>
          <w:sz w:val="20"/>
          <w:szCs w:val="20"/>
        </w:rPr>
      </w:pPr>
      <w:r>
        <w:rPr>
          <w:rFonts w:ascii="Times New Roman" w:eastAsia="Times New Roman" w:hAnsi="Times New Roman" w:cs="Times New Roman"/>
          <w:sz w:val="20"/>
          <w:szCs w:val="20"/>
        </w:rPr>
        <w:t>Rule 15(c)(1)(A) – state’s SOL says okay to amend/go back</w:t>
      </w:r>
    </w:p>
    <w:p w:rsidR="00E45F3B" w:rsidRDefault="006A3871">
      <w:pPr>
        <w:numPr>
          <w:ilvl w:val="2"/>
          <w:numId w:val="2"/>
        </w:numPr>
        <w:contextualSpacing/>
        <w:rPr>
          <w:rFonts w:ascii="Times New Roman" w:eastAsia="Times New Roman" w:hAnsi="Times New Roman" w:cs="Times New Roman"/>
          <w:sz w:val="20"/>
          <w:szCs w:val="20"/>
        </w:rPr>
      </w:pPr>
      <w:r>
        <w:rPr>
          <w:rFonts w:ascii="Times New Roman" w:eastAsia="Times New Roman" w:hAnsi="Times New Roman" w:cs="Times New Roman"/>
          <w:sz w:val="20"/>
          <w:szCs w:val="20"/>
        </w:rPr>
        <w:t>Notice to D of claim and arise out of same facts</w:t>
      </w:r>
    </w:p>
    <w:p w:rsidR="00E45F3B" w:rsidRDefault="006A3871">
      <w:pPr>
        <w:numPr>
          <w:ilvl w:val="2"/>
          <w:numId w:val="2"/>
        </w:numPr>
        <w:contextualSpacing/>
        <w:rPr>
          <w:rFonts w:ascii="Times New Roman" w:eastAsia="Times New Roman" w:hAnsi="Times New Roman" w:cs="Times New Roman"/>
          <w:sz w:val="20"/>
          <w:szCs w:val="20"/>
        </w:rPr>
      </w:pPr>
      <w:r>
        <w:rPr>
          <w:rFonts w:ascii="Times New Roman" w:eastAsia="Times New Roman" w:hAnsi="Times New Roman" w:cs="Times New Roman"/>
          <w:sz w:val="20"/>
          <w:szCs w:val="20"/>
        </w:rPr>
        <w:t>Rule 15(c)(1)(C) – mistake of identity of the proper party</w:t>
      </w:r>
    </w:p>
    <w:p w:rsidR="00E45F3B" w:rsidRDefault="006A3871">
      <w:pPr>
        <w:numPr>
          <w:ilvl w:val="0"/>
          <w:numId w:val="2"/>
        </w:numPr>
        <w:contextualSpacing/>
        <w:rPr>
          <w:rFonts w:ascii="Times New Roman" w:eastAsia="Times New Roman" w:hAnsi="Times New Roman" w:cs="Times New Roman"/>
          <w:sz w:val="20"/>
          <w:szCs w:val="20"/>
        </w:rPr>
      </w:pPr>
      <w:r>
        <w:rPr>
          <w:rFonts w:ascii="Times New Roman" w:eastAsia="Times New Roman" w:hAnsi="Times New Roman" w:cs="Times New Roman"/>
          <w:b/>
          <w:sz w:val="20"/>
          <w:szCs w:val="20"/>
        </w:rPr>
        <w:t>FRCP 7(a): Pleadings</w:t>
      </w:r>
    </w:p>
    <w:p w:rsidR="00E45F3B" w:rsidRDefault="006A3871">
      <w:pPr>
        <w:numPr>
          <w:ilvl w:val="0"/>
          <w:numId w:val="2"/>
        </w:numPr>
        <w:contextualSpacing/>
        <w:rPr>
          <w:rFonts w:ascii="Times New Roman" w:eastAsia="Times New Roman" w:hAnsi="Times New Roman" w:cs="Times New Roman"/>
          <w:sz w:val="20"/>
          <w:szCs w:val="20"/>
        </w:rPr>
      </w:pPr>
      <w:r>
        <w:rPr>
          <w:rFonts w:ascii="Times New Roman" w:eastAsia="Times New Roman" w:hAnsi="Times New Roman" w:cs="Times New Roman"/>
          <w:b/>
          <w:sz w:val="20"/>
          <w:szCs w:val="20"/>
        </w:rPr>
        <w:t>FRCP 8(b): Defe</w:t>
      </w:r>
      <w:r>
        <w:rPr>
          <w:rFonts w:ascii="Times New Roman" w:eastAsia="Times New Roman" w:hAnsi="Times New Roman" w:cs="Times New Roman"/>
          <w:b/>
          <w:sz w:val="20"/>
          <w:szCs w:val="20"/>
        </w:rPr>
        <w:t>nses</w:t>
      </w:r>
    </w:p>
    <w:p w:rsidR="00E45F3B" w:rsidRDefault="006A3871">
      <w:pPr>
        <w:numPr>
          <w:ilvl w:val="0"/>
          <w:numId w:val="2"/>
        </w:numPr>
        <w:contextualSpacing/>
        <w:rPr>
          <w:rFonts w:ascii="Times New Roman" w:eastAsia="Times New Roman" w:hAnsi="Times New Roman" w:cs="Times New Roman"/>
          <w:sz w:val="20"/>
          <w:szCs w:val="20"/>
        </w:rPr>
      </w:pPr>
      <w:r>
        <w:rPr>
          <w:rFonts w:ascii="Times New Roman" w:eastAsia="Times New Roman" w:hAnsi="Times New Roman" w:cs="Times New Roman"/>
          <w:b/>
          <w:sz w:val="20"/>
          <w:szCs w:val="20"/>
        </w:rPr>
        <w:t>FRCP 8(c): Affirmative Defenses</w:t>
      </w:r>
    </w:p>
    <w:p w:rsidR="00E45F3B" w:rsidRDefault="006A3871">
      <w:pPr>
        <w:numPr>
          <w:ilvl w:val="0"/>
          <w:numId w:val="2"/>
        </w:numPr>
        <w:contextualSpacing/>
        <w:rPr>
          <w:rFonts w:ascii="Times New Roman" w:eastAsia="Times New Roman" w:hAnsi="Times New Roman" w:cs="Times New Roman"/>
          <w:sz w:val="20"/>
          <w:szCs w:val="20"/>
        </w:rPr>
      </w:pPr>
      <w:r>
        <w:rPr>
          <w:rFonts w:ascii="Times New Roman" w:eastAsia="Times New Roman" w:hAnsi="Times New Roman" w:cs="Times New Roman"/>
          <w:b/>
          <w:sz w:val="20"/>
          <w:szCs w:val="20"/>
        </w:rPr>
        <w:t>FRCP 8(d): Pleading to be Concise and Direct; Alternative Statements; Inconsistency</w:t>
      </w:r>
    </w:p>
    <w:p w:rsidR="00E45F3B" w:rsidRDefault="00E45F3B">
      <w:pPr>
        <w:rPr>
          <w:rFonts w:ascii="Times New Roman" w:eastAsia="Times New Roman" w:hAnsi="Times New Roman" w:cs="Times New Roman"/>
          <w:b/>
          <w:sz w:val="20"/>
          <w:szCs w:val="20"/>
        </w:rPr>
      </w:pPr>
    </w:p>
    <w:p w:rsidR="00E45F3B" w:rsidRDefault="006A3871">
      <w:pPr>
        <w:jc w:val="center"/>
        <w:rPr>
          <w:rFonts w:ascii="Times New Roman" w:eastAsia="Times New Roman" w:hAnsi="Times New Roman" w:cs="Times New Roman"/>
          <w:sz w:val="24"/>
          <w:szCs w:val="24"/>
        </w:rPr>
      </w:pPr>
      <w:r>
        <w:rPr>
          <w:rFonts w:ascii="Times New Roman" w:eastAsia="Times New Roman" w:hAnsi="Times New Roman" w:cs="Times New Roman"/>
          <w:sz w:val="24"/>
          <w:szCs w:val="24"/>
        </w:rPr>
        <w:t>Choice of Law</w:t>
      </w:r>
    </w:p>
    <w:p w:rsidR="00E45F3B" w:rsidRDefault="006A3871">
      <w:pPr>
        <w:numPr>
          <w:ilvl w:val="0"/>
          <w:numId w:val="4"/>
        </w:numPr>
        <w:contextualSpacing/>
        <w:rPr>
          <w:rFonts w:ascii="Times New Roman" w:eastAsia="Times New Roman" w:hAnsi="Times New Roman" w:cs="Times New Roman"/>
          <w:sz w:val="20"/>
          <w:szCs w:val="20"/>
        </w:rPr>
      </w:pPr>
      <w:r>
        <w:rPr>
          <w:rFonts w:ascii="Times New Roman" w:eastAsia="Times New Roman" w:hAnsi="Times New Roman" w:cs="Times New Roman"/>
          <w:sz w:val="20"/>
          <w:szCs w:val="20"/>
        </w:rPr>
        <w:t>Limitations on Federal Court – PJ, SMJ, statutory foundations, choice of law</w:t>
      </w:r>
    </w:p>
    <w:p w:rsidR="00E45F3B" w:rsidRDefault="006A3871">
      <w:pPr>
        <w:numPr>
          <w:ilvl w:val="0"/>
          <w:numId w:val="4"/>
        </w:numPr>
        <w:contextualSpacing/>
        <w:rPr>
          <w:rFonts w:ascii="Times New Roman" w:eastAsia="Times New Roman" w:hAnsi="Times New Roman" w:cs="Times New Roman"/>
          <w:sz w:val="20"/>
          <w:szCs w:val="20"/>
        </w:rPr>
      </w:pPr>
      <w:r>
        <w:rPr>
          <w:rFonts w:ascii="Times New Roman" w:eastAsia="Times New Roman" w:hAnsi="Times New Roman" w:cs="Times New Roman"/>
          <w:sz w:val="20"/>
          <w:szCs w:val="20"/>
        </w:rPr>
        <w:t xml:space="preserve">Until </w:t>
      </w:r>
      <w:r>
        <w:rPr>
          <w:rFonts w:ascii="Times New Roman" w:eastAsia="Times New Roman" w:hAnsi="Times New Roman" w:cs="Times New Roman"/>
          <w:i/>
          <w:sz w:val="20"/>
          <w:szCs w:val="20"/>
        </w:rPr>
        <w:t>Erie</w:t>
      </w:r>
      <w:r>
        <w:rPr>
          <w:rFonts w:ascii="Times New Roman" w:eastAsia="Times New Roman" w:hAnsi="Times New Roman" w:cs="Times New Roman"/>
          <w:sz w:val="20"/>
          <w:szCs w:val="20"/>
        </w:rPr>
        <w:t xml:space="preserve">, federal courts engaged in creating a national common law but was often more protective of business interests despite purpose being to prevent bias against out-of-state parties not to favor them </w:t>
      </w:r>
    </w:p>
    <w:p w:rsidR="00E45F3B" w:rsidRDefault="006A3871">
      <w:pPr>
        <w:numPr>
          <w:ilvl w:val="1"/>
          <w:numId w:val="4"/>
        </w:numPr>
        <w:contextualSpacing/>
        <w:rPr>
          <w:rFonts w:ascii="Times New Roman" w:eastAsia="Times New Roman" w:hAnsi="Times New Roman" w:cs="Times New Roman"/>
          <w:sz w:val="20"/>
          <w:szCs w:val="20"/>
        </w:rPr>
      </w:pPr>
      <w:r>
        <w:rPr>
          <w:rFonts w:ascii="Times New Roman" w:eastAsia="Times New Roman" w:hAnsi="Times New Roman" w:cs="Times New Roman"/>
          <w:i/>
          <w:color w:val="FF0000"/>
          <w:sz w:val="20"/>
          <w:szCs w:val="20"/>
        </w:rPr>
        <w:t>Swift v. Tyson</w:t>
      </w:r>
      <w:r>
        <w:rPr>
          <w:rFonts w:ascii="Times New Roman" w:eastAsia="Times New Roman" w:hAnsi="Times New Roman" w:cs="Times New Roman"/>
          <w:color w:val="FF0000"/>
          <w:sz w:val="20"/>
          <w:szCs w:val="20"/>
        </w:rPr>
        <w:t xml:space="preserve"> (SCOTUS, 1841)</w:t>
      </w:r>
    </w:p>
    <w:p w:rsidR="00E45F3B" w:rsidRDefault="006A3871">
      <w:pPr>
        <w:ind w:left="1440"/>
        <w:rPr>
          <w:rFonts w:ascii="Times New Roman" w:eastAsia="Times New Roman" w:hAnsi="Times New Roman" w:cs="Times New Roman"/>
          <w:color w:val="FF0000"/>
          <w:sz w:val="20"/>
          <w:szCs w:val="20"/>
        </w:rPr>
      </w:pPr>
      <w:r>
        <w:rPr>
          <w:rFonts w:ascii="Times New Roman" w:eastAsia="Times New Roman" w:hAnsi="Times New Roman" w:cs="Times New Roman"/>
          <w:b/>
          <w:color w:val="FF0000"/>
          <w:sz w:val="20"/>
          <w:szCs w:val="20"/>
        </w:rPr>
        <w:t xml:space="preserve">H: </w:t>
      </w:r>
      <w:r>
        <w:rPr>
          <w:rFonts w:ascii="Times New Roman" w:eastAsia="Times New Roman" w:hAnsi="Times New Roman" w:cs="Times New Roman"/>
          <w:color w:val="FF0000"/>
          <w:sz w:val="20"/>
          <w:szCs w:val="20"/>
        </w:rPr>
        <w:t>Called for adoption of a f</w:t>
      </w:r>
      <w:r>
        <w:rPr>
          <w:rFonts w:ascii="Times New Roman" w:eastAsia="Times New Roman" w:hAnsi="Times New Roman" w:cs="Times New Roman"/>
          <w:color w:val="FF0000"/>
          <w:sz w:val="20"/>
          <w:szCs w:val="20"/>
        </w:rPr>
        <w:t>ederal common law – turned into a disaster, created tremendous forum-shopping</w:t>
      </w:r>
    </w:p>
    <w:p w:rsidR="00E45F3B" w:rsidRDefault="006A3871">
      <w:pPr>
        <w:numPr>
          <w:ilvl w:val="0"/>
          <w:numId w:val="4"/>
        </w:numPr>
        <w:contextualSpacing/>
        <w:rPr>
          <w:rFonts w:ascii="Times New Roman" w:eastAsia="Times New Roman" w:hAnsi="Times New Roman" w:cs="Times New Roman"/>
          <w:sz w:val="20"/>
          <w:szCs w:val="20"/>
        </w:rPr>
      </w:pPr>
      <w:r>
        <w:rPr>
          <w:rFonts w:ascii="Times New Roman" w:eastAsia="Times New Roman" w:hAnsi="Times New Roman" w:cs="Times New Roman"/>
          <w:sz w:val="20"/>
          <w:szCs w:val="20"/>
        </w:rPr>
        <w:t xml:space="preserve">Interpreting </w:t>
      </w:r>
      <w:r>
        <w:rPr>
          <w:rFonts w:ascii="Times New Roman" w:eastAsia="Times New Roman" w:hAnsi="Times New Roman" w:cs="Times New Roman"/>
          <w:i/>
          <w:sz w:val="20"/>
          <w:szCs w:val="20"/>
        </w:rPr>
        <w:t>Erie</w:t>
      </w:r>
      <w:r>
        <w:rPr>
          <w:rFonts w:ascii="Times New Roman" w:eastAsia="Times New Roman" w:hAnsi="Times New Roman" w:cs="Times New Roman"/>
          <w:sz w:val="20"/>
          <w:szCs w:val="20"/>
        </w:rPr>
        <w:t xml:space="preserve"> </w:t>
      </w:r>
    </w:p>
    <w:p w:rsidR="00E45F3B" w:rsidRDefault="006A3871">
      <w:pPr>
        <w:numPr>
          <w:ilvl w:val="1"/>
          <w:numId w:val="4"/>
        </w:numPr>
        <w:contextualSpacing/>
        <w:rPr>
          <w:rFonts w:ascii="Times New Roman" w:eastAsia="Times New Roman" w:hAnsi="Times New Roman" w:cs="Times New Roman"/>
          <w:sz w:val="20"/>
          <w:szCs w:val="20"/>
        </w:rPr>
      </w:pPr>
      <w:r>
        <w:rPr>
          <w:rFonts w:ascii="Times New Roman" w:eastAsia="Times New Roman" w:hAnsi="Times New Roman" w:cs="Times New Roman"/>
          <w:i/>
          <w:color w:val="FF0000"/>
          <w:sz w:val="20"/>
          <w:szCs w:val="20"/>
        </w:rPr>
        <w:t xml:space="preserve">Erie Railroad v. Tompkins </w:t>
      </w:r>
      <w:r>
        <w:rPr>
          <w:rFonts w:ascii="Times New Roman" w:eastAsia="Times New Roman" w:hAnsi="Times New Roman" w:cs="Times New Roman"/>
          <w:color w:val="FF0000"/>
          <w:sz w:val="20"/>
          <w:szCs w:val="20"/>
        </w:rPr>
        <w:t>(SCOTUS, 1938)</w:t>
      </w:r>
    </w:p>
    <w:p w:rsidR="00E45F3B" w:rsidRDefault="006A3871">
      <w:pPr>
        <w:ind w:left="1440"/>
        <w:rPr>
          <w:rFonts w:ascii="Times New Roman" w:eastAsia="Times New Roman" w:hAnsi="Times New Roman" w:cs="Times New Roman"/>
          <w:color w:val="FF0000"/>
          <w:sz w:val="20"/>
          <w:szCs w:val="20"/>
        </w:rPr>
      </w:pPr>
      <w:r>
        <w:rPr>
          <w:rFonts w:ascii="Times New Roman" w:eastAsia="Times New Roman" w:hAnsi="Times New Roman" w:cs="Times New Roman"/>
          <w:b/>
          <w:color w:val="FF0000"/>
          <w:sz w:val="20"/>
          <w:szCs w:val="20"/>
        </w:rPr>
        <w:t xml:space="preserve">F: </w:t>
      </w:r>
      <w:r>
        <w:rPr>
          <w:rFonts w:ascii="Times New Roman" w:eastAsia="Times New Roman" w:hAnsi="Times New Roman" w:cs="Times New Roman"/>
          <w:color w:val="FF0000"/>
          <w:sz w:val="20"/>
          <w:szCs w:val="20"/>
        </w:rPr>
        <w:t>P’s arm severed by refrigerator car’s open door of train while walking near tracks, filed suit in federal court per</w:t>
      </w:r>
      <w:r>
        <w:rPr>
          <w:rFonts w:ascii="Times New Roman" w:eastAsia="Times New Roman" w:hAnsi="Times New Roman" w:cs="Times New Roman"/>
          <w:color w:val="FF0000"/>
          <w:sz w:val="20"/>
          <w:szCs w:val="20"/>
        </w:rPr>
        <w:t xml:space="preserve"> diversity JD; issue is which negligence law to apply, PA requiring willful or wanton negligence or federal common law general negligence?</w:t>
      </w:r>
      <w:r>
        <w:rPr>
          <w:rFonts w:ascii="Times New Roman" w:eastAsia="Times New Roman" w:hAnsi="Times New Roman" w:cs="Times New Roman"/>
          <w:color w:val="FF0000"/>
          <w:sz w:val="20"/>
          <w:szCs w:val="20"/>
        </w:rPr>
        <w:tab/>
      </w:r>
    </w:p>
    <w:p w:rsidR="00E45F3B" w:rsidRDefault="006A3871">
      <w:pPr>
        <w:ind w:left="1440"/>
        <w:rPr>
          <w:rFonts w:ascii="Times New Roman" w:eastAsia="Times New Roman" w:hAnsi="Times New Roman" w:cs="Times New Roman"/>
          <w:color w:val="FF0000"/>
          <w:sz w:val="20"/>
          <w:szCs w:val="20"/>
        </w:rPr>
      </w:pPr>
      <w:r>
        <w:rPr>
          <w:rFonts w:ascii="Times New Roman" w:eastAsia="Times New Roman" w:hAnsi="Times New Roman" w:cs="Times New Roman"/>
          <w:b/>
          <w:color w:val="FF0000"/>
          <w:sz w:val="20"/>
          <w:szCs w:val="20"/>
        </w:rPr>
        <w:t>H:</w:t>
      </w:r>
      <w:r>
        <w:rPr>
          <w:rFonts w:ascii="Times New Roman" w:eastAsia="Times New Roman" w:hAnsi="Times New Roman" w:cs="Times New Roman"/>
          <w:color w:val="FF0000"/>
          <w:sz w:val="20"/>
          <w:szCs w:val="20"/>
        </w:rPr>
        <w:t xml:space="preserve"> Overrules </w:t>
      </w:r>
      <w:r>
        <w:rPr>
          <w:rFonts w:ascii="Times New Roman" w:eastAsia="Times New Roman" w:hAnsi="Times New Roman" w:cs="Times New Roman"/>
          <w:i/>
          <w:color w:val="FF0000"/>
          <w:sz w:val="20"/>
          <w:szCs w:val="20"/>
        </w:rPr>
        <w:t>Swift</w:t>
      </w:r>
      <w:r>
        <w:rPr>
          <w:rFonts w:ascii="Times New Roman" w:eastAsia="Times New Roman" w:hAnsi="Times New Roman" w:cs="Times New Roman"/>
          <w:color w:val="FF0000"/>
          <w:sz w:val="20"/>
          <w:szCs w:val="20"/>
        </w:rPr>
        <w:t xml:space="preserve"> (there is no federal common law), courts must apply state common law in situations in which the f</w:t>
      </w:r>
      <w:r>
        <w:rPr>
          <w:rFonts w:ascii="Times New Roman" w:eastAsia="Times New Roman" w:hAnsi="Times New Roman" w:cs="Times New Roman"/>
          <w:color w:val="FF0000"/>
          <w:sz w:val="20"/>
          <w:szCs w:val="20"/>
        </w:rPr>
        <w:t>ederal rule andstate rule conflict (here, applies PA common law)</w:t>
      </w:r>
    </w:p>
    <w:p w:rsidR="00E45F3B" w:rsidRDefault="006A3871">
      <w:pPr>
        <w:ind w:left="1440"/>
        <w:rPr>
          <w:rFonts w:ascii="Times New Roman" w:eastAsia="Times New Roman" w:hAnsi="Times New Roman" w:cs="Times New Roman"/>
          <w:color w:val="FF0000"/>
          <w:sz w:val="20"/>
          <w:szCs w:val="20"/>
        </w:rPr>
      </w:pPr>
      <w:r>
        <w:rPr>
          <w:rFonts w:ascii="Cardo" w:eastAsia="Cardo" w:hAnsi="Cardo" w:cs="Cardo"/>
          <w:color w:val="FF0000"/>
          <w:sz w:val="20"/>
          <w:szCs w:val="20"/>
        </w:rPr>
        <w:t xml:space="preserve">→ In diversity cases for issues of substantive state law, apply state common law (abolish federal common law), creates major shift in the law, aim = uniformity </w:t>
      </w:r>
    </w:p>
    <w:p w:rsidR="00E45F3B" w:rsidRDefault="006A3871">
      <w:pPr>
        <w:ind w:left="1440"/>
        <w:rPr>
          <w:rFonts w:ascii="Times New Roman" w:eastAsia="Times New Roman" w:hAnsi="Times New Roman" w:cs="Times New Roman"/>
          <w:color w:val="FF0000"/>
          <w:sz w:val="20"/>
          <w:szCs w:val="20"/>
        </w:rPr>
      </w:pPr>
      <w:r>
        <w:rPr>
          <w:rFonts w:ascii="Times New Roman" w:eastAsia="Times New Roman" w:hAnsi="Times New Roman" w:cs="Times New Roman"/>
          <w:b/>
          <w:color w:val="FF0000"/>
          <w:sz w:val="20"/>
          <w:szCs w:val="20"/>
        </w:rPr>
        <w:t xml:space="preserve">Reed Concurrence: </w:t>
      </w:r>
      <w:r>
        <w:rPr>
          <w:rFonts w:ascii="Times New Roman" w:eastAsia="Times New Roman" w:hAnsi="Times New Roman" w:cs="Times New Roman"/>
          <w:color w:val="FF0000"/>
          <w:sz w:val="20"/>
          <w:szCs w:val="20"/>
        </w:rPr>
        <w:t>Distinguish substance and procedure, federal courts shall have the power to make rules regarding procedure, but what’s substantive and what’s procedural law?</w:t>
      </w:r>
    </w:p>
    <w:p w:rsidR="00E45F3B" w:rsidRDefault="006A3871">
      <w:pPr>
        <w:numPr>
          <w:ilvl w:val="1"/>
          <w:numId w:val="4"/>
        </w:numPr>
        <w:contextualSpacing/>
        <w:rPr>
          <w:rFonts w:ascii="Times New Roman" w:eastAsia="Times New Roman" w:hAnsi="Times New Roman" w:cs="Times New Roman"/>
          <w:sz w:val="20"/>
          <w:szCs w:val="20"/>
        </w:rPr>
      </w:pPr>
      <w:r>
        <w:rPr>
          <w:rFonts w:ascii="Times New Roman" w:eastAsia="Times New Roman" w:hAnsi="Times New Roman" w:cs="Times New Roman"/>
          <w:b/>
          <w:sz w:val="20"/>
          <w:szCs w:val="20"/>
        </w:rPr>
        <w:t>28 USC § 1652: State Laws as Rules of Decision</w:t>
      </w:r>
      <w:r>
        <w:rPr>
          <w:rFonts w:ascii="Times New Roman" w:eastAsia="Times New Roman" w:hAnsi="Times New Roman" w:cs="Times New Roman"/>
          <w:sz w:val="20"/>
          <w:szCs w:val="20"/>
        </w:rPr>
        <w:t xml:space="preserve"> – federal courts have to apply the laws of the stat</w:t>
      </w:r>
      <w:r>
        <w:rPr>
          <w:rFonts w:ascii="Times New Roman" w:eastAsia="Times New Roman" w:hAnsi="Times New Roman" w:cs="Times New Roman"/>
          <w:sz w:val="20"/>
          <w:szCs w:val="20"/>
        </w:rPr>
        <w:t>es as rules of decision in civil actions except where the constitution, treaties of the US, or acts of Congress otherwise require/provide</w:t>
      </w:r>
    </w:p>
    <w:p w:rsidR="00E45F3B" w:rsidRDefault="006A3871">
      <w:pPr>
        <w:numPr>
          <w:ilvl w:val="1"/>
          <w:numId w:val="4"/>
        </w:numPr>
        <w:contextualSpacing/>
        <w:rPr>
          <w:rFonts w:ascii="Times New Roman" w:eastAsia="Times New Roman" w:hAnsi="Times New Roman" w:cs="Times New Roman"/>
          <w:sz w:val="20"/>
          <w:szCs w:val="20"/>
        </w:rPr>
      </w:pPr>
      <w:r>
        <w:rPr>
          <w:rFonts w:ascii="Times New Roman" w:eastAsia="Times New Roman" w:hAnsi="Times New Roman" w:cs="Times New Roman"/>
          <w:sz w:val="20"/>
          <w:szCs w:val="20"/>
        </w:rPr>
        <w:t>The Constitution and Conflict with a Federal Practice</w:t>
      </w:r>
    </w:p>
    <w:p w:rsidR="00E45F3B" w:rsidRDefault="006A3871">
      <w:pPr>
        <w:numPr>
          <w:ilvl w:val="2"/>
          <w:numId w:val="4"/>
        </w:numPr>
        <w:contextualSpacing/>
        <w:rPr>
          <w:rFonts w:ascii="Times New Roman" w:eastAsia="Times New Roman" w:hAnsi="Times New Roman" w:cs="Times New Roman"/>
          <w:sz w:val="20"/>
          <w:szCs w:val="20"/>
        </w:rPr>
      </w:pPr>
      <w:r>
        <w:rPr>
          <w:rFonts w:ascii="Times New Roman" w:eastAsia="Times New Roman" w:hAnsi="Times New Roman" w:cs="Times New Roman"/>
          <w:i/>
          <w:color w:val="FF0000"/>
          <w:sz w:val="20"/>
          <w:szCs w:val="20"/>
        </w:rPr>
        <w:t xml:space="preserve">Guaranty Trust Co. v. York </w:t>
      </w:r>
      <w:r>
        <w:rPr>
          <w:rFonts w:ascii="Times New Roman" w:eastAsia="Times New Roman" w:hAnsi="Times New Roman" w:cs="Times New Roman"/>
          <w:color w:val="FF0000"/>
          <w:sz w:val="20"/>
          <w:szCs w:val="20"/>
        </w:rPr>
        <w:t>(SCOTUS, 1945)</w:t>
      </w:r>
    </w:p>
    <w:p w:rsidR="00E45F3B" w:rsidRDefault="006A3871">
      <w:pPr>
        <w:ind w:left="2160"/>
        <w:rPr>
          <w:rFonts w:ascii="Times New Roman" w:eastAsia="Times New Roman" w:hAnsi="Times New Roman" w:cs="Times New Roman"/>
          <w:color w:val="FF0000"/>
          <w:sz w:val="20"/>
          <w:szCs w:val="20"/>
        </w:rPr>
      </w:pPr>
      <w:r>
        <w:rPr>
          <w:rFonts w:ascii="Times New Roman" w:eastAsia="Times New Roman" w:hAnsi="Times New Roman" w:cs="Times New Roman"/>
          <w:b/>
          <w:color w:val="FF0000"/>
          <w:sz w:val="20"/>
          <w:szCs w:val="20"/>
        </w:rPr>
        <w:t>H:</w:t>
      </w:r>
      <w:r>
        <w:rPr>
          <w:rFonts w:ascii="Times New Roman" w:eastAsia="Times New Roman" w:hAnsi="Times New Roman" w:cs="Times New Roman"/>
          <w:color w:val="FF0000"/>
          <w:sz w:val="20"/>
          <w:szCs w:val="20"/>
        </w:rPr>
        <w:t xml:space="preserve"> Conflicting state and federal SOL – calls for application of state SOL, effectively barring complaint </w:t>
      </w:r>
    </w:p>
    <w:p w:rsidR="00E45F3B" w:rsidRDefault="006A3871">
      <w:pPr>
        <w:ind w:left="2160"/>
        <w:rPr>
          <w:rFonts w:ascii="Times New Roman" w:eastAsia="Times New Roman" w:hAnsi="Times New Roman" w:cs="Times New Roman"/>
          <w:color w:val="FF0000"/>
          <w:sz w:val="20"/>
          <w:szCs w:val="20"/>
        </w:rPr>
      </w:pPr>
      <w:r>
        <w:rPr>
          <w:rFonts w:ascii="Times New Roman" w:eastAsia="Times New Roman" w:hAnsi="Times New Roman" w:cs="Times New Roman"/>
          <w:b/>
          <w:color w:val="FF0000"/>
          <w:sz w:val="20"/>
          <w:szCs w:val="20"/>
        </w:rPr>
        <w:t>Rule:</w:t>
      </w:r>
      <w:r>
        <w:rPr>
          <w:rFonts w:ascii="Times New Roman" w:eastAsia="Times New Roman" w:hAnsi="Times New Roman" w:cs="Times New Roman"/>
          <w:color w:val="FF0000"/>
          <w:sz w:val="20"/>
          <w:szCs w:val="20"/>
        </w:rPr>
        <w:t xml:space="preserve"> If federal rule would give a different ruling than using the state rule then the conflict is outcome determinative and the state rule shall apply </w:t>
      </w:r>
    </w:p>
    <w:p w:rsidR="00E45F3B" w:rsidRDefault="006A3871">
      <w:pPr>
        <w:ind w:left="2160"/>
        <w:rPr>
          <w:rFonts w:ascii="Times New Roman" w:eastAsia="Times New Roman" w:hAnsi="Times New Roman" w:cs="Times New Roman"/>
          <w:color w:val="FF0000"/>
          <w:sz w:val="20"/>
          <w:szCs w:val="20"/>
        </w:rPr>
      </w:pPr>
      <w:r>
        <w:rPr>
          <w:rFonts w:ascii="Cardo" w:eastAsia="Cardo" w:hAnsi="Cardo" w:cs="Cardo"/>
          <w:color w:val="FF0000"/>
          <w:sz w:val="20"/>
          <w:szCs w:val="20"/>
        </w:rPr>
        <w:t xml:space="preserve">→ BUT everything is arguably outcome determinative </w:t>
      </w:r>
    </w:p>
    <w:p w:rsidR="00E45F3B" w:rsidRDefault="006A3871">
      <w:pPr>
        <w:numPr>
          <w:ilvl w:val="2"/>
          <w:numId w:val="4"/>
        </w:numPr>
        <w:contextualSpacing/>
        <w:rPr>
          <w:rFonts w:ascii="Times New Roman" w:eastAsia="Times New Roman" w:hAnsi="Times New Roman" w:cs="Times New Roman"/>
          <w:sz w:val="20"/>
          <w:szCs w:val="20"/>
        </w:rPr>
      </w:pPr>
      <w:r>
        <w:rPr>
          <w:rFonts w:ascii="Times New Roman" w:eastAsia="Times New Roman" w:hAnsi="Times New Roman" w:cs="Times New Roman"/>
          <w:i/>
          <w:color w:val="FF0000"/>
          <w:sz w:val="20"/>
          <w:szCs w:val="20"/>
        </w:rPr>
        <w:t xml:space="preserve">Byrd v. Blue Ridge Rural Electric Cooperative </w:t>
      </w:r>
      <w:r>
        <w:rPr>
          <w:rFonts w:ascii="Times New Roman" w:eastAsia="Times New Roman" w:hAnsi="Times New Roman" w:cs="Times New Roman"/>
          <w:color w:val="FF0000"/>
          <w:sz w:val="20"/>
          <w:szCs w:val="20"/>
        </w:rPr>
        <w:t>(SCOTUS, 1958)</w:t>
      </w:r>
    </w:p>
    <w:p w:rsidR="00E45F3B" w:rsidRDefault="006A3871">
      <w:pPr>
        <w:ind w:left="2160"/>
        <w:rPr>
          <w:rFonts w:ascii="Times New Roman" w:eastAsia="Times New Roman" w:hAnsi="Times New Roman" w:cs="Times New Roman"/>
          <w:color w:val="FF0000"/>
          <w:sz w:val="20"/>
          <w:szCs w:val="20"/>
        </w:rPr>
      </w:pPr>
      <w:r>
        <w:rPr>
          <w:rFonts w:ascii="Times New Roman" w:eastAsia="Times New Roman" w:hAnsi="Times New Roman" w:cs="Times New Roman"/>
          <w:b/>
          <w:color w:val="FF0000"/>
          <w:sz w:val="20"/>
          <w:szCs w:val="20"/>
        </w:rPr>
        <w:t xml:space="preserve">H: </w:t>
      </w:r>
      <w:r>
        <w:rPr>
          <w:rFonts w:ascii="Times New Roman" w:eastAsia="Times New Roman" w:hAnsi="Times New Roman" w:cs="Times New Roman"/>
          <w:color w:val="FF0000"/>
          <w:sz w:val="20"/>
          <w:szCs w:val="20"/>
        </w:rPr>
        <w:t xml:space="preserve">In defining statutory employee, in the state, SC, the judge decides, federally, 7th amendment principles, jury decides – court shall apply </w:t>
      </w:r>
      <w:r>
        <w:rPr>
          <w:rFonts w:ascii="Times New Roman" w:eastAsia="Times New Roman" w:hAnsi="Times New Roman" w:cs="Times New Roman"/>
          <w:color w:val="FF0000"/>
          <w:sz w:val="20"/>
          <w:szCs w:val="20"/>
        </w:rPr>
        <w:t xml:space="preserve">federal jury process; breaks line of state law wins in using </w:t>
      </w:r>
      <w:r>
        <w:rPr>
          <w:rFonts w:ascii="Times New Roman" w:eastAsia="Times New Roman" w:hAnsi="Times New Roman" w:cs="Times New Roman"/>
          <w:i/>
          <w:color w:val="FF0000"/>
          <w:sz w:val="20"/>
          <w:szCs w:val="20"/>
        </w:rPr>
        <w:t>York</w:t>
      </w:r>
      <w:r>
        <w:rPr>
          <w:rFonts w:ascii="Times New Roman" w:eastAsia="Times New Roman" w:hAnsi="Times New Roman" w:cs="Times New Roman"/>
          <w:color w:val="FF0000"/>
          <w:sz w:val="20"/>
          <w:szCs w:val="20"/>
        </w:rPr>
        <w:t xml:space="preserve"> to apply the </w:t>
      </w:r>
      <w:r>
        <w:rPr>
          <w:rFonts w:ascii="Times New Roman" w:eastAsia="Times New Roman" w:hAnsi="Times New Roman" w:cs="Times New Roman"/>
          <w:i/>
          <w:color w:val="FF0000"/>
          <w:sz w:val="20"/>
          <w:szCs w:val="20"/>
        </w:rPr>
        <w:t xml:space="preserve">Erie </w:t>
      </w:r>
      <w:r>
        <w:rPr>
          <w:rFonts w:ascii="Times New Roman" w:eastAsia="Times New Roman" w:hAnsi="Times New Roman" w:cs="Times New Roman"/>
          <w:color w:val="FF0000"/>
          <w:sz w:val="20"/>
          <w:szCs w:val="20"/>
        </w:rPr>
        <w:t>doctrine</w:t>
      </w:r>
    </w:p>
    <w:p w:rsidR="00E45F3B" w:rsidRDefault="006A3871">
      <w:pPr>
        <w:ind w:left="2160"/>
        <w:rPr>
          <w:rFonts w:ascii="Times New Roman" w:eastAsia="Times New Roman" w:hAnsi="Times New Roman" w:cs="Times New Roman"/>
          <w:color w:val="FF0000"/>
          <w:sz w:val="20"/>
          <w:szCs w:val="20"/>
        </w:rPr>
      </w:pPr>
      <w:r>
        <w:rPr>
          <w:rFonts w:ascii="Times New Roman" w:eastAsia="Times New Roman" w:hAnsi="Times New Roman" w:cs="Times New Roman"/>
          <w:b/>
          <w:color w:val="FF0000"/>
          <w:sz w:val="20"/>
          <w:szCs w:val="20"/>
        </w:rPr>
        <w:t xml:space="preserve">Rule: </w:t>
      </w:r>
      <w:r>
        <w:rPr>
          <w:rFonts w:ascii="Times New Roman" w:eastAsia="Times New Roman" w:hAnsi="Times New Roman" w:cs="Times New Roman"/>
          <w:color w:val="FF0000"/>
          <w:sz w:val="20"/>
          <w:szCs w:val="20"/>
        </w:rPr>
        <w:t xml:space="preserve">To resolve </w:t>
      </w:r>
      <w:r>
        <w:rPr>
          <w:rFonts w:ascii="Times New Roman" w:eastAsia="Times New Roman" w:hAnsi="Times New Roman" w:cs="Times New Roman"/>
          <w:i/>
          <w:color w:val="FF0000"/>
          <w:sz w:val="20"/>
          <w:szCs w:val="20"/>
        </w:rPr>
        <w:t>Erie</w:t>
      </w:r>
      <w:r>
        <w:rPr>
          <w:rFonts w:ascii="Times New Roman" w:eastAsia="Times New Roman" w:hAnsi="Times New Roman" w:cs="Times New Roman"/>
          <w:color w:val="FF0000"/>
          <w:sz w:val="20"/>
          <w:szCs w:val="20"/>
        </w:rPr>
        <w:t xml:space="preserve"> conflict, balancing outcome determinative with state interests (anti-forum shopping and uniformity in diversity cases) and countervailing fed</w:t>
      </w:r>
      <w:r>
        <w:rPr>
          <w:rFonts w:ascii="Times New Roman" w:eastAsia="Times New Roman" w:hAnsi="Times New Roman" w:cs="Times New Roman"/>
          <w:color w:val="FF0000"/>
          <w:sz w:val="20"/>
          <w:szCs w:val="20"/>
        </w:rPr>
        <w:t xml:space="preserve">eral interest in use of the federal rule; takes </w:t>
      </w:r>
      <w:r>
        <w:rPr>
          <w:rFonts w:ascii="Times New Roman" w:eastAsia="Times New Roman" w:hAnsi="Times New Roman" w:cs="Times New Roman"/>
          <w:i/>
          <w:color w:val="FF0000"/>
          <w:sz w:val="20"/>
          <w:szCs w:val="20"/>
        </w:rPr>
        <w:t>York</w:t>
      </w:r>
      <w:r>
        <w:rPr>
          <w:rFonts w:ascii="Times New Roman" w:eastAsia="Times New Roman" w:hAnsi="Times New Roman" w:cs="Times New Roman"/>
          <w:color w:val="FF0000"/>
          <w:sz w:val="20"/>
          <w:szCs w:val="20"/>
        </w:rPr>
        <w:t>’s bright-line outcome determinative rule and turns it into a balancing test ^</w:t>
      </w:r>
    </w:p>
    <w:p w:rsidR="00E45F3B" w:rsidRDefault="006A3871">
      <w:pPr>
        <w:ind w:left="2160"/>
        <w:rPr>
          <w:rFonts w:ascii="Times New Roman" w:eastAsia="Times New Roman" w:hAnsi="Times New Roman" w:cs="Times New Roman"/>
          <w:color w:val="FF0000"/>
          <w:sz w:val="20"/>
          <w:szCs w:val="20"/>
        </w:rPr>
      </w:pPr>
      <w:r>
        <w:rPr>
          <w:rFonts w:ascii="Times New Roman" w:eastAsia="Times New Roman" w:hAnsi="Times New Roman" w:cs="Times New Roman"/>
          <w:b/>
          <w:color w:val="FF0000"/>
          <w:sz w:val="20"/>
          <w:szCs w:val="20"/>
        </w:rPr>
        <w:t xml:space="preserve">Application to </w:t>
      </w:r>
      <w:r>
        <w:rPr>
          <w:rFonts w:ascii="Times New Roman" w:eastAsia="Times New Roman" w:hAnsi="Times New Roman" w:cs="Times New Roman"/>
          <w:b/>
          <w:i/>
          <w:color w:val="FF0000"/>
          <w:sz w:val="20"/>
          <w:szCs w:val="20"/>
        </w:rPr>
        <w:t>York</w:t>
      </w:r>
      <w:r>
        <w:rPr>
          <w:rFonts w:ascii="Times New Roman" w:eastAsia="Times New Roman" w:hAnsi="Times New Roman" w:cs="Times New Roman"/>
          <w:b/>
          <w:color w:val="FF0000"/>
          <w:sz w:val="20"/>
          <w:szCs w:val="20"/>
        </w:rPr>
        <w:t xml:space="preserve">: </w:t>
      </w:r>
      <w:r>
        <w:rPr>
          <w:rFonts w:ascii="Times New Roman" w:eastAsia="Times New Roman" w:hAnsi="Times New Roman" w:cs="Times New Roman"/>
          <w:color w:val="FF0000"/>
          <w:sz w:val="20"/>
          <w:szCs w:val="20"/>
        </w:rPr>
        <w:t>SOL certainly outcome determinative but balanced with state/federal interests, creates uniformity and supports business interests, no real federal interests – outcome the same</w:t>
      </w:r>
    </w:p>
    <w:p w:rsidR="00E45F3B" w:rsidRDefault="006A3871">
      <w:pPr>
        <w:numPr>
          <w:ilvl w:val="1"/>
          <w:numId w:val="4"/>
        </w:numPr>
        <w:contextualSpacing/>
        <w:rPr>
          <w:rFonts w:ascii="Times New Roman" w:eastAsia="Times New Roman" w:hAnsi="Times New Roman" w:cs="Times New Roman"/>
          <w:sz w:val="20"/>
          <w:szCs w:val="20"/>
        </w:rPr>
      </w:pPr>
      <w:r>
        <w:rPr>
          <w:rFonts w:ascii="Times New Roman" w:eastAsia="Times New Roman" w:hAnsi="Times New Roman" w:cs="Times New Roman"/>
          <w:sz w:val="20"/>
          <w:szCs w:val="20"/>
        </w:rPr>
        <w:t>Statutory Construction and Confliction with a Federal Rule</w:t>
      </w:r>
    </w:p>
    <w:p w:rsidR="00E45F3B" w:rsidRDefault="006A3871">
      <w:pPr>
        <w:numPr>
          <w:ilvl w:val="2"/>
          <w:numId w:val="4"/>
        </w:numPr>
        <w:contextualSpacing/>
        <w:rPr>
          <w:rFonts w:ascii="Times New Roman" w:eastAsia="Times New Roman" w:hAnsi="Times New Roman" w:cs="Times New Roman"/>
          <w:sz w:val="20"/>
          <w:szCs w:val="20"/>
        </w:rPr>
      </w:pPr>
      <w:r>
        <w:rPr>
          <w:rFonts w:ascii="Times New Roman" w:eastAsia="Times New Roman" w:hAnsi="Times New Roman" w:cs="Times New Roman"/>
          <w:i/>
          <w:color w:val="FF0000"/>
          <w:sz w:val="20"/>
          <w:szCs w:val="20"/>
        </w:rPr>
        <w:t xml:space="preserve">Hanna v. Plumer </w:t>
      </w:r>
      <w:r>
        <w:rPr>
          <w:rFonts w:ascii="Times New Roman" w:eastAsia="Times New Roman" w:hAnsi="Times New Roman" w:cs="Times New Roman"/>
          <w:color w:val="FF0000"/>
          <w:sz w:val="20"/>
          <w:szCs w:val="20"/>
        </w:rPr>
        <w:t>(SCOT</w:t>
      </w:r>
      <w:r>
        <w:rPr>
          <w:rFonts w:ascii="Times New Roman" w:eastAsia="Times New Roman" w:hAnsi="Times New Roman" w:cs="Times New Roman"/>
          <w:color w:val="FF0000"/>
          <w:sz w:val="20"/>
          <w:szCs w:val="20"/>
        </w:rPr>
        <w:t>US, 1965)</w:t>
      </w:r>
    </w:p>
    <w:p w:rsidR="00E45F3B" w:rsidRDefault="006A3871">
      <w:pPr>
        <w:ind w:left="2160"/>
        <w:rPr>
          <w:rFonts w:ascii="Times New Roman" w:eastAsia="Times New Roman" w:hAnsi="Times New Roman" w:cs="Times New Roman"/>
          <w:color w:val="FF0000"/>
          <w:sz w:val="20"/>
          <w:szCs w:val="20"/>
        </w:rPr>
      </w:pPr>
      <w:r>
        <w:rPr>
          <w:rFonts w:ascii="Times New Roman" w:eastAsia="Times New Roman" w:hAnsi="Times New Roman" w:cs="Times New Roman"/>
          <w:b/>
          <w:color w:val="FF0000"/>
          <w:sz w:val="20"/>
          <w:szCs w:val="20"/>
        </w:rPr>
        <w:t xml:space="preserve">H: </w:t>
      </w:r>
      <w:r>
        <w:rPr>
          <w:rFonts w:ascii="Times New Roman" w:eastAsia="Times New Roman" w:hAnsi="Times New Roman" w:cs="Times New Roman"/>
          <w:color w:val="FF0000"/>
          <w:sz w:val="20"/>
          <w:szCs w:val="20"/>
        </w:rPr>
        <w:t>In wrongful death claim arising from a car accident, does federal (Rule 4) or state service law apply?  Court shall apply federal service of process rule</w:t>
      </w:r>
    </w:p>
    <w:p w:rsidR="00E45F3B" w:rsidRDefault="006A3871">
      <w:pPr>
        <w:ind w:left="2160"/>
        <w:rPr>
          <w:rFonts w:ascii="Times New Roman" w:eastAsia="Times New Roman" w:hAnsi="Times New Roman" w:cs="Times New Roman"/>
          <w:color w:val="FF0000"/>
          <w:sz w:val="20"/>
          <w:szCs w:val="20"/>
        </w:rPr>
      </w:pPr>
      <w:r>
        <w:rPr>
          <w:rFonts w:ascii="Times New Roman" w:eastAsia="Times New Roman" w:hAnsi="Times New Roman" w:cs="Times New Roman"/>
          <w:b/>
          <w:color w:val="FF0000"/>
          <w:sz w:val="20"/>
          <w:szCs w:val="20"/>
        </w:rPr>
        <w:t xml:space="preserve">Rule: </w:t>
      </w:r>
      <w:r>
        <w:rPr>
          <w:rFonts w:ascii="Times New Roman" w:eastAsia="Times New Roman" w:hAnsi="Times New Roman" w:cs="Times New Roman"/>
          <w:color w:val="FF0000"/>
          <w:sz w:val="20"/>
          <w:szCs w:val="20"/>
        </w:rPr>
        <w:t xml:space="preserve">Creates two separate avenues for </w:t>
      </w:r>
      <w:r>
        <w:rPr>
          <w:rFonts w:ascii="Times New Roman" w:eastAsia="Times New Roman" w:hAnsi="Times New Roman" w:cs="Times New Roman"/>
          <w:i/>
          <w:color w:val="FF0000"/>
          <w:sz w:val="20"/>
          <w:szCs w:val="20"/>
        </w:rPr>
        <w:t>Erie</w:t>
      </w:r>
      <w:r>
        <w:rPr>
          <w:rFonts w:ascii="Times New Roman" w:eastAsia="Times New Roman" w:hAnsi="Times New Roman" w:cs="Times New Roman"/>
          <w:color w:val="FF0000"/>
          <w:sz w:val="20"/>
          <w:szCs w:val="20"/>
        </w:rPr>
        <w:t xml:space="preserve"> conflicts based on whether federal rules or f</w:t>
      </w:r>
      <w:r>
        <w:rPr>
          <w:rFonts w:ascii="Times New Roman" w:eastAsia="Times New Roman" w:hAnsi="Times New Roman" w:cs="Times New Roman"/>
          <w:color w:val="FF0000"/>
          <w:sz w:val="20"/>
          <w:szCs w:val="20"/>
        </w:rPr>
        <w:t xml:space="preserve">ederal common law practices and incorporating </w:t>
      </w:r>
      <w:r>
        <w:rPr>
          <w:rFonts w:ascii="Times New Roman" w:eastAsia="Times New Roman" w:hAnsi="Times New Roman" w:cs="Times New Roman"/>
          <w:i/>
          <w:color w:val="FF0000"/>
          <w:sz w:val="20"/>
          <w:szCs w:val="20"/>
        </w:rPr>
        <w:t>Erie</w:t>
      </w:r>
      <w:r>
        <w:rPr>
          <w:rFonts w:ascii="Times New Roman" w:eastAsia="Times New Roman" w:hAnsi="Times New Roman" w:cs="Times New Roman"/>
          <w:color w:val="FF0000"/>
          <w:sz w:val="20"/>
          <w:szCs w:val="20"/>
        </w:rPr>
        <w:t xml:space="preserve">’s twin aims (preventing (1) forum-shopping and (2) inequitable administration of laws) earlier in common law analysis, </w:t>
      </w:r>
      <w:r>
        <w:rPr>
          <w:rFonts w:ascii="Times New Roman" w:eastAsia="Times New Roman" w:hAnsi="Times New Roman" w:cs="Times New Roman"/>
          <w:color w:val="FF0000"/>
          <w:sz w:val="20"/>
          <w:szCs w:val="20"/>
          <w:u w:val="single"/>
        </w:rPr>
        <w:t xml:space="preserve">creates a different analysis from </w:t>
      </w:r>
      <w:r>
        <w:rPr>
          <w:rFonts w:ascii="Times New Roman" w:eastAsia="Times New Roman" w:hAnsi="Times New Roman" w:cs="Times New Roman"/>
          <w:i/>
          <w:color w:val="FF0000"/>
          <w:sz w:val="20"/>
          <w:szCs w:val="20"/>
          <w:u w:val="single"/>
        </w:rPr>
        <w:t>Byrd</w:t>
      </w:r>
      <w:r>
        <w:rPr>
          <w:rFonts w:ascii="Times New Roman" w:eastAsia="Times New Roman" w:hAnsi="Times New Roman" w:cs="Times New Roman"/>
          <w:color w:val="FF0000"/>
          <w:sz w:val="20"/>
          <w:szCs w:val="20"/>
          <w:u w:val="single"/>
        </w:rPr>
        <w:t xml:space="preserve"> but courts still cite both</w:t>
      </w:r>
    </w:p>
    <w:p w:rsidR="00E45F3B" w:rsidRDefault="006A3871">
      <w:pPr>
        <w:numPr>
          <w:ilvl w:val="2"/>
          <w:numId w:val="4"/>
        </w:numPr>
        <w:contextualSpacing/>
        <w:rPr>
          <w:rFonts w:ascii="Times New Roman" w:eastAsia="Times New Roman" w:hAnsi="Times New Roman" w:cs="Times New Roman"/>
          <w:sz w:val="20"/>
          <w:szCs w:val="20"/>
        </w:rPr>
      </w:pPr>
      <w:r>
        <w:rPr>
          <w:rFonts w:ascii="Times New Roman" w:eastAsia="Times New Roman" w:hAnsi="Times New Roman" w:cs="Times New Roman"/>
          <w:b/>
          <w:sz w:val="20"/>
          <w:szCs w:val="20"/>
        </w:rPr>
        <w:t>28 USC § 2072: Rules</w:t>
      </w:r>
      <w:r>
        <w:rPr>
          <w:rFonts w:ascii="Times New Roman" w:eastAsia="Times New Roman" w:hAnsi="Times New Roman" w:cs="Times New Roman"/>
          <w:b/>
          <w:sz w:val="20"/>
          <w:szCs w:val="20"/>
        </w:rPr>
        <w:t xml:space="preserve"> of Procedure and Evidence; Power to Prescribe</w:t>
      </w:r>
    </w:p>
    <w:p w:rsidR="00E45F3B" w:rsidRDefault="006A3871">
      <w:pPr>
        <w:numPr>
          <w:ilvl w:val="1"/>
          <w:numId w:val="4"/>
        </w:numPr>
        <w:contextualSpacing/>
        <w:rPr>
          <w:rFonts w:ascii="Times New Roman" w:eastAsia="Times New Roman" w:hAnsi="Times New Roman" w:cs="Times New Roman"/>
          <w:sz w:val="20"/>
          <w:szCs w:val="20"/>
        </w:rPr>
      </w:pPr>
      <w:r>
        <w:rPr>
          <w:rFonts w:ascii="Times New Roman" w:eastAsia="Times New Roman" w:hAnsi="Times New Roman" w:cs="Times New Roman"/>
          <w:sz w:val="20"/>
          <w:szCs w:val="20"/>
        </w:rPr>
        <w:t xml:space="preserve">(0) Does the state supply the governing law? </w:t>
      </w:r>
      <w:r>
        <w:rPr>
          <w:rFonts w:ascii="Times New Roman" w:eastAsia="Times New Roman" w:hAnsi="Times New Roman" w:cs="Times New Roman"/>
          <w:i/>
          <w:sz w:val="20"/>
          <w:szCs w:val="20"/>
        </w:rPr>
        <w:t xml:space="preserve">Erie </w:t>
      </w:r>
      <w:r>
        <w:rPr>
          <w:rFonts w:ascii="Times New Roman" w:eastAsia="Times New Roman" w:hAnsi="Times New Roman" w:cs="Times New Roman"/>
          <w:sz w:val="20"/>
          <w:szCs w:val="20"/>
        </w:rPr>
        <w:t xml:space="preserve">applies only if </w:t>
      </w:r>
    </w:p>
    <w:p w:rsidR="00E45F3B" w:rsidRDefault="006A3871">
      <w:pPr>
        <w:numPr>
          <w:ilvl w:val="2"/>
          <w:numId w:val="4"/>
        </w:numPr>
        <w:contextualSpacing/>
        <w:rPr>
          <w:rFonts w:ascii="Times New Roman" w:eastAsia="Times New Roman" w:hAnsi="Times New Roman" w:cs="Times New Roman"/>
          <w:sz w:val="20"/>
          <w:szCs w:val="20"/>
        </w:rPr>
      </w:pPr>
      <w:r>
        <w:rPr>
          <w:rFonts w:ascii="Times New Roman" w:eastAsia="Times New Roman" w:hAnsi="Times New Roman" w:cs="Times New Roman"/>
          <w:sz w:val="20"/>
          <w:szCs w:val="20"/>
        </w:rPr>
        <w:t xml:space="preserve">Diversity is the basis for SMJ </w:t>
      </w:r>
      <w:r>
        <w:rPr>
          <w:rFonts w:ascii="Times New Roman" w:eastAsia="Times New Roman" w:hAnsi="Times New Roman" w:cs="Times New Roman"/>
          <w:sz w:val="20"/>
          <w:szCs w:val="20"/>
          <w:u w:val="single"/>
        </w:rPr>
        <w:t>or</w:t>
      </w:r>
    </w:p>
    <w:p w:rsidR="00E45F3B" w:rsidRDefault="006A3871">
      <w:pPr>
        <w:numPr>
          <w:ilvl w:val="2"/>
          <w:numId w:val="4"/>
        </w:numPr>
        <w:contextualSpacing/>
        <w:rPr>
          <w:rFonts w:ascii="Times New Roman" w:eastAsia="Times New Roman" w:hAnsi="Times New Roman" w:cs="Times New Roman"/>
          <w:sz w:val="20"/>
          <w:szCs w:val="20"/>
        </w:rPr>
      </w:pPr>
      <w:r>
        <w:rPr>
          <w:rFonts w:ascii="Times New Roman" w:eastAsia="Times New Roman" w:hAnsi="Times New Roman" w:cs="Times New Roman"/>
          <w:sz w:val="20"/>
          <w:szCs w:val="20"/>
        </w:rPr>
        <w:t xml:space="preserve">There are state law claims in the case because of supplemental JD (either anchored to a federal question claim or a diversity claim).  The state law claims are subject to an </w:t>
      </w:r>
      <w:r>
        <w:rPr>
          <w:rFonts w:ascii="Times New Roman" w:eastAsia="Times New Roman" w:hAnsi="Times New Roman" w:cs="Times New Roman"/>
          <w:i/>
          <w:sz w:val="20"/>
          <w:szCs w:val="20"/>
        </w:rPr>
        <w:t xml:space="preserve">Erie </w:t>
      </w:r>
      <w:r>
        <w:rPr>
          <w:rFonts w:ascii="Times New Roman" w:eastAsia="Times New Roman" w:hAnsi="Times New Roman" w:cs="Times New Roman"/>
          <w:sz w:val="20"/>
          <w:szCs w:val="20"/>
        </w:rPr>
        <w:t>analysis.</w:t>
      </w:r>
    </w:p>
    <w:p w:rsidR="00E45F3B" w:rsidRDefault="006A3871">
      <w:pPr>
        <w:numPr>
          <w:ilvl w:val="1"/>
          <w:numId w:val="4"/>
        </w:numPr>
        <w:contextualSpacing/>
        <w:rPr>
          <w:rFonts w:ascii="Times New Roman" w:eastAsia="Times New Roman" w:hAnsi="Times New Roman" w:cs="Times New Roman"/>
          <w:sz w:val="20"/>
          <w:szCs w:val="20"/>
        </w:rPr>
      </w:pPr>
      <w:r>
        <w:rPr>
          <w:rFonts w:ascii="Times New Roman" w:eastAsia="Times New Roman" w:hAnsi="Times New Roman" w:cs="Times New Roman"/>
          <w:sz w:val="20"/>
          <w:szCs w:val="20"/>
        </w:rPr>
        <w:lastRenderedPageBreak/>
        <w:t xml:space="preserve">(1) Is there an </w:t>
      </w:r>
      <w:r>
        <w:rPr>
          <w:rFonts w:ascii="Times New Roman" w:eastAsia="Times New Roman" w:hAnsi="Times New Roman" w:cs="Times New Roman"/>
          <w:i/>
          <w:sz w:val="20"/>
          <w:szCs w:val="20"/>
        </w:rPr>
        <w:t xml:space="preserve">Erie </w:t>
      </w:r>
      <w:r>
        <w:rPr>
          <w:rFonts w:ascii="Times New Roman" w:eastAsia="Times New Roman" w:hAnsi="Times New Roman" w:cs="Times New Roman"/>
          <w:sz w:val="20"/>
          <w:szCs w:val="20"/>
        </w:rPr>
        <w:t>conflict?</w:t>
      </w:r>
    </w:p>
    <w:p w:rsidR="00E45F3B" w:rsidRDefault="006A3871">
      <w:pPr>
        <w:numPr>
          <w:ilvl w:val="2"/>
          <w:numId w:val="4"/>
        </w:numPr>
        <w:contextualSpacing/>
        <w:rPr>
          <w:rFonts w:ascii="Times New Roman" w:eastAsia="Times New Roman" w:hAnsi="Times New Roman" w:cs="Times New Roman"/>
          <w:sz w:val="20"/>
          <w:szCs w:val="20"/>
        </w:rPr>
      </w:pPr>
      <w:r>
        <w:rPr>
          <w:rFonts w:ascii="Times New Roman" w:eastAsia="Times New Roman" w:hAnsi="Times New Roman" w:cs="Times New Roman"/>
          <w:sz w:val="20"/>
          <w:szCs w:val="20"/>
        </w:rPr>
        <w:t>Do the state and federal rules confl</w:t>
      </w:r>
      <w:r>
        <w:rPr>
          <w:rFonts w:ascii="Times New Roman" w:eastAsia="Times New Roman" w:hAnsi="Times New Roman" w:cs="Times New Roman"/>
          <w:sz w:val="20"/>
          <w:szCs w:val="20"/>
        </w:rPr>
        <w:t>ict such that they can’t both govern the issue in the case?</w:t>
      </w:r>
    </w:p>
    <w:p w:rsidR="00E45F3B" w:rsidRDefault="006A3871">
      <w:pPr>
        <w:numPr>
          <w:ilvl w:val="2"/>
          <w:numId w:val="4"/>
        </w:numPr>
        <w:contextualSpacing/>
        <w:rPr>
          <w:rFonts w:ascii="Times New Roman" w:eastAsia="Times New Roman" w:hAnsi="Times New Roman" w:cs="Times New Roman"/>
          <w:sz w:val="20"/>
          <w:szCs w:val="20"/>
        </w:rPr>
      </w:pPr>
      <w:r>
        <w:rPr>
          <w:rFonts w:ascii="Times New Roman" w:eastAsia="Times New Roman" w:hAnsi="Times New Roman" w:cs="Times New Roman"/>
          <w:sz w:val="20"/>
          <w:szCs w:val="20"/>
        </w:rPr>
        <w:t>If yes, is it a clearly substantive issue? If yes, follow state law</w:t>
      </w:r>
    </w:p>
    <w:p w:rsidR="00E45F3B" w:rsidRDefault="006A3871">
      <w:pPr>
        <w:numPr>
          <w:ilvl w:val="2"/>
          <w:numId w:val="4"/>
        </w:numPr>
        <w:contextualSpacing/>
        <w:rPr>
          <w:rFonts w:ascii="Times New Roman" w:eastAsia="Times New Roman" w:hAnsi="Times New Roman" w:cs="Times New Roman"/>
          <w:sz w:val="20"/>
          <w:szCs w:val="20"/>
        </w:rPr>
      </w:pPr>
      <w:r>
        <w:rPr>
          <w:rFonts w:ascii="Times New Roman" w:eastAsia="Times New Roman" w:hAnsi="Times New Roman" w:cs="Times New Roman"/>
          <w:sz w:val="20"/>
          <w:szCs w:val="20"/>
        </w:rPr>
        <w:t>If it’s arguably procedural move onto (2)</w:t>
      </w:r>
    </w:p>
    <w:p w:rsidR="00E45F3B" w:rsidRDefault="006A3871">
      <w:pPr>
        <w:numPr>
          <w:ilvl w:val="1"/>
          <w:numId w:val="4"/>
        </w:numPr>
        <w:contextualSpacing/>
        <w:rPr>
          <w:rFonts w:ascii="Times New Roman" w:eastAsia="Times New Roman" w:hAnsi="Times New Roman" w:cs="Times New Roman"/>
          <w:sz w:val="20"/>
          <w:szCs w:val="20"/>
        </w:rPr>
      </w:pPr>
      <w:r>
        <w:rPr>
          <w:rFonts w:ascii="Times New Roman" w:eastAsia="Times New Roman" w:hAnsi="Times New Roman" w:cs="Times New Roman"/>
          <w:sz w:val="20"/>
          <w:szCs w:val="20"/>
        </w:rPr>
        <w:t>(2) What’s the source of the rule?</w:t>
      </w:r>
    </w:p>
    <w:p w:rsidR="00E45F3B" w:rsidRDefault="006A3871">
      <w:pPr>
        <w:numPr>
          <w:ilvl w:val="2"/>
          <w:numId w:val="4"/>
        </w:numPr>
        <w:contextualSpacing/>
        <w:rPr>
          <w:rFonts w:ascii="Times New Roman" w:eastAsia="Times New Roman" w:hAnsi="Times New Roman" w:cs="Times New Roman"/>
          <w:sz w:val="20"/>
          <w:szCs w:val="20"/>
        </w:rPr>
      </w:pPr>
      <w:r>
        <w:rPr>
          <w:rFonts w:ascii="Times New Roman" w:eastAsia="Times New Roman" w:hAnsi="Times New Roman" w:cs="Times New Roman"/>
          <w:sz w:val="20"/>
          <w:szCs w:val="20"/>
        </w:rPr>
        <w:t>Federal Constitution or federal statute?</w:t>
      </w:r>
    </w:p>
    <w:p w:rsidR="00E45F3B" w:rsidRDefault="006A3871">
      <w:pPr>
        <w:numPr>
          <w:ilvl w:val="3"/>
          <w:numId w:val="4"/>
        </w:numPr>
        <w:contextualSpacing/>
        <w:rPr>
          <w:rFonts w:ascii="Times New Roman" w:eastAsia="Times New Roman" w:hAnsi="Times New Roman" w:cs="Times New Roman"/>
          <w:sz w:val="20"/>
          <w:szCs w:val="20"/>
        </w:rPr>
      </w:pPr>
      <w:r>
        <w:rPr>
          <w:rFonts w:ascii="Times New Roman" w:eastAsia="Times New Roman" w:hAnsi="Times New Roman" w:cs="Times New Roman"/>
          <w:sz w:val="20"/>
          <w:szCs w:val="20"/>
        </w:rPr>
        <w:t>If yes, Su</w:t>
      </w:r>
      <w:r>
        <w:rPr>
          <w:rFonts w:ascii="Times New Roman" w:eastAsia="Times New Roman" w:hAnsi="Times New Roman" w:cs="Times New Roman"/>
          <w:sz w:val="20"/>
          <w:szCs w:val="20"/>
        </w:rPr>
        <w:t>premacy Clause – apply federal law</w:t>
      </w:r>
    </w:p>
    <w:p w:rsidR="00E45F3B" w:rsidRDefault="006A3871">
      <w:pPr>
        <w:numPr>
          <w:ilvl w:val="2"/>
          <w:numId w:val="4"/>
        </w:numPr>
        <w:contextualSpacing/>
        <w:rPr>
          <w:rFonts w:ascii="Times New Roman" w:eastAsia="Times New Roman" w:hAnsi="Times New Roman" w:cs="Times New Roman"/>
          <w:sz w:val="20"/>
          <w:szCs w:val="20"/>
        </w:rPr>
      </w:pPr>
      <w:r>
        <w:rPr>
          <w:rFonts w:ascii="Times New Roman" w:eastAsia="Times New Roman" w:hAnsi="Times New Roman" w:cs="Times New Roman"/>
          <w:sz w:val="20"/>
          <w:szCs w:val="20"/>
        </w:rPr>
        <w:t xml:space="preserve">Federal common law (abolished)? </w:t>
      </w:r>
    </w:p>
    <w:p w:rsidR="00E45F3B" w:rsidRDefault="006A3871">
      <w:pPr>
        <w:numPr>
          <w:ilvl w:val="3"/>
          <w:numId w:val="4"/>
        </w:numPr>
        <w:contextualSpacing/>
        <w:rPr>
          <w:rFonts w:ascii="Times New Roman" w:eastAsia="Times New Roman" w:hAnsi="Times New Roman" w:cs="Times New Roman"/>
          <w:sz w:val="20"/>
          <w:szCs w:val="20"/>
        </w:rPr>
      </w:pPr>
      <w:r>
        <w:rPr>
          <w:rFonts w:ascii="Times New Roman" w:eastAsia="Times New Roman" w:hAnsi="Times New Roman" w:cs="Times New Roman"/>
          <w:sz w:val="20"/>
          <w:szCs w:val="20"/>
        </w:rPr>
        <w:t>If yes, apply state common law</w:t>
      </w:r>
    </w:p>
    <w:p w:rsidR="00E45F3B" w:rsidRDefault="006A3871">
      <w:pPr>
        <w:numPr>
          <w:ilvl w:val="2"/>
          <w:numId w:val="4"/>
        </w:numPr>
        <w:contextualSpacing/>
        <w:rPr>
          <w:rFonts w:ascii="Times New Roman" w:eastAsia="Times New Roman" w:hAnsi="Times New Roman" w:cs="Times New Roman"/>
          <w:sz w:val="20"/>
          <w:szCs w:val="20"/>
        </w:rPr>
      </w:pPr>
      <w:r>
        <w:rPr>
          <w:rFonts w:ascii="Times New Roman" w:eastAsia="Times New Roman" w:hAnsi="Times New Roman" w:cs="Times New Roman"/>
          <w:sz w:val="20"/>
          <w:szCs w:val="20"/>
        </w:rPr>
        <w:t xml:space="preserve">Federal practice? </w:t>
      </w:r>
    </w:p>
    <w:p w:rsidR="00E45F3B" w:rsidRDefault="006A3871">
      <w:pPr>
        <w:numPr>
          <w:ilvl w:val="3"/>
          <w:numId w:val="4"/>
        </w:numPr>
        <w:contextualSpacing/>
        <w:rPr>
          <w:rFonts w:ascii="Times New Roman" w:eastAsia="Times New Roman" w:hAnsi="Times New Roman" w:cs="Times New Roman"/>
          <w:sz w:val="20"/>
          <w:szCs w:val="20"/>
        </w:rPr>
      </w:pPr>
      <w:r>
        <w:rPr>
          <w:rFonts w:ascii="Times New Roman" w:eastAsia="Times New Roman" w:hAnsi="Times New Roman" w:cs="Times New Roman"/>
          <w:sz w:val="20"/>
          <w:szCs w:val="20"/>
        </w:rPr>
        <w:t xml:space="preserve">If yes, </w:t>
      </w:r>
      <w:r>
        <w:rPr>
          <w:rFonts w:ascii="Times New Roman" w:eastAsia="Times New Roman" w:hAnsi="Times New Roman" w:cs="Times New Roman"/>
          <w:i/>
          <w:sz w:val="20"/>
          <w:szCs w:val="20"/>
        </w:rPr>
        <w:t xml:space="preserve">York </w:t>
      </w:r>
      <w:r>
        <w:rPr>
          <w:rFonts w:ascii="Times New Roman" w:eastAsia="Times New Roman" w:hAnsi="Times New Roman" w:cs="Times New Roman"/>
          <w:sz w:val="20"/>
          <w:szCs w:val="20"/>
        </w:rPr>
        <w:t>&amp;</w:t>
      </w:r>
      <w:r>
        <w:rPr>
          <w:rFonts w:ascii="Times New Roman" w:eastAsia="Times New Roman" w:hAnsi="Times New Roman" w:cs="Times New Roman"/>
          <w:i/>
          <w:sz w:val="20"/>
          <w:szCs w:val="20"/>
        </w:rPr>
        <w:t xml:space="preserve"> Byrd </w:t>
      </w:r>
      <w:r>
        <w:rPr>
          <w:rFonts w:ascii="Times New Roman" w:eastAsia="Times New Roman" w:hAnsi="Times New Roman" w:cs="Times New Roman"/>
          <w:sz w:val="20"/>
          <w:szCs w:val="20"/>
          <w:u w:val="single"/>
        </w:rPr>
        <w:t>or</w:t>
      </w:r>
      <w:r>
        <w:rPr>
          <w:rFonts w:ascii="Times New Roman" w:eastAsia="Times New Roman" w:hAnsi="Times New Roman" w:cs="Times New Roman"/>
          <w:sz w:val="20"/>
          <w:szCs w:val="20"/>
        </w:rPr>
        <w:t xml:space="preserve"> </w:t>
      </w:r>
    </w:p>
    <w:p w:rsidR="00E45F3B" w:rsidRDefault="006A3871">
      <w:pPr>
        <w:numPr>
          <w:ilvl w:val="4"/>
          <w:numId w:val="4"/>
        </w:numPr>
        <w:contextualSpacing/>
        <w:rPr>
          <w:rFonts w:ascii="Times New Roman" w:eastAsia="Times New Roman" w:hAnsi="Times New Roman" w:cs="Times New Roman"/>
          <w:sz w:val="20"/>
          <w:szCs w:val="20"/>
        </w:rPr>
      </w:pPr>
      <w:r>
        <w:rPr>
          <w:rFonts w:ascii="Times New Roman" w:eastAsia="Times New Roman" w:hAnsi="Times New Roman" w:cs="Times New Roman"/>
          <w:sz w:val="20"/>
          <w:szCs w:val="20"/>
        </w:rPr>
        <w:t>Balance outcome determinative – how likely is it that using the federal rather than state rule will affect the outcome (</w:t>
      </w:r>
      <w:r>
        <w:rPr>
          <w:rFonts w:ascii="Times New Roman" w:eastAsia="Times New Roman" w:hAnsi="Times New Roman" w:cs="Times New Roman"/>
          <w:i/>
          <w:sz w:val="20"/>
          <w:szCs w:val="20"/>
        </w:rPr>
        <w:t>York</w:t>
      </w:r>
      <w:r>
        <w:rPr>
          <w:rFonts w:ascii="Times New Roman" w:eastAsia="Times New Roman" w:hAnsi="Times New Roman" w:cs="Times New Roman"/>
          <w:sz w:val="20"/>
          <w:szCs w:val="20"/>
        </w:rPr>
        <w:t>) with state interest in use of state rule, especially the policy in favor of uniform outcomes in diversity cases and forum shopping</w:t>
      </w:r>
      <w:r>
        <w:rPr>
          <w:rFonts w:ascii="Times New Roman" w:eastAsia="Times New Roman" w:hAnsi="Times New Roman" w:cs="Times New Roman"/>
          <w:sz w:val="20"/>
          <w:szCs w:val="20"/>
        </w:rPr>
        <w:t xml:space="preserve"> with countervailing federal interest in use of federal rule (other than forum shopping, i.e. Federal housekeeping and Rule 7)</w:t>
      </w:r>
    </w:p>
    <w:p w:rsidR="00E45F3B" w:rsidRDefault="006A3871">
      <w:pPr>
        <w:numPr>
          <w:ilvl w:val="3"/>
          <w:numId w:val="4"/>
        </w:numPr>
        <w:contextualSpacing/>
        <w:rPr>
          <w:rFonts w:ascii="Times New Roman" w:eastAsia="Times New Roman" w:hAnsi="Times New Roman" w:cs="Times New Roman"/>
          <w:sz w:val="20"/>
          <w:szCs w:val="20"/>
        </w:rPr>
      </w:pPr>
      <w:r>
        <w:rPr>
          <w:rFonts w:ascii="Times New Roman" w:eastAsia="Times New Roman" w:hAnsi="Times New Roman" w:cs="Times New Roman"/>
          <w:i/>
          <w:sz w:val="20"/>
          <w:szCs w:val="20"/>
        </w:rPr>
        <w:t>Hanna 1</w:t>
      </w:r>
    </w:p>
    <w:p w:rsidR="00E45F3B" w:rsidRDefault="006A3871">
      <w:pPr>
        <w:numPr>
          <w:ilvl w:val="4"/>
          <w:numId w:val="4"/>
        </w:numPr>
        <w:contextualSpacing/>
        <w:rPr>
          <w:rFonts w:ascii="Times New Roman" w:eastAsia="Times New Roman" w:hAnsi="Times New Roman" w:cs="Times New Roman"/>
          <w:sz w:val="20"/>
          <w:szCs w:val="20"/>
        </w:rPr>
      </w:pPr>
      <w:r>
        <w:rPr>
          <w:rFonts w:ascii="Times New Roman" w:eastAsia="Times New Roman" w:hAnsi="Times New Roman" w:cs="Times New Roman"/>
          <w:sz w:val="20"/>
          <w:szCs w:val="20"/>
        </w:rPr>
        <w:t>Was use of the federal rule rather than state rule outcome-determinative when complaint filed or removal available? (perf</w:t>
      </w:r>
      <w:r>
        <w:rPr>
          <w:rFonts w:ascii="Times New Roman" w:eastAsia="Times New Roman" w:hAnsi="Times New Roman" w:cs="Times New Roman"/>
          <w:sz w:val="20"/>
          <w:szCs w:val="20"/>
        </w:rPr>
        <w:t>orm balancing test at beginning of the suit when filed or removed because that’s when the issue(s) arise)</w:t>
      </w:r>
    </w:p>
    <w:p w:rsidR="00E45F3B" w:rsidRDefault="006A3871">
      <w:pPr>
        <w:numPr>
          <w:ilvl w:val="5"/>
          <w:numId w:val="4"/>
        </w:numPr>
        <w:contextualSpacing/>
        <w:rPr>
          <w:rFonts w:ascii="Times New Roman" w:eastAsia="Times New Roman" w:hAnsi="Times New Roman" w:cs="Times New Roman"/>
          <w:sz w:val="20"/>
          <w:szCs w:val="20"/>
        </w:rPr>
      </w:pPr>
      <w:r>
        <w:rPr>
          <w:rFonts w:ascii="Times New Roman" w:eastAsia="Times New Roman" w:hAnsi="Times New Roman" w:cs="Times New Roman"/>
          <w:sz w:val="20"/>
          <w:szCs w:val="20"/>
        </w:rPr>
        <w:t>Determine by asking whether use of the federal rule promotes (1) Improper forum shopping or (2) results in inequitable administration of law (unfair d</w:t>
      </w:r>
      <w:r>
        <w:rPr>
          <w:rFonts w:ascii="Times New Roman" w:eastAsia="Times New Roman" w:hAnsi="Times New Roman" w:cs="Times New Roman"/>
          <w:sz w:val="20"/>
          <w:szCs w:val="20"/>
        </w:rPr>
        <w:t>iscrimination) depending on whether the case is in state or federal court?</w:t>
      </w:r>
    </w:p>
    <w:p w:rsidR="00E45F3B" w:rsidRDefault="006A3871">
      <w:pPr>
        <w:ind w:left="2880"/>
        <w:rPr>
          <w:rFonts w:ascii="Times New Roman" w:eastAsia="Times New Roman" w:hAnsi="Times New Roman" w:cs="Times New Roman"/>
          <w:sz w:val="20"/>
          <w:szCs w:val="20"/>
        </w:rPr>
      </w:pPr>
      <w:r>
        <w:rPr>
          <w:rFonts w:ascii="Cardo" w:eastAsia="Cardo" w:hAnsi="Cardo" w:cs="Cardo"/>
          <w:sz w:val="20"/>
          <w:szCs w:val="20"/>
        </w:rPr>
        <w:t xml:space="preserve">→ Distinguished from </w:t>
      </w:r>
      <w:r>
        <w:rPr>
          <w:rFonts w:ascii="Times New Roman" w:eastAsia="Times New Roman" w:hAnsi="Times New Roman" w:cs="Times New Roman"/>
          <w:i/>
          <w:sz w:val="20"/>
          <w:szCs w:val="20"/>
        </w:rPr>
        <w:t>York</w:t>
      </w:r>
      <w:r>
        <w:rPr>
          <w:rFonts w:ascii="Times New Roman" w:eastAsia="Times New Roman" w:hAnsi="Times New Roman" w:cs="Times New Roman"/>
          <w:sz w:val="20"/>
          <w:szCs w:val="20"/>
        </w:rPr>
        <w:t xml:space="preserve"> &amp;</w:t>
      </w:r>
      <w:r>
        <w:rPr>
          <w:rFonts w:ascii="Times New Roman" w:eastAsia="Times New Roman" w:hAnsi="Times New Roman" w:cs="Times New Roman"/>
          <w:i/>
          <w:sz w:val="20"/>
          <w:szCs w:val="20"/>
        </w:rPr>
        <w:t xml:space="preserve"> Byrd</w:t>
      </w:r>
      <w:r>
        <w:rPr>
          <w:rFonts w:ascii="Times New Roman" w:eastAsia="Times New Roman" w:hAnsi="Times New Roman" w:cs="Times New Roman"/>
          <w:sz w:val="20"/>
          <w:szCs w:val="20"/>
        </w:rPr>
        <w:t xml:space="preserve"> – (1) </w:t>
      </w:r>
      <w:r>
        <w:rPr>
          <w:rFonts w:ascii="Times New Roman" w:eastAsia="Times New Roman" w:hAnsi="Times New Roman" w:cs="Times New Roman"/>
          <w:i/>
          <w:sz w:val="20"/>
          <w:szCs w:val="20"/>
        </w:rPr>
        <w:t xml:space="preserve">Hanna 1 </w:t>
      </w:r>
      <w:r>
        <w:rPr>
          <w:rFonts w:ascii="Times New Roman" w:eastAsia="Times New Roman" w:hAnsi="Times New Roman" w:cs="Times New Roman"/>
          <w:sz w:val="20"/>
          <w:szCs w:val="20"/>
        </w:rPr>
        <w:t>doesn’t introduce federal countervailing interest, (2) time of application of forum shopping analysis</w:t>
      </w:r>
    </w:p>
    <w:p w:rsidR="00E45F3B" w:rsidRDefault="006A3871">
      <w:pPr>
        <w:ind w:left="2880"/>
        <w:rPr>
          <w:rFonts w:ascii="Times New Roman" w:eastAsia="Times New Roman" w:hAnsi="Times New Roman" w:cs="Times New Roman"/>
          <w:sz w:val="20"/>
          <w:szCs w:val="20"/>
        </w:rPr>
      </w:pPr>
      <w:r>
        <w:rPr>
          <w:rFonts w:ascii="Cardo" w:eastAsia="Cardo" w:hAnsi="Cardo" w:cs="Cardo"/>
          <w:sz w:val="20"/>
          <w:szCs w:val="20"/>
        </w:rPr>
        <w:t>→ Federal practice will most lik</w:t>
      </w:r>
      <w:r>
        <w:rPr>
          <w:rFonts w:ascii="Cardo" w:eastAsia="Cardo" w:hAnsi="Cardo" w:cs="Cardo"/>
          <w:sz w:val="20"/>
          <w:szCs w:val="20"/>
        </w:rPr>
        <w:t xml:space="preserve">ely prevail under both </w:t>
      </w:r>
      <w:r>
        <w:rPr>
          <w:rFonts w:ascii="Times New Roman" w:eastAsia="Times New Roman" w:hAnsi="Times New Roman" w:cs="Times New Roman"/>
          <w:i/>
          <w:sz w:val="20"/>
          <w:szCs w:val="20"/>
        </w:rPr>
        <w:t>Byrd</w:t>
      </w:r>
      <w:r>
        <w:rPr>
          <w:rFonts w:ascii="Times New Roman" w:eastAsia="Times New Roman" w:hAnsi="Times New Roman" w:cs="Times New Roman"/>
          <w:sz w:val="20"/>
          <w:szCs w:val="20"/>
        </w:rPr>
        <w:t xml:space="preserve"> and </w:t>
      </w:r>
      <w:r>
        <w:rPr>
          <w:rFonts w:ascii="Times New Roman" w:eastAsia="Times New Roman" w:hAnsi="Times New Roman" w:cs="Times New Roman"/>
          <w:i/>
          <w:sz w:val="20"/>
          <w:szCs w:val="20"/>
        </w:rPr>
        <w:t>Hanna</w:t>
      </w:r>
      <w:r>
        <w:rPr>
          <w:rFonts w:ascii="Times New Roman" w:eastAsia="Times New Roman" w:hAnsi="Times New Roman" w:cs="Times New Roman"/>
          <w:sz w:val="20"/>
          <w:szCs w:val="20"/>
        </w:rPr>
        <w:t xml:space="preserve"> (always apply both when applicable); making up for string of application of state law following </w:t>
      </w:r>
      <w:r>
        <w:rPr>
          <w:rFonts w:ascii="Times New Roman" w:eastAsia="Times New Roman" w:hAnsi="Times New Roman" w:cs="Times New Roman"/>
          <w:i/>
          <w:sz w:val="20"/>
          <w:szCs w:val="20"/>
        </w:rPr>
        <w:t>York</w:t>
      </w:r>
      <w:r>
        <w:rPr>
          <w:rFonts w:ascii="Times New Roman" w:eastAsia="Times New Roman" w:hAnsi="Times New Roman" w:cs="Times New Roman"/>
          <w:sz w:val="20"/>
          <w:szCs w:val="20"/>
        </w:rPr>
        <w:t>’s bright-line outcome determinative test</w:t>
      </w:r>
    </w:p>
    <w:p w:rsidR="00E45F3B" w:rsidRDefault="006A3871">
      <w:pPr>
        <w:numPr>
          <w:ilvl w:val="2"/>
          <w:numId w:val="4"/>
        </w:numPr>
        <w:contextualSpacing/>
        <w:rPr>
          <w:rFonts w:ascii="Times New Roman" w:eastAsia="Times New Roman" w:hAnsi="Times New Roman" w:cs="Times New Roman"/>
          <w:sz w:val="20"/>
          <w:szCs w:val="20"/>
        </w:rPr>
      </w:pPr>
      <w:r>
        <w:rPr>
          <w:rFonts w:ascii="Times New Roman" w:eastAsia="Times New Roman" w:hAnsi="Times New Roman" w:cs="Times New Roman"/>
          <w:sz w:val="20"/>
          <w:szCs w:val="20"/>
        </w:rPr>
        <w:t xml:space="preserve">Federal rule? </w:t>
      </w:r>
    </w:p>
    <w:p w:rsidR="00E45F3B" w:rsidRDefault="006A3871">
      <w:pPr>
        <w:numPr>
          <w:ilvl w:val="3"/>
          <w:numId w:val="4"/>
        </w:numPr>
        <w:contextualSpacing/>
        <w:rPr>
          <w:rFonts w:ascii="Times New Roman" w:eastAsia="Times New Roman" w:hAnsi="Times New Roman" w:cs="Times New Roman"/>
          <w:sz w:val="20"/>
          <w:szCs w:val="20"/>
        </w:rPr>
      </w:pPr>
      <w:r>
        <w:rPr>
          <w:rFonts w:ascii="Times New Roman" w:eastAsia="Times New Roman" w:hAnsi="Times New Roman" w:cs="Times New Roman"/>
          <w:sz w:val="20"/>
          <w:szCs w:val="20"/>
        </w:rPr>
        <w:t xml:space="preserve">If yes, </w:t>
      </w:r>
      <w:r>
        <w:rPr>
          <w:rFonts w:ascii="Times New Roman" w:eastAsia="Times New Roman" w:hAnsi="Times New Roman" w:cs="Times New Roman"/>
          <w:i/>
          <w:sz w:val="20"/>
          <w:szCs w:val="20"/>
        </w:rPr>
        <w:t xml:space="preserve">Hanna 2 </w:t>
      </w:r>
      <w:r>
        <w:rPr>
          <w:rFonts w:ascii="Times New Roman" w:eastAsia="Times New Roman" w:hAnsi="Times New Roman" w:cs="Times New Roman"/>
          <w:sz w:val="20"/>
          <w:szCs w:val="20"/>
        </w:rPr>
        <w:t>and the Rules Enabling Act</w:t>
      </w:r>
    </w:p>
    <w:p w:rsidR="00E45F3B" w:rsidRDefault="006A3871">
      <w:pPr>
        <w:numPr>
          <w:ilvl w:val="4"/>
          <w:numId w:val="4"/>
        </w:numPr>
        <w:contextualSpacing/>
        <w:rPr>
          <w:rFonts w:ascii="Times New Roman" w:eastAsia="Times New Roman" w:hAnsi="Times New Roman" w:cs="Times New Roman"/>
          <w:sz w:val="20"/>
          <w:szCs w:val="20"/>
        </w:rPr>
      </w:pPr>
      <w:r>
        <w:rPr>
          <w:rFonts w:ascii="Times New Roman" w:eastAsia="Times New Roman" w:hAnsi="Times New Roman" w:cs="Times New Roman"/>
          <w:sz w:val="20"/>
          <w:szCs w:val="20"/>
        </w:rPr>
        <w:t>Is there an applic</w:t>
      </w:r>
      <w:r>
        <w:rPr>
          <w:rFonts w:ascii="Times New Roman" w:eastAsia="Times New Roman" w:hAnsi="Times New Roman" w:cs="Times New Roman"/>
          <w:sz w:val="20"/>
          <w:szCs w:val="20"/>
        </w:rPr>
        <w:t>able Federal Rule?</w:t>
      </w:r>
    </w:p>
    <w:p w:rsidR="00E45F3B" w:rsidRDefault="006A3871">
      <w:pPr>
        <w:numPr>
          <w:ilvl w:val="4"/>
          <w:numId w:val="4"/>
        </w:numPr>
        <w:contextualSpacing/>
        <w:rPr>
          <w:rFonts w:ascii="Times New Roman" w:eastAsia="Times New Roman" w:hAnsi="Times New Roman" w:cs="Times New Roman"/>
          <w:sz w:val="20"/>
          <w:szCs w:val="20"/>
        </w:rPr>
      </w:pPr>
      <w:r>
        <w:rPr>
          <w:rFonts w:ascii="Times New Roman" w:eastAsia="Times New Roman" w:hAnsi="Times New Roman" w:cs="Times New Roman"/>
          <w:sz w:val="20"/>
          <w:szCs w:val="20"/>
        </w:rPr>
        <w:t>If yes, is it procedural within the meaning of the Rules Enabling Act</w:t>
      </w:r>
    </w:p>
    <w:p w:rsidR="00E45F3B" w:rsidRDefault="006A3871">
      <w:pPr>
        <w:numPr>
          <w:ilvl w:val="5"/>
          <w:numId w:val="4"/>
        </w:numPr>
        <w:contextualSpacing/>
        <w:rPr>
          <w:rFonts w:ascii="Times New Roman" w:eastAsia="Times New Roman" w:hAnsi="Times New Roman" w:cs="Times New Roman"/>
          <w:sz w:val="20"/>
          <w:szCs w:val="20"/>
        </w:rPr>
      </w:pPr>
      <w:r>
        <w:rPr>
          <w:rFonts w:ascii="Cardo" w:eastAsia="Cardo" w:hAnsi="Cardo" w:cs="Cardo"/>
          <w:sz w:val="20"/>
          <w:szCs w:val="20"/>
        </w:rPr>
        <w:t xml:space="preserve">Is it a “rule of practice and procedure” or does it impermissibly “abridge, enlarge, or modify any substantive right?” (if latter, then substantive) → thus far every FRCP has withstood this test, most tinkered with to withstand </w:t>
      </w:r>
    </w:p>
    <w:p w:rsidR="00E45F3B" w:rsidRDefault="006A3871">
      <w:pPr>
        <w:numPr>
          <w:ilvl w:val="4"/>
          <w:numId w:val="4"/>
        </w:numPr>
        <w:contextualSpacing/>
        <w:rPr>
          <w:rFonts w:ascii="Times New Roman" w:eastAsia="Times New Roman" w:hAnsi="Times New Roman" w:cs="Times New Roman"/>
          <w:sz w:val="20"/>
          <w:szCs w:val="20"/>
        </w:rPr>
      </w:pPr>
      <w:r>
        <w:rPr>
          <w:rFonts w:ascii="Cardo" w:eastAsia="Cardo" w:hAnsi="Cardo" w:cs="Cardo"/>
          <w:sz w:val="20"/>
          <w:szCs w:val="20"/>
        </w:rPr>
        <w:t>Is it otherwise constitutio</w:t>
      </w:r>
      <w:r>
        <w:rPr>
          <w:rFonts w:ascii="Cardo" w:eastAsia="Cardo" w:hAnsi="Cardo" w:cs="Cardo"/>
          <w:sz w:val="20"/>
          <w:szCs w:val="20"/>
        </w:rPr>
        <w:t>nal (Due Process, Equal Protection, etc.) → again, thus far every FRCP has withstood constitutionality test and moved onto (4) to apply the federal rule</w:t>
      </w:r>
    </w:p>
    <w:p w:rsidR="00E45F3B" w:rsidRDefault="006A3871">
      <w:pPr>
        <w:numPr>
          <w:ilvl w:val="4"/>
          <w:numId w:val="4"/>
        </w:numPr>
        <w:contextualSpacing/>
        <w:rPr>
          <w:rFonts w:ascii="Times New Roman" w:eastAsia="Times New Roman" w:hAnsi="Times New Roman" w:cs="Times New Roman"/>
          <w:sz w:val="20"/>
          <w:szCs w:val="20"/>
        </w:rPr>
      </w:pPr>
      <w:r>
        <w:rPr>
          <w:rFonts w:ascii="Times New Roman" w:eastAsia="Times New Roman" w:hAnsi="Times New Roman" w:cs="Times New Roman"/>
          <w:sz w:val="20"/>
          <w:szCs w:val="20"/>
        </w:rPr>
        <w:t>If yes, apply the federal rule even if it is in conflict with a state rule</w:t>
      </w:r>
    </w:p>
    <w:p w:rsidR="00E45F3B" w:rsidRDefault="006A3871">
      <w:pPr>
        <w:ind w:left="2880"/>
        <w:rPr>
          <w:rFonts w:ascii="Times New Roman" w:eastAsia="Times New Roman" w:hAnsi="Times New Roman" w:cs="Times New Roman"/>
          <w:sz w:val="20"/>
          <w:szCs w:val="20"/>
        </w:rPr>
      </w:pPr>
      <w:r>
        <w:rPr>
          <w:rFonts w:ascii="Cardo" w:eastAsia="Cardo" w:hAnsi="Cardo" w:cs="Cardo"/>
          <w:sz w:val="20"/>
          <w:szCs w:val="20"/>
        </w:rPr>
        <w:t>→ Federal rule almost always</w:t>
      </w:r>
      <w:r>
        <w:rPr>
          <w:rFonts w:ascii="Cardo" w:eastAsia="Cardo" w:hAnsi="Cardo" w:cs="Cardo"/>
          <w:sz w:val="20"/>
          <w:szCs w:val="20"/>
        </w:rPr>
        <w:t xml:space="preserve"> going to prevail under </w:t>
      </w:r>
      <w:r>
        <w:rPr>
          <w:rFonts w:ascii="Times New Roman" w:eastAsia="Times New Roman" w:hAnsi="Times New Roman" w:cs="Times New Roman"/>
          <w:i/>
          <w:sz w:val="20"/>
          <w:szCs w:val="20"/>
        </w:rPr>
        <w:t>Hanna 2</w:t>
      </w:r>
    </w:p>
    <w:sectPr w:rsidR="00E45F3B">
      <w:footerReference w:type="default" r:id="rId7"/>
      <w:pgSz w:w="12240" w:h="15840"/>
      <w:pgMar w:top="720" w:right="1080" w:bottom="720" w:left="1080" w:header="0" w:footer="720" w:gutter="0"/>
      <w:pgNumType w:start="1"/>
      <w:cols w:space="72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endnote w:type="separator" w:id="-1">
    <w:p w:rsidR="006A3871" w:rsidRDefault="006A3871">
      <w:pPr>
        <w:spacing w:line="240" w:lineRule="auto"/>
      </w:pPr>
      <w:r>
        <w:separator/>
      </w:r>
    </w:p>
  </w:endnote>
  <w:endnote w:type="continuationSeparator" w:id="0">
    <w:p w:rsidR="006A3871" w:rsidRDefault="006A3871">
      <w:pPr>
        <w:spacing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font w:name="Times New Roman">
    <w:panose1 w:val="02020603050405020304"/>
    <w:charset w:val="00"/>
    <w:family w:val="roman"/>
    <w:pitch w:val="variable"/>
    <w:sig w:usb0="20002A87" w:usb1="80000000" w:usb2="00000008" w:usb3="00000000" w:csb0="000001FF" w:csb1="00000000"/>
  </w:font>
  <w:font w:name="Arial">
    <w:panose1 w:val="020B0604020202020204"/>
    <w:charset w:val="00"/>
    <w:family w:val="swiss"/>
    <w:pitch w:val="variable"/>
    <w:sig w:usb0="E0002AFF" w:usb1="C0007843" w:usb2="00000009" w:usb3="00000000" w:csb0="000001FF" w:csb1="00000000"/>
  </w:font>
  <w:font w:name="Cardo">
    <w:altName w:val="Calibri"/>
    <w:panose1 w:val="020B0604020202020204"/>
    <w:charset w:val="00"/>
    <w:family w:val="auto"/>
    <w:pitch w:val="default"/>
  </w:font>
  <w:font w:name="Calibri">
    <w:panose1 w:val="020F0502020204030204"/>
    <w:charset w:val="00"/>
    <w:family w:val="swiss"/>
    <w:pitch w:val="variable"/>
    <w:sig w:usb0="E0002AFF" w:usb1="C000247B" w:usb2="00000009" w:usb3="00000000" w:csb0="000001FF" w:csb1="00000000"/>
  </w:font>
  <w:font w:name="Cambria">
    <w:panose1 w:val="02040503050406030204"/>
    <w:charset w:val="00"/>
    <w:family w:val="roman"/>
    <w:pitch w:val="variable"/>
    <w:sig w:usb0="E00002FF" w:usb1="400004FF" w:usb2="00000000" w:usb3="00000000" w:csb0="000001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rsidR="00E45F3B" w:rsidRDefault="006A3871">
    <w:pPr>
      <w:jc w:val="center"/>
      <w:rPr>
        <w:rFonts w:ascii="Times New Roman" w:eastAsia="Times New Roman" w:hAnsi="Times New Roman" w:cs="Times New Roman"/>
        <w:sz w:val="24"/>
        <w:szCs w:val="24"/>
      </w:rPr>
    </w:pPr>
    <w:r>
      <w:rPr>
        <w:rFonts w:ascii="Times New Roman" w:eastAsia="Times New Roman" w:hAnsi="Times New Roman" w:cs="Times New Roman"/>
        <w:sz w:val="24"/>
        <w:szCs w:val="24"/>
      </w:rPr>
      <w:fldChar w:fldCharType="begin"/>
    </w:r>
    <w:r>
      <w:rPr>
        <w:rFonts w:ascii="Times New Roman" w:eastAsia="Times New Roman" w:hAnsi="Times New Roman" w:cs="Times New Roman"/>
        <w:sz w:val="24"/>
        <w:szCs w:val="24"/>
      </w:rPr>
      <w:instrText>PAGE</w:instrText>
    </w:r>
    <w:r w:rsidR="00C56FE3">
      <w:rPr>
        <w:rFonts w:ascii="Times New Roman" w:eastAsia="Times New Roman" w:hAnsi="Times New Roman" w:cs="Times New Roman"/>
        <w:sz w:val="24"/>
        <w:szCs w:val="24"/>
      </w:rPr>
      <w:fldChar w:fldCharType="separate"/>
    </w:r>
    <w:r w:rsidR="00C56FE3">
      <w:rPr>
        <w:rFonts w:ascii="Times New Roman" w:eastAsia="Times New Roman" w:hAnsi="Times New Roman" w:cs="Times New Roman"/>
        <w:noProof/>
        <w:sz w:val="24"/>
        <w:szCs w:val="24"/>
      </w:rPr>
      <w:t>1</w:t>
    </w:r>
    <w:r>
      <w:rPr>
        <w:rFonts w:ascii="Times New Roman" w:eastAsia="Times New Roman" w:hAnsi="Times New Roman" w:cs="Times New Roman"/>
        <w:sz w:val="24"/>
        <w:szCs w:val="24"/>
      </w:rPr>
      <w:fldChar w:fldCharType="end"/>
    </w: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footnote w:type="separator" w:id="-1">
    <w:p w:rsidR="006A3871" w:rsidRDefault="006A3871">
      <w:pPr>
        <w:spacing w:line="240" w:lineRule="auto"/>
      </w:pPr>
      <w:r>
        <w:separator/>
      </w:r>
    </w:p>
  </w:footnote>
  <w:footnote w:type="continuationSeparator" w:id="0">
    <w:p w:rsidR="006A3871" w:rsidRDefault="006A3871">
      <w:pPr>
        <w:spacing w:line="240" w:lineRule="auto"/>
      </w:pPr>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abstractNum w:abstractNumId="0" w15:restartNumberingAfterBreak="0">
    <w:nsid w:val="17E56943"/>
    <w:multiLevelType w:val="multilevel"/>
    <w:tmpl w:val="06540378"/>
    <w:lvl w:ilvl="0">
      <w:start w:val="1"/>
      <w:numFmt w:val="upperRoman"/>
      <w:lvlText w:val="%1."/>
      <w:lvlJc w:val="right"/>
      <w:pPr>
        <w:ind w:left="720" w:hanging="360"/>
      </w:pPr>
      <w:rPr>
        <w:u w:val="none"/>
      </w:rPr>
    </w:lvl>
    <w:lvl w:ilvl="1">
      <w:start w:val="1"/>
      <w:numFmt w:val="upperLetter"/>
      <w:lvlText w:val="%2."/>
      <w:lvlJc w:val="left"/>
      <w:pPr>
        <w:ind w:left="1440" w:hanging="360"/>
      </w:pPr>
      <w:rPr>
        <w:b w:val="0"/>
        <w:i w:val="0"/>
        <w:color w:val="000000"/>
        <w:u w:val="none"/>
      </w:rPr>
    </w:lvl>
    <w:lvl w:ilvl="2">
      <w:start w:val="1"/>
      <w:numFmt w:val="decimal"/>
      <w:lvlText w:val="%3."/>
      <w:lvlJc w:val="left"/>
      <w:pPr>
        <w:ind w:left="2160" w:hanging="360"/>
      </w:pPr>
      <w:rPr>
        <w:color w:val="000000"/>
        <w:u w:val="none"/>
      </w:rPr>
    </w:lvl>
    <w:lvl w:ilvl="3">
      <w:start w:val="1"/>
      <w:numFmt w:val="lowerLetter"/>
      <w:lvlText w:val="%4)"/>
      <w:lvlJc w:val="left"/>
      <w:pPr>
        <w:ind w:left="2880" w:hanging="360"/>
      </w:pPr>
      <w:rPr>
        <w:u w:val="none"/>
      </w:rPr>
    </w:lvl>
    <w:lvl w:ilvl="4">
      <w:start w:val="1"/>
      <w:numFmt w:val="decimal"/>
      <w:lvlText w:val="(%5)"/>
      <w:lvlJc w:val="left"/>
      <w:pPr>
        <w:ind w:left="3600" w:hanging="360"/>
      </w:pPr>
      <w:rPr>
        <w:u w:val="none"/>
      </w:rPr>
    </w:lvl>
    <w:lvl w:ilvl="5">
      <w:start w:val="1"/>
      <w:numFmt w:val="lowerLetter"/>
      <w:lvlText w:val="(%6)"/>
      <w:lvlJc w:val="left"/>
      <w:pPr>
        <w:ind w:left="4320" w:hanging="360"/>
      </w:pPr>
      <w:rPr>
        <w:u w:val="none"/>
      </w:rPr>
    </w:lvl>
    <w:lvl w:ilvl="6">
      <w:start w:val="1"/>
      <w:numFmt w:val="lowerRoman"/>
      <w:lvlText w:val="(%7)"/>
      <w:lvlJc w:val="right"/>
      <w:pPr>
        <w:ind w:left="5040" w:hanging="360"/>
      </w:pPr>
      <w:rPr>
        <w:u w:val="none"/>
      </w:rPr>
    </w:lvl>
    <w:lvl w:ilvl="7">
      <w:start w:val="1"/>
      <w:numFmt w:val="lowerLetter"/>
      <w:lvlText w:val="(%8)"/>
      <w:lvlJc w:val="left"/>
      <w:pPr>
        <w:ind w:left="5760" w:hanging="360"/>
      </w:pPr>
      <w:rPr>
        <w:u w:val="none"/>
      </w:rPr>
    </w:lvl>
    <w:lvl w:ilvl="8">
      <w:start w:val="1"/>
      <w:numFmt w:val="lowerRoman"/>
      <w:lvlText w:val="(%9)"/>
      <w:lvlJc w:val="right"/>
      <w:pPr>
        <w:ind w:left="6480" w:hanging="360"/>
      </w:pPr>
      <w:rPr>
        <w:u w:val="none"/>
      </w:rPr>
    </w:lvl>
  </w:abstractNum>
  <w:abstractNum w:abstractNumId="1" w15:restartNumberingAfterBreak="0">
    <w:nsid w:val="1EB13085"/>
    <w:multiLevelType w:val="multilevel"/>
    <w:tmpl w:val="3E78DF8C"/>
    <w:lvl w:ilvl="0">
      <w:start w:val="1"/>
      <w:numFmt w:val="upperRoman"/>
      <w:lvlText w:val="%1."/>
      <w:lvlJc w:val="right"/>
      <w:pPr>
        <w:ind w:left="720" w:hanging="360"/>
      </w:pPr>
      <w:rPr>
        <w:u w:val="none"/>
      </w:rPr>
    </w:lvl>
    <w:lvl w:ilvl="1">
      <w:start w:val="1"/>
      <w:numFmt w:val="upperLetter"/>
      <w:lvlText w:val="%2."/>
      <w:lvlJc w:val="left"/>
      <w:pPr>
        <w:ind w:left="1440" w:hanging="360"/>
      </w:pPr>
      <w:rPr>
        <w:b w:val="0"/>
        <w:i w:val="0"/>
        <w:color w:val="000000"/>
        <w:u w:val="none"/>
      </w:rPr>
    </w:lvl>
    <w:lvl w:ilvl="2">
      <w:start w:val="1"/>
      <w:numFmt w:val="decimal"/>
      <w:lvlText w:val="%3."/>
      <w:lvlJc w:val="left"/>
      <w:pPr>
        <w:ind w:left="2160" w:hanging="360"/>
      </w:pPr>
      <w:rPr>
        <w:u w:val="none"/>
      </w:rPr>
    </w:lvl>
    <w:lvl w:ilvl="3">
      <w:start w:val="1"/>
      <w:numFmt w:val="lowerLetter"/>
      <w:lvlText w:val="%4)"/>
      <w:lvlJc w:val="left"/>
      <w:pPr>
        <w:ind w:left="2880" w:hanging="360"/>
      </w:pPr>
      <w:rPr>
        <w:u w:val="none"/>
      </w:rPr>
    </w:lvl>
    <w:lvl w:ilvl="4">
      <w:start w:val="1"/>
      <w:numFmt w:val="decimal"/>
      <w:lvlText w:val="(%5)"/>
      <w:lvlJc w:val="left"/>
      <w:pPr>
        <w:ind w:left="3600" w:hanging="360"/>
      </w:pPr>
      <w:rPr>
        <w:u w:val="none"/>
      </w:rPr>
    </w:lvl>
    <w:lvl w:ilvl="5">
      <w:start w:val="1"/>
      <w:numFmt w:val="lowerLetter"/>
      <w:lvlText w:val="(%6)"/>
      <w:lvlJc w:val="left"/>
      <w:pPr>
        <w:ind w:left="4320" w:hanging="360"/>
      </w:pPr>
      <w:rPr>
        <w:u w:val="none"/>
      </w:rPr>
    </w:lvl>
    <w:lvl w:ilvl="6">
      <w:start w:val="1"/>
      <w:numFmt w:val="lowerRoman"/>
      <w:lvlText w:val="(%7)"/>
      <w:lvlJc w:val="right"/>
      <w:pPr>
        <w:ind w:left="5040" w:hanging="360"/>
      </w:pPr>
      <w:rPr>
        <w:u w:val="none"/>
      </w:rPr>
    </w:lvl>
    <w:lvl w:ilvl="7">
      <w:start w:val="1"/>
      <w:numFmt w:val="lowerLetter"/>
      <w:lvlText w:val="(%8)"/>
      <w:lvlJc w:val="left"/>
      <w:pPr>
        <w:ind w:left="5760" w:hanging="360"/>
      </w:pPr>
      <w:rPr>
        <w:u w:val="none"/>
      </w:rPr>
    </w:lvl>
    <w:lvl w:ilvl="8">
      <w:start w:val="1"/>
      <w:numFmt w:val="lowerRoman"/>
      <w:lvlText w:val="(%9)"/>
      <w:lvlJc w:val="right"/>
      <w:pPr>
        <w:ind w:left="6480" w:hanging="360"/>
      </w:pPr>
      <w:rPr>
        <w:u w:val="none"/>
      </w:rPr>
    </w:lvl>
  </w:abstractNum>
  <w:abstractNum w:abstractNumId="2" w15:restartNumberingAfterBreak="0">
    <w:nsid w:val="2AF95DEA"/>
    <w:multiLevelType w:val="multilevel"/>
    <w:tmpl w:val="52969B20"/>
    <w:lvl w:ilvl="0">
      <w:start w:val="1"/>
      <w:numFmt w:val="upperRoman"/>
      <w:lvlText w:val="%1."/>
      <w:lvlJc w:val="right"/>
      <w:pPr>
        <w:ind w:left="720" w:hanging="360"/>
      </w:pPr>
      <w:rPr>
        <w:u w:val="none"/>
      </w:rPr>
    </w:lvl>
    <w:lvl w:ilvl="1">
      <w:start w:val="1"/>
      <w:numFmt w:val="upperLetter"/>
      <w:lvlText w:val="%2."/>
      <w:lvlJc w:val="left"/>
      <w:pPr>
        <w:ind w:left="1440" w:hanging="360"/>
      </w:pPr>
      <w:rPr>
        <w:b w:val="0"/>
        <w:i w:val="0"/>
        <w:color w:val="000000"/>
        <w:u w:val="none"/>
      </w:rPr>
    </w:lvl>
    <w:lvl w:ilvl="2">
      <w:start w:val="1"/>
      <w:numFmt w:val="decimal"/>
      <w:lvlText w:val="%3."/>
      <w:lvlJc w:val="left"/>
      <w:pPr>
        <w:ind w:left="2160" w:hanging="360"/>
      </w:pPr>
      <w:rPr>
        <w:i w:val="0"/>
        <w:color w:val="000000"/>
        <w:u w:val="none"/>
      </w:rPr>
    </w:lvl>
    <w:lvl w:ilvl="3">
      <w:start w:val="1"/>
      <w:numFmt w:val="lowerLetter"/>
      <w:lvlText w:val="%4)"/>
      <w:lvlJc w:val="left"/>
      <w:pPr>
        <w:ind w:left="2880" w:hanging="360"/>
      </w:pPr>
      <w:rPr>
        <w:u w:val="none"/>
      </w:rPr>
    </w:lvl>
    <w:lvl w:ilvl="4">
      <w:start w:val="1"/>
      <w:numFmt w:val="decimal"/>
      <w:lvlText w:val="(%5)"/>
      <w:lvlJc w:val="left"/>
      <w:pPr>
        <w:ind w:left="3600" w:hanging="360"/>
      </w:pPr>
      <w:rPr>
        <w:i w:val="0"/>
        <w:u w:val="none"/>
      </w:rPr>
    </w:lvl>
    <w:lvl w:ilvl="5">
      <w:start w:val="1"/>
      <w:numFmt w:val="lowerLetter"/>
      <w:lvlText w:val="(%6)"/>
      <w:lvlJc w:val="left"/>
      <w:pPr>
        <w:ind w:left="4320" w:hanging="360"/>
      </w:pPr>
      <w:rPr>
        <w:u w:val="none"/>
      </w:rPr>
    </w:lvl>
    <w:lvl w:ilvl="6">
      <w:start w:val="1"/>
      <w:numFmt w:val="lowerRoman"/>
      <w:lvlText w:val="(%7)"/>
      <w:lvlJc w:val="right"/>
      <w:pPr>
        <w:ind w:left="5040" w:hanging="360"/>
      </w:pPr>
      <w:rPr>
        <w:u w:val="none"/>
      </w:rPr>
    </w:lvl>
    <w:lvl w:ilvl="7">
      <w:start w:val="1"/>
      <w:numFmt w:val="lowerLetter"/>
      <w:lvlText w:val="(%8)"/>
      <w:lvlJc w:val="left"/>
      <w:pPr>
        <w:ind w:left="5760" w:hanging="360"/>
      </w:pPr>
      <w:rPr>
        <w:u w:val="none"/>
      </w:rPr>
    </w:lvl>
    <w:lvl w:ilvl="8">
      <w:start w:val="1"/>
      <w:numFmt w:val="lowerRoman"/>
      <w:lvlText w:val="(%9)"/>
      <w:lvlJc w:val="right"/>
      <w:pPr>
        <w:ind w:left="6480" w:hanging="360"/>
      </w:pPr>
      <w:rPr>
        <w:u w:val="none"/>
      </w:rPr>
    </w:lvl>
  </w:abstractNum>
  <w:abstractNum w:abstractNumId="3" w15:restartNumberingAfterBreak="0">
    <w:nsid w:val="3D2E5C9F"/>
    <w:multiLevelType w:val="multilevel"/>
    <w:tmpl w:val="08F295C4"/>
    <w:lvl w:ilvl="0">
      <w:start w:val="1"/>
      <w:numFmt w:val="upperRoman"/>
      <w:lvlText w:val="%1."/>
      <w:lvlJc w:val="right"/>
      <w:pPr>
        <w:ind w:left="720" w:hanging="360"/>
      </w:pPr>
      <w:rPr>
        <w:b w:val="0"/>
        <w:i w:val="0"/>
        <w:color w:val="000000"/>
        <w:u w:val="none"/>
      </w:rPr>
    </w:lvl>
    <w:lvl w:ilvl="1">
      <w:start w:val="1"/>
      <w:numFmt w:val="upperLetter"/>
      <w:lvlText w:val="%2."/>
      <w:lvlJc w:val="left"/>
      <w:pPr>
        <w:ind w:left="1440" w:hanging="360"/>
      </w:pPr>
      <w:rPr>
        <w:b w:val="0"/>
        <w:i w:val="0"/>
        <w:color w:val="000000"/>
        <w:u w:val="none"/>
      </w:rPr>
    </w:lvl>
    <w:lvl w:ilvl="2">
      <w:start w:val="1"/>
      <w:numFmt w:val="decimal"/>
      <w:lvlText w:val="%3."/>
      <w:lvlJc w:val="left"/>
      <w:pPr>
        <w:ind w:left="2160" w:hanging="360"/>
      </w:pPr>
      <w:rPr>
        <w:i w:val="0"/>
        <w:color w:val="000000"/>
        <w:u w:val="none"/>
      </w:rPr>
    </w:lvl>
    <w:lvl w:ilvl="3">
      <w:start w:val="1"/>
      <w:numFmt w:val="lowerLetter"/>
      <w:lvlText w:val="%4)"/>
      <w:lvlJc w:val="left"/>
      <w:pPr>
        <w:ind w:left="2880" w:hanging="360"/>
      </w:pPr>
      <w:rPr>
        <w:u w:val="none"/>
      </w:rPr>
    </w:lvl>
    <w:lvl w:ilvl="4">
      <w:start w:val="1"/>
      <w:numFmt w:val="decimal"/>
      <w:lvlText w:val="(%5)"/>
      <w:lvlJc w:val="left"/>
      <w:pPr>
        <w:ind w:left="3600" w:hanging="360"/>
      </w:pPr>
      <w:rPr>
        <w:u w:val="none"/>
      </w:rPr>
    </w:lvl>
    <w:lvl w:ilvl="5">
      <w:start w:val="1"/>
      <w:numFmt w:val="lowerLetter"/>
      <w:lvlText w:val="(%6)"/>
      <w:lvlJc w:val="left"/>
      <w:pPr>
        <w:ind w:left="4320" w:hanging="360"/>
      </w:pPr>
      <w:rPr>
        <w:u w:val="none"/>
      </w:rPr>
    </w:lvl>
    <w:lvl w:ilvl="6">
      <w:start w:val="1"/>
      <w:numFmt w:val="lowerRoman"/>
      <w:lvlText w:val="(%7)"/>
      <w:lvlJc w:val="right"/>
      <w:pPr>
        <w:ind w:left="5040" w:hanging="360"/>
      </w:pPr>
      <w:rPr>
        <w:u w:val="none"/>
      </w:rPr>
    </w:lvl>
    <w:lvl w:ilvl="7">
      <w:start w:val="1"/>
      <w:numFmt w:val="lowerLetter"/>
      <w:lvlText w:val="(%8)"/>
      <w:lvlJc w:val="left"/>
      <w:pPr>
        <w:ind w:left="5760" w:hanging="360"/>
      </w:pPr>
      <w:rPr>
        <w:u w:val="none"/>
      </w:rPr>
    </w:lvl>
    <w:lvl w:ilvl="8">
      <w:start w:val="1"/>
      <w:numFmt w:val="lowerRoman"/>
      <w:lvlText w:val="(%9)"/>
      <w:lvlJc w:val="right"/>
      <w:pPr>
        <w:ind w:left="6480" w:hanging="360"/>
      </w:pPr>
      <w:rPr>
        <w:u w:val="none"/>
      </w:rPr>
    </w:lvl>
  </w:abstractNum>
  <w:abstractNum w:abstractNumId="4" w15:restartNumberingAfterBreak="0">
    <w:nsid w:val="40356DB2"/>
    <w:multiLevelType w:val="multilevel"/>
    <w:tmpl w:val="1882B3D0"/>
    <w:lvl w:ilvl="0">
      <w:start w:val="1"/>
      <w:numFmt w:val="upperRoman"/>
      <w:lvlText w:val="%1."/>
      <w:lvlJc w:val="right"/>
      <w:pPr>
        <w:ind w:left="720" w:hanging="360"/>
      </w:pPr>
      <w:rPr>
        <w:u w:val="none"/>
      </w:rPr>
    </w:lvl>
    <w:lvl w:ilvl="1">
      <w:start w:val="1"/>
      <w:numFmt w:val="upperLetter"/>
      <w:lvlText w:val="%2."/>
      <w:lvlJc w:val="left"/>
      <w:pPr>
        <w:ind w:left="1440" w:hanging="360"/>
      </w:pPr>
      <w:rPr>
        <w:i w:val="0"/>
        <w:color w:val="000000"/>
        <w:u w:val="none"/>
      </w:rPr>
    </w:lvl>
    <w:lvl w:ilvl="2">
      <w:start w:val="1"/>
      <w:numFmt w:val="decimal"/>
      <w:lvlText w:val="%3."/>
      <w:lvlJc w:val="left"/>
      <w:pPr>
        <w:ind w:left="2160" w:hanging="360"/>
      </w:pPr>
      <w:rPr>
        <w:b w:val="0"/>
        <w:i w:val="0"/>
        <w:color w:val="000000"/>
        <w:u w:val="none"/>
      </w:rPr>
    </w:lvl>
    <w:lvl w:ilvl="3">
      <w:start w:val="1"/>
      <w:numFmt w:val="lowerLetter"/>
      <w:lvlText w:val="%4)"/>
      <w:lvlJc w:val="left"/>
      <w:pPr>
        <w:ind w:left="2880" w:hanging="360"/>
      </w:pPr>
      <w:rPr>
        <w:u w:val="none"/>
      </w:rPr>
    </w:lvl>
    <w:lvl w:ilvl="4">
      <w:start w:val="1"/>
      <w:numFmt w:val="decimal"/>
      <w:lvlText w:val="(%5)"/>
      <w:lvlJc w:val="left"/>
      <w:pPr>
        <w:ind w:left="3600" w:hanging="360"/>
      </w:pPr>
      <w:rPr>
        <w:u w:val="none"/>
      </w:rPr>
    </w:lvl>
    <w:lvl w:ilvl="5">
      <w:start w:val="1"/>
      <w:numFmt w:val="lowerLetter"/>
      <w:lvlText w:val="(%6)"/>
      <w:lvlJc w:val="left"/>
      <w:pPr>
        <w:ind w:left="4320" w:hanging="360"/>
      </w:pPr>
      <w:rPr>
        <w:u w:val="none"/>
      </w:rPr>
    </w:lvl>
    <w:lvl w:ilvl="6">
      <w:start w:val="1"/>
      <w:numFmt w:val="lowerRoman"/>
      <w:lvlText w:val="(%7)"/>
      <w:lvlJc w:val="right"/>
      <w:pPr>
        <w:ind w:left="5040" w:hanging="360"/>
      </w:pPr>
      <w:rPr>
        <w:u w:val="none"/>
      </w:rPr>
    </w:lvl>
    <w:lvl w:ilvl="7">
      <w:start w:val="1"/>
      <w:numFmt w:val="lowerLetter"/>
      <w:lvlText w:val="(%8)"/>
      <w:lvlJc w:val="left"/>
      <w:pPr>
        <w:ind w:left="5760" w:hanging="360"/>
      </w:pPr>
      <w:rPr>
        <w:u w:val="none"/>
      </w:rPr>
    </w:lvl>
    <w:lvl w:ilvl="8">
      <w:start w:val="1"/>
      <w:numFmt w:val="lowerRoman"/>
      <w:lvlText w:val="(%9)"/>
      <w:lvlJc w:val="right"/>
      <w:pPr>
        <w:ind w:left="6480" w:hanging="360"/>
      </w:pPr>
      <w:rPr>
        <w:u w:val="none"/>
      </w:rPr>
    </w:lvl>
  </w:abstractNum>
  <w:abstractNum w:abstractNumId="5" w15:restartNumberingAfterBreak="0">
    <w:nsid w:val="640904D2"/>
    <w:multiLevelType w:val="multilevel"/>
    <w:tmpl w:val="2E385EDC"/>
    <w:lvl w:ilvl="0">
      <w:start w:val="1"/>
      <w:numFmt w:val="upperRoman"/>
      <w:lvlText w:val="%1."/>
      <w:lvlJc w:val="right"/>
      <w:pPr>
        <w:ind w:left="720" w:hanging="360"/>
      </w:pPr>
      <w:rPr>
        <w:b w:val="0"/>
        <w:i w:val="0"/>
        <w:color w:val="000000"/>
        <w:u w:val="none"/>
      </w:rPr>
    </w:lvl>
    <w:lvl w:ilvl="1">
      <w:start w:val="1"/>
      <w:numFmt w:val="upperLetter"/>
      <w:lvlText w:val="%2."/>
      <w:lvlJc w:val="left"/>
      <w:pPr>
        <w:ind w:left="1440" w:hanging="360"/>
      </w:pPr>
      <w:rPr>
        <w:u w:val="none"/>
      </w:rPr>
    </w:lvl>
    <w:lvl w:ilvl="2">
      <w:start w:val="1"/>
      <w:numFmt w:val="decimal"/>
      <w:lvlText w:val="%3."/>
      <w:lvlJc w:val="left"/>
      <w:pPr>
        <w:ind w:left="2160" w:hanging="360"/>
      </w:pPr>
      <w:rPr>
        <w:u w:val="none"/>
      </w:rPr>
    </w:lvl>
    <w:lvl w:ilvl="3">
      <w:start w:val="1"/>
      <w:numFmt w:val="lowerLetter"/>
      <w:lvlText w:val="%4)"/>
      <w:lvlJc w:val="left"/>
      <w:pPr>
        <w:ind w:left="2880" w:hanging="360"/>
      </w:pPr>
      <w:rPr>
        <w:u w:val="none"/>
      </w:rPr>
    </w:lvl>
    <w:lvl w:ilvl="4">
      <w:start w:val="1"/>
      <w:numFmt w:val="decimal"/>
      <w:lvlText w:val="(%5)"/>
      <w:lvlJc w:val="left"/>
      <w:pPr>
        <w:ind w:left="3600" w:hanging="360"/>
      </w:pPr>
      <w:rPr>
        <w:u w:val="none"/>
      </w:rPr>
    </w:lvl>
    <w:lvl w:ilvl="5">
      <w:start w:val="1"/>
      <w:numFmt w:val="lowerLetter"/>
      <w:lvlText w:val="(%6)"/>
      <w:lvlJc w:val="left"/>
      <w:pPr>
        <w:ind w:left="4320" w:hanging="360"/>
      </w:pPr>
      <w:rPr>
        <w:u w:val="none"/>
      </w:rPr>
    </w:lvl>
    <w:lvl w:ilvl="6">
      <w:start w:val="1"/>
      <w:numFmt w:val="lowerRoman"/>
      <w:lvlText w:val="(%7)"/>
      <w:lvlJc w:val="right"/>
      <w:pPr>
        <w:ind w:left="5040" w:hanging="360"/>
      </w:pPr>
      <w:rPr>
        <w:u w:val="none"/>
      </w:rPr>
    </w:lvl>
    <w:lvl w:ilvl="7">
      <w:start w:val="1"/>
      <w:numFmt w:val="lowerLetter"/>
      <w:lvlText w:val="(%8)"/>
      <w:lvlJc w:val="left"/>
      <w:pPr>
        <w:ind w:left="5760" w:hanging="360"/>
      </w:pPr>
      <w:rPr>
        <w:u w:val="none"/>
      </w:rPr>
    </w:lvl>
    <w:lvl w:ilvl="8">
      <w:start w:val="1"/>
      <w:numFmt w:val="lowerRoman"/>
      <w:lvlText w:val="(%9)"/>
      <w:lvlJc w:val="right"/>
      <w:pPr>
        <w:ind w:left="6480" w:hanging="360"/>
      </w:pPr>
      <w:rPr>
        <w:u w:val="none"/>
      </w:rPr>
    </w:lvl>
  </w:abstractNum>
  <w:num w:numId="1">
    <w:abstractNumId w:val="1"/>
  </w:num>
  <w:num w:numId="2">
    <w:abstractNumId w:val="3"/>
  </w:num>
  <w:num w:numId="3">
    <w:abstractNumId w:val="0"/>
  </w:num>
  <w:num w:numId="4">
    <w:abstractNumId w:val="2"/>
  </w:num>
  <w:num w:numId="5">
    <w:abstractNumId w:val="4"/>
  </w:num>
  <w:num w:numId="6">
    <w:abstractNumId w:val="5"/>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sl="http://schemas.openxmlformats.org/schemaLibrary/2006/main" mc:Ignorable="w14 w15 w16se w16cid">
  <w:zoom w:percent="120"/>
  <w:defaultTabStop w:val="720"/>
  <w:characterSpacingControl w:val="doNotCompress"/>
  <w:footnotePr>
    <w:footnote w:id="-1"/>
    <w:footnote w:id="0"/>
  </w:footnotePr>
  <w:endnotePr>
    <w:endnote w:id="-1"/>
    <w:endnote w:id="0"/>
  </w:endnotePr>
  <w:compat>
    <w:compatSetting w:name="compatibilityMode" w:uri="http://schemas.microsoft.com/office/word" w:val="14"/>
    <w:compatSetting w:name="useWord2013TrackBottomHyphenation" w:uri="http://schemas.microsoft.com/office/word" w:val="1"/>
  </w:compat>
  <w:rsids>
    <w:rsidRoot w:val="00E45F3B"/>
    <w:rsid w:val="006A3871"/>
    <w:rsid w:val="00C56FE3"/>
    <w:rsid w:val="00E45F3B"/>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decimalSymbol w:val="."/>
  <w:listSeparator w:val=","/>
  <w14:docId w14:val="20807DEA"/>
  <w15:docId w15:val="{01B5FBCB-5EDC-544F-A450-AEFC260E84F0}"/>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ocDefaults>
    <w:rPrDefault>
      <w:rPr>
        <w:rFonts w:ascii="Arial" w:eastAsia="Arial" w:hAnsi="Arial" w:cs="Arial"/>
        <w:color w:val="000000"/>
        <w:sz w:val="22"/>
        <w:szCs w:val="22"/>
        <w:lang w:val="en" w:eastAsia="en-US" w:bidi="ar-SA"/>
      </w:rPr>
    </w:rPrDefault>
    <w:pPrDefault>
      <w:pPr>
        <w:pBdr>
          <w:top w:val="nil"/>
          <w:left w:val="nil"/>
          <w:bottom w:val="nil"/>
          <w:right w:val="nil"/>
          <w:between w:val="nil"/>
        </w:pBdr>
        <w:spacing w:line="276" w:lineRule="auto"/>
      </w:pPr>
    </w:pPrDefault>
  </w:docDefaults>
  <w:latentStyles w:defLockedState="0" w:defUIPriority="99" w:defSemiHidden="0" w:defUnhideWhenUsed="0" w:defQFormat="0" w:count="375">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atentStyles>
  <w:style w:type="paragraph" w:default="1" w:styleId="Normal">
    <w:name w:val="Normal"/>
  </w:style>
  <w:style w:type="paragraph" w:styleId="Heading1">
    <w:name w:val="heading 1"/>
    <w:basedOn w:val="Normal"/>
    <w:next w:val="Normal"/>
    <w:pPr>
      <w:keepNext/>
      <w:keepLines/>
      <w:spacing w:before="400" w:after="120"/>
      <w:outlineLvl w:val="0"/>
    </w:pPr>
    <w:rPr>
      <w:sz w:val="40"/>
      <w:szCs w:val="40"/>
    </w:rPr>
  </w:style>
  <w:style w:type="paragraph" w:styleId="Heading2">
    <w:name w:val="heading 2"/>
    <w:basedOn w:val="Normal"/>
    <w:next w:val="Normal"/>
    <w:pPr>
      <w:keepNext/>
      <w:keepLines/>
      <w:spacing w:before="360" w:after="120"/>
      <w:outlineLvl w:val="1"/>
    </w:pPr>
    <w:rPr>
      <w:sz w:val="32"/>
      <w:szCs w:val="32"/>
    </w:rPr>
  </w:style>
  <w:style w:type="paragraph" w:styleId="Heading3">
    <w:name w:val="heading 3"/>
    <w:basedOn w:val="Normal"/>
    <w:next w:val="Normal"/>
    <w:pPr>
      <w:keepNext/>
      <w:keepLines/>
      <w:spacing w:before="320" w:after="80"/>
      <w:outlineLvl w:val="2"/>
    </w:pPr>
    <w:rPr>
      <w:color w:val="434343"/>
      <w:sz w:val="28"/>
      <w:szCs w:val="28"/>
    </w:rPr>
  </w:style>
  <w:style w:type="paragraph" w:styleId="Heading4">
    <w:name w:val="heading 4"/>
    <w:basedOn w:val="Normal"/>
    <w:next w:val="Normal"/>
    <w:pPr>
      <w:keepNext/>
      <w:keepLines/>
      <w:spacing w:before="280" w:after="80"/>
      <w:outlineLvl w:val="3"/>
    </w:pPr>
    <w:rPr>
      <w:color w:val="666666"/>
      <w:sz w:val="24"/>
      <w:szCs w:val="24"/>
    </w:rPr>
  </w:style>
  <w:style w:type="paragraph" w:styleId="Heading5">
    <w:name w:val="heading 5"/>
    <w:basedOn w:val="Normal"/>
    <w:next w:val="Normal"/>
    <w:pPr>
      <w:keepNext/>
      <w:keepLines/>
      <w:spacing w:before="240" w:after="80"/>
      <w:outlineLvl w:val="4"/>
    </w:pPr>
    <w:rPr>
      <w:color w:val="666666"/>
    </w:rPr>
  </w:style>
  <w:style w:type="paragraph" w:styleId="Heading6">
    <w:name w:val="heading 6"/>
    <w:basedOn w:val="Normal"/>
    <w:next w:val="Normal"/>
    <w:pPr>
      <w:keepNext/>
      <w:keepLines/>
      <w:spacing w:before="240" w:after="80"/>
      <w:outlineLvl w:val="5"/>
    </w:pPr>
    <w:rPr>
      <w:i/>
      <w:color w:val="666666"/>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Title">
    <w:name w:val="Title"/>
    <w:basedOn w:val="Normal"/>
    <w:next w:val="Normal"/>
    <w:pPr>
      <w:keepNext/>
      <w:keepLines/>
      <w:spacing w:after="60"/>
    </w:pPr>
    <w:rPr>
      <w:sz w:val="52"/>
      <w:szCs w:val="52"/>
    </w:rPr>
  </w:style>
  <w:style w:type="paragraph" w:styleId="Subtitle">
    <w:name w:val="Subtitle"/>
    <w:basedOn w:val="Normal"/>
    <w:next w:val="Normal"/>
    <w:pPr>
      <w:keepNext/>
      <w:keepLines/>
      <w:spacing w:after="320"/>
    </w:pPr>
    <w:rPr>
      <w:color w:val="666666"/>
      <w:sz w:val="30"/>
      <w:szCs w:val="30"/>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file>

<file path=word/_rels/document.xml.rels><?xml version="1.0" encoding="UTF-8" standalone="yes"?>
<Relationships xmlns="http://schemas.openxmlformats.org/package/2006/relationships"><Relationship Id="rId8" Type="http://schemas.openxmlformats.org/officeDocument/2006/relationships/fontTable" Target="fontTable.xml"/><Relationship Id="rId3" Type="http://schemas.openxmlformats.org/officeDocument/2006/relationships/settings" Target="settings.xml"/><Relationship Id="rId7" Type="http://schemas.openxmlformats.org/officeDocument/2006/relationships/footer" Target="footer1.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5" Type="http://schemas.openxmlformats.org/officeDocument/2006/relationships/footnotes" Target="footnotes.xml"/><Relationship Id="rId4" Type="http://schemas.openxmlformats.org/officeDocument/2006/relationships/webSettings" Target="webSettings.xml"/><Relationship Id="rId9" Type="http://schemas.openxmlformats.org/officeDocument/2006/relationships/theme" Target="theme/theme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0</TotalTime>
  <Pages>15</Pages>
  <Words>7603</Words>
  <Characters>43343</Characters>
  <Application>Microsoft Office Word</Application>
  <DocSecurity>0</DocSecurity>
  <Lines>361</Lines>
  <Paragraphs>101</Paragraphs>
  <ScaleCrop>false</ScaleCrop>
  <Company/>
  <LinksUpToDate>false</LinksUpToDate>
  <CharactersWithSpaces>50845</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cp:lastModifiedBy>Michael Martin</cp:lastModifiedBy>
  <cp:revision>2</cp:revision>
  <dcterms:created xsi:type="dcterms:W3CDTF">2018-04-10T18:42:00Z</dcterms:created>
  <dcterms:modified xsi:type="dcterms:W3CDTF">2018-04-10T18:42:00Z</dcterms:modified>
</cp:coreProperties>
</file>