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918090" w14:textId="4E93B390" w:rsidR="006C4A68" w:rsidRDefault="006C4A68" w:rsidP="006B2B37">
      <w:pPr>
        <w:rPr>
          <w:sz w:val="22"/>
          <w:szCs w:val="22"/>
        </w:rPr>
      </w:pPr>
      <w:r w:rsidRPr="002F7C8D">
        <w:rPr>
          <w:noProof/>
          <w:sz w:val="21"/>
          <w:szCs w:val="21"/>
        </w:rPr>
        <mc:AlternateContent>
          <mc:Choice Requires="wps">
            <w:drawing>
              <wp:anchor distT="91440" distB="91440" distL="114300" distR="114300" simplePos="0" relativeHeight="251657216" behindDoc="0" locked="0" layoutInCell="1" allowOverlap="1" wp14:anchorId="45C954F0" wp14:editId="57CC5493">
                <wp:simplePos x="0" y="0"/>
                <wp:positionH relativeFrom="page">
                  <wp:posOffset>1304925</wp:posOffset>
                </wp:positionH>
                <wp:positionV relativeFrom="paragraph">
                  <wp:posOffset>-400050</wp:posOffset>
                </wp:positionV>
                <wp:extent cx="5391150" cy="1403985"/>
                <wp:effectExtent l="0" t="0" r="0" b="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0" cy="1403985"/>
                        </a:xfrm>
                        <a:prstGeom prst="rect">
                          <a:avLst/>
                        </a:prstGeom>
                        <a:noFill/>
                        <a:ln w="9525">
                          <a:noFill/>
                          <a:miter lim="800000"/>
                          <a:headEnd/>
                          <a:tailEnd/>
                        </a:ln>
                      </wps:spPr>
                      <wps:txbx>
                        <w:txbxContent>
                          <w:p w14:paraId="4409F08A" w14:textId="77777777" w:rsidR="006C4A68" w:rsidRDefault="006C4A68">
                            <w:pPr>
                              <w:pBdr>
                                <w:top w:val="single" w:sz="24" w:space="8" w:color="4F81BD" w:themeColor="accent1"/>
                                <w:bottom w:val="single" w:sz="24" w:space="8" w:color="4F81BD" w:themeColor="accent1"/>
                              </w:pBdr>
                              <w:rPr>
                                <w:i/>
                                <w:iCs/>
                                <w:color w:val="4F81BD" w:themeColor="accent1"/>
                              </w:rPr>
                            </w:pPr>
                            <w:r>
                              <w:rPr>
                                <w:i/>
                                <w:iCs/>
                                <w:color w:val="4F81BD" w:themeColor="accent1"/>
                              </w:rPr>
                              <w:t xml:space="preserve">This is a sample template letter to a court that must comply with the federal Crime Victims’ Rights Act.  Any standing order that addresses emergency release of defendants due to the current Covid-19 situation must factor in crime victims’ rights.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5C954F0" id="_x0000_t202" coordsize="21600,21600" o:spt="202" path="m,l,21600r21600,l21600,xe">
                <v:stroke joinstyle="miter"/>
                <v:path gradientshapeok="t" o:connecttype="rect"/>
              </v:shapetype>
              <v:shape id="Text Box 2" o:spid="_x0000_s1026" type="#_x0000_t202" style="position:absolute;margin-left:102.75pt;margin-top:-31.5pt;width:424.5pt;height:110.55pt;z-index:251657216;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" filled="f" stroked="f">
                <v:textbox style="mso-fit-shape-to-text:t">
                  <w:txbxContent>
                    <w:p w14:paraId="4409F08A" w14:textId="77777777" w:rsidR="006C4A68" w:rsidRDefault="006C4A68">
                      <w:pPr>
                        <w:pBdr>
                          <w:top w:val="single" w:sz="24" w:space="8" w:color="4F81BD" w:themeColor="accent1"/>
                          <w:bottom w:val="single" w:sz="24" w:space="8" w:color="4F81BD" w:themeColor="accent1"/>
                        </w:pBdr>
                        <w:rPr>
                          <w:i/>
                          <w:iCs/>
                          <w:color w:val="4F81BD" w:themeColor="accent1"/>
                        </w:rPr>
                      </w:pPr>
                      <w:r>
                        <w:rPr>
                          <w:i/>
                          <w:iCs/>
                          <w:color w:val="4F81BD" w:themeColor="accent1"/>
                        </w:rPr>
                        <w:t xml:space="preserve">This is a sample template letter to a court that must comply with the federal Crime Victims’ Rights Act.  Any standing order that addresses emergency release of defendants due to the current Covid-19 situation must factor in crime victims’ rights.  </w:t>
                      </w:r>
                    </w:p>
                  </w:txbxContent>
                </v:textbox>
                <w10:wrap type="topAndBottom" anchorx="page"/>
              </v:shape>
            </w:pict>
          </mc:Fallback>
        </mc:AlternateContent>
      </w:r>
      <w:bookmarkStart w:id="0" w:name="_GoBack"/>
      <w:bookmarkEnd w:id="0"/>
      <w:r w:rsidRPr="006959A1">
        <w:rPr>
          <w:sz w:val="22"/>
          <w:szCs w:val="22"/>
        </w:rPr>
        <w:t>March __, 2020</w:t>
      </w:r>
    </w:p>
    <w:p w14:paraId="5CA20481" w14:textId="77777777" w:rsidR="006B2B37" w:rsidRPr="006959A1" w:rsidRDefault="006B2B37" w:rsidP="00C550AE">
      <w:pPr>
        <w:rPr>
          <w:sz w:val="22"/>
          <w:szCs w:val="22"/>
        </w:rPr>
      </w:pPr>
    </w:p>
    <w:p w14:paraId="79FDF57E" w14:textId="77777777" w:rsidR="006C4A68" w:rsidRPr="006959A1" w:rsidRDefault="006C4A68" w:rsidP="00C550AE">
      <w:pPr>
        <w:rPr>
          <w:sz w:val="22"/>
          <w:szCs w:val="22"/>
        </w:rPr>
      </w:pPr>
      <w:r w:rsidRPr="006959A1">
        <w:rPr>
          <w:sz w:val="22"/>
          <w:szCs w:val="22"/>
        </w:rPr>
        <w:t xml:space="preserve">The Honorable </w:t>
      </w:r>
      <w:r w:rsidR="00D132CC" w:rsidRPr="006959A1">
        <w:rPr>
          <w:sz w:val="22"/>
          <w:szCs w:val="22"/>
        </w:rPr>
        <w:t>[</w:t>
      </w:r>
      <w:r w:rsidR="00D132CC" w:rsidRPr="006959A1">
        <w:rPr>
          <w:sz w:val="22"/>
          <w:szCs w:val="22"/>
          <w:highlight w:val="green"/>
        </w:rPr>
        <w:t>Judge</w:t>
      </w:r>
      <w:r w:rsidR="00A73362" w:rsidRPr="007D4898">
        <w:rPr>
          <w:sz w:val="22"/>
          <w:szCs w:val="22"/>
          <w:highlight w:val="green"/>
        </w:rPr>
        <w:t xml:space="preserve"> Name</w:t>
      </w:r>
      <w:r w:rsidR="00D132CC" w:rsidRPr="006959A1">
        <w:rPr>
          <w:sz w:val="22"/>
          <w:szCs w:val="22"/>
        </w:rPr>
        <w:t>]</w:t>
      </w:r>
      <w:r w:rsidRPr="006959A1">
        <w:rPr>
          <w:sz w:val="22"/>
          <w:szCs w:val="22"/>
        </w:rPr>
        <w:br/>
        <w:t>Chief Judge</w:t>
      </w:r>
      <w:r w:rsidRPr="006959A1">
        <w:rPr>
          <w:sz w:val="22"/>
          <w:szCs w:val="22"/>
        </w:rPr>
        <w:br/>
      </w:r>
      <w:r w:rsidR="00A73362" w:rsidRPr="006959A1">
        <w:rPr>
          <w:sz w:val="22"/>
          <w:szCs w:val="22"/>
        </w:rPr>
        <w:t xml:space="preserve">United States </w:t>
      </w:r>
      <w:r w:rsidRPr="006959A1">
        <w:rPr>
          <w:sz w:val="22"/>
          <w:szCs w:val="22"/>
        </w:rPr>
        <w:t xml:space="preserve">District </w:t>
      </w:r>
      <w:r w:rsidR="00A73362" w:rsidRPr="006959A1">
        <w:rPr>
          <w:sz w:val="22"/>
          <w:szCs w:val="22"/>
        </w:rPr>
        <w:t>Court for the [</w:t>
      </w:r>
      <w:r w:rsidR="00A73362" w:rsidRPr="007D4898">
        <w:rPr>
          <w:sz w:val="22"/>
          <w:szCs w:val="22"/>
          <w:highlight w:val="green"/>
        </w:rPr>
        <w:t>District Name</w:t>
      </w:r>
      <w:r w:rsidR="00A73362" w:rsidRPr="006959A1">
        <w:rPr>
          <w:sz w:val="22"/>
          <w:szCs w:val="22"/>
        </w:rPr>
        <w:t>]</w:t>
      </w:r>
      <w:r w:rsidRPr="006959A1">
        <w:rPr>
          <w:sz w:val="22"/>
          <w:szCs w:val="22"/>
        </w:rPr>
        <w:br/>
        <w:t>[</w:t>
      </w:r>
      <w:r w:rsidRPr="006959A1">
        <w:rPr>
          <w:sz w:val="22"/>
          <w:szCs w:val="22"/>
          <w:highlight w:val="green"/>
        </w:rPr>
        <w:t>Address</w:t>
      </w:r>
      <w:r w:rsidRPr="006959A1">
        <w:rPr>
          <w:sz w:val="22"/>
          <w:szCs w:val="22"/>
        </w:rPr>
        <w:t>]</w:t>
      </w:r>
    </w:p>
    <w:p w14:paraId="1EBFD32B" w14:textId="77777777" w:rsidR="006C4A68" w:rsidRPr="006959A1" w:rsidRDefault="006C4A68" w:rsidP="00C550AE">
      <w:pPr>
        <w:rPr>
          <w:sz w:val="22"/>
          <w:szCs w:val="22"/>
        </w:rPr>
      </w:pPr>
    </w:p>
    <w:p w14:paraId="4014DDC8" w14:textId="77777777" w:rsidR="006C4A68" w:rsidRPr="006959A1" w:rsidRDefault="006C4A68" w:rsidP="00C550AE">
      <w:pPr>
        <w:ind w:left="1440" w:hanging="720"/>
        <w:rPr>
          <w:sz w:val="22"/>
          <w:szCs w:val="22"/>
        </w:rPr>
      </w:pPr>
      <w:r w:rsidRPr="006959A1">
        <w:rPr>
          <w:sz w:val="22"/>
          <w:szCs w:val="22"/>
        </w:rPr>
        <w:t>Re:</w:t>
      </w:r>
      <w:r w:rsidRPr="006959A1">
        <w:rPr>
          <w:sz w:val="22"/>
          <w:szCs w:val="22"/>
        </w:rPr>
        <w:tab/>
        <w:t xml:space="preserve">Standing Order of </w:t>
      </w:r>
      <w:r w:rsidR="00D132CC" w:rsidRPr="006959A1">
        <w:rPr>
          <w:sz w:val="22"/>
          <w:szCs w:val="22"/>
        </w:rPr>
        <w:t>[</w:t>
      </w:r>
      <w:r w:rsidR="00D132CC" w:rsidRPr="006959A1">
        <w:rPr>
          <w:sz w:val="22"/>
          <w:szCs w:val="22"/>
          <w:highlight w:val="green"/>
        </w:rPr>
        <w:t>Date</w:t>
      </w:r>
      <w:r w:rsidR="00D132CC" w:rsidRPr="006959A1">
        <w:rPr>
          <w:sz w:val="22"/>
          <w:szCs w:val="22"/>
        </w:rPr>
        <w:t>]</w:t>
      </w:r>
      <w:r w:rsidRPr="006959A1">
        <w:rPr>
          <w:sz w:val="22"/>
          <w:szCs w:val="22"/>
        </w:rPr>
        <w:t xml:space="preserve"> Establishing Procedures for Release from Custody </w:t>
      </w:r>
      <w:r w:rsidR="00D132CC" w:rsidRPr="006959A1">
        <w:rPr>
          <w:sz w:val="22"/>
          <w:szCs w:val="22"/>
        </w:rPr>
        <w:t>D</w:t>
      </w:r>
      <w:r w:rsidRPr="006959A1">
        <w:rPr>
          <w:sz w:val="22"/>
          <w:szCs w:val="22"/>
        </w:rPr>
        <w:t>ue to COVID-19</w:t>
      </w:r>
    </w:p>
    <w:p w14:paraId="7B8D0E3B" w14:textId="77777777" w:rsidR="006C4A68" w:rsidRPr="006959A1" w:rsidRDefault="006C4A68" w:rsidP="00C550AE">
      <w:pPr>
        <w:ind w:left="1440" w:hanging="720"/>
        <w:rPr>
          <w:sz w:val="22"/>
          <w:szCs w:val="22"/>
        </w:rPr>
      </w:pPr>
    </w:p>
    <w:p w14:paraId="6D67DFB2" w14:textId="77777777" w:rsidR="006C4A68" w:rsidRPr="006959A1" w:rsidRDefault="006C4A68" w:rsidP="00C550AE">
      <w:pPr>
        <w:rPr>
          <w:sz w:val="22"/>
          <w:szCs w:val="22"/>
        </w:rPr>
      </w:pPr>
      <w:r w:rsidRPr="006959A1">
        <w:rPr>
          <w:sz w:val="22"/>
          <w:szCs w:val="22"/>
        </w:rPr>
        <w:t>Dear Chief Judge:</w:t>
      </w:r>
    </w:p>
    <w:p w14:paraId="44FDB004" w14:textId="77777777" w:rsidR="006C4A68" w:rsidRPr="006959A1" w:rsidRDefault="006C4A68" w:rsidP="00C550AE">
      <w:pPr>
        <w:rPr>
          <w:sz w:val="22"/>
          <w:szCs w:val="22"/>
        </w:rPr>
      </w:pPr>
    </w:p>
    <w:p w14:paraId="53566923" w14:textId="77777777" w:rsidR="006C4A68" w:rsidRPr="006959A1" w:rsidRDefault="006C4A68" w:rsidP="00C550AE">
      <w:pPr>
        <w:rPr>
          <w:sz w:val="22"/>
          <w:szCs w:val="22"/>
        </w:rPr>
      </w:pPr>
      <w:r w:rsidRPr="006959A1">
        <w:rPr>
          <w:sz w:val="22"/>
          <w:szCs w:val="22"/>
        </w:rPr>
        <w:tab/>
        <w:t>The Court’s standing order fails to incorporate requirements that protect crime victims’ rights—under the Crime Victims’ Right Act (CVRA)</w:t>
      </w:r>
      <w:r w:rsidR="004A7AC6">
        <w:rPr>
          <w:sz w:val="22"/>
          <w:szCs w:val="22"/>
        </w:rPr>
        <w:t>—</w:t>
      </w:r>
      <w:r w:rsidRPr="006959A1">
        <w:rPr>
          <w:sz w:val="22"/>
          <w:szCs w:val="22"/>
        </w:rPr>
        <w:t xml:space="preserve">to notice, to be reasonably heard, to be reasonably protected from the accused, and to be treated with fairness and with respect.  </w:t>
      </w:r>
      <w:r w:rsidRPr="006959A1">
        <w:rPr>
          <w:i/>
          <w:iCs/>
          <w:sz w:val="22"/>
          <w:szCs w:val="22"/>
        </w:rPr>
        <w:t xml:space="preserve">See </w:t>
      </w:r>
      <w:r w:rsidRPr="006959A1">
        <w:rPr>
          <w:sz w:val="22"/>
          <w:szCs w:val="22"/>
        </w:rPr>
        <w:t xml:space="preserve">18 U.S.C. § 3771(a)(1), (2), (4), (8).  The absence of such requirements violates the victims’ rights and this Court’s statutory duty under the CVRA.  </w:t>
      </w:r>
      <w:r w:rsidRPr="006959A1">
        <w:rPr>
          <w:i/>
          <w:iCs/>
          <w:sz w:val="22"/>
          <w:szCs w:val="22"/>
        </w:rPr>
        <w:t xml:space="preserve">See id. </w:t>
      </w:r>
      <w:r w:rsidRPr="006959A1">
        <w:rPr>
          <w:sz w:val="22"/>
          <w:szCs w:val="22"/>
        </w:rPr>
        <w:t xml:space="preserve">§ 3771(b)(1) (“In any court proceeding involving an offense against a crime victim, the court shall ensure that the crime victim is afforded the rights described in subsection (a).”).  </w:t>
      </w:r>
    </w:p>
    <w:p w14:paraId="350C3BD5" w14:textId="77777777" w:rsidR="00C550AE" w:rsidRPr="006959A1" w:rsidRDefault="00C550AE" w:rsidP="00C550AE">
      <w:pPr>
        <w:rPr>
          <w:sz w:val="22"/>
          <w:szCs w:val="22"/>
        </w:rPr>
      </w:pPr>
    </w:p>
    <w:p w14:paraId="3160253C" w14:textId="77777777" w:rsidR="006C4A68" w:rsidRPr="006959A1" w:rsidRDefault="006C4A68" w:rsidP="00A73362">
      <w:pPr>
        <w:rPr>
          <w:sz w:val="22"/>
          <w:szCs w:val="22"/>
        </w:rPr>
      </w:pPr>
      <w:r w:rsidRPr="006959A1">
        <w:rPr>
          <w:sz w:val="22"/>
          <w:szCs w:val="22"/>
        </w:rPr>
        <w:tab/>
        <w:t xml:space="preserve">On behalf of crime victims who will be impacted by the standing order, we request the Court to issue an amended standing order that </w:t>
      </w:r>
      <w:r w:rsidR="00D132CC" w:rsidRPr="006959A1">
        <w:rPr>
          <w:sz w:val="22"/>
          <w:szCs w:val="22"/>
        </w:rPr>
        <w:t xml:space="preserve">ensure notice to </w:t>
      </w:r>
      <w:r w:rsidRPr="006959A1">
        <w:rPr>
          <w:sz w:val="22"/>
          <w:szCs w:val="22"/>
        </w:rPr>
        <w:t xml:space="preserve">the crime victim (or their counsel if represented) </w:t>
      </w:r>
      <w:r w:rsidR="00D132CC" w:rsidRPr="006959A1">
        <w:rPr>
          <w:sz w:val="22"/>
          <w:szCs w:val="22"/>
        </w:rPr>
        <w:t xml:space="preserve">of any </w:t>
      </w:r>
      <w:r w:rsidRPr="006959A1">
        <w:rPr>
          <w:sz w:val="22"/>
          <w:szCs w:val="22"/>
        </w:rPr>
        <w:t>motion</w:t>
      </w:r>
      <w:r w:rsidR="00D132CC" w:rsidRPr="006959A1">
        <w:rPr>
          <w:sz w:val="22"/>
          <w:szCs w:val="22"/>
        </w:rPr>
        <w:t xml:space="preserve"> or consideration of release.  W</w:t>
      </w:r>
      <w:r w:rsidRPr="006959A1">
        <w:rPr>
          <w:sz w:val="22"/>
          <w:szCs w:val="22"/>
        </w:rPr>
        <w:t xml:space="preserve">e also request that the Court make clear in the order how all victims who want to exercise their rights should file a response to </w:t>
      </w:r>
      <w:r w:rsidR="00D132CC" w:rsidRPr="006959A1">
        <w:rPr>
          <w:sz w:val="22"/>
          <w:szCs w:val="22"/>
        </w:rPr>
        <w:t xml:space="preserve">any </w:t>
      </w:r>
      <w:r w:rsidRPr="006959A1">
        <w:rPr>
          <w:sz w:val="22"/>
          <w:szCs w:val="22"/>
        </w:rPr>
        <w:t>motion</w:t>
      </w:r>
      <w:r w:rsidR="00D132CC" w:rsidRPr="006959A1">
        <w:rPr>
          <w:sz w:val="22"/>
          <w:szCs w:val="22"/>
        </w:rPr>
        <w:t xml:space="preserve"> for release</w:t>
      </w:r>
      <w:r w:rsidRPr="006959A1">
        <w:rPr>
          <w:sz w:val="22"/>
          <w:szCs w:val="22"/>
        </w:rPr>
        <w:t xml:space="preserve">, recognizing that such response may be required to be on an expedited calendar, </w:t>
      </w:r>
      <w:r w:rsidRPr="006959A1">
        <w:rPr>
          <w:i/>
          <w:iCs/>
          <w:sz w:val="22"/>
          <w:szCs w:val="22"/>
        </w:rPr>
        <w:t xml:space="preserve">e.g., </w:t>
      </w:r>
      <w:r w:rsidRPr="006959A1">
        <w:rPr>
          <w:sz w:val="22"/>
          <w:szCs w:val="22"/>
        </w:rPr>
        <w:t xml:space="preserve">one business day or 24 hours, whichever is longer.  Further, we request that the Court make clear whether decisions will be made on the papers or whether telephonic or other such appearance will be available.  </w:t>
      </w:r>
    </w:p>
    <w:p w14:paraId="508133E1" w14:textId="77777777" w:rsidR="00C550AE" w:rsidRPr="006959A1" w:rsidRDefault="00C550AE" w:rsidP="00C550AE">
      <w:pPr>
        <w:ind w:firstLine="630"/>
        <w:rPr>
          <w:sz w:val="22"/>
          <w:szCs w:val="22"/>
        </w:rPr>
      </w:pPr>
    </w:p>
    <w:p w14:paraId="07B02AB7" w14:textId="77777777" w:rsidR="006C4A68" w:rsidRPr="006959A1" w:rsidRDefault="006C4A68" w:rsidP="00C550AE">
      <w:pPr>
        <w:ind w:firstLine="630"/>
        <w:rPr>
          <w:sz w:val="22"/>
          <w:szCs w:val="22"/>
        </w:rPr>
      </w:pPr>
      <w:r w:rsidRPr="006959A1">
        <w:rPr>
          <w:sz w:val="22"/>
          <w:szCs w:val="22"/>
        </w:rPr>
        <w:t>Notably, failure to include such requirements risks court congestion and increased health risks for the community as victims whose rights have been violated will have to seek court reconsideration, which may entail additional hearings.  We should not put victims to the Hobson choice of exercising their rights and accessing justice or safeguarding their health.</w:t>
      </w:r>
    </w:p>
    <w:p w14:paraId="0C635825" w14:textId="77777777" w:rsidR="00C550AE" w:rsidRPr="006959A1" w:rsidRDefault="00C550AE" w:rsidP="00C550AE">
      <w:pPr>
        <w:ind w:firstLine="630"/>
        <w:rPr>
          <w:sz w:val="22"/>
          <w:szCs w:val="22"/>
        </w:rPr>
      </w:pPr>
    </w:p>
    <w:p w14:paraId="5A39369E" w14:textId="77777777" w:rsidR="006C4A68" w:rsidRPr="006959A1" w:rsidRDefault="006C4A68" w:rsidP="00C550AE">
      <w:pPr>
        <w:ind w:firstLine="630"/>
        <w:rPr>
          <w:sz w:val="22"/>
          <w:szCs w:val="22"/>
        </w:rPr>
      </w:pPr>
      <w:r w:rsidRPr="006959A1">
        <w:rPr>
          <w:sz w:val="22"/>
          <w:szCs w:val="22"/>
        </w:rPr>
        <w:t>Incorporating such requirements is the only way that the Court’s standing order can comply with the law and truly be in the best interest of the administration of justice.</w:t>
      </w:r>
      <w:r w:rsidR="00A73362" w:rsidRPr="006959A1">
        <w:rPr>
          <w:sz w:val="22"/>
          <w:szCs w:val="22"/>
        </w:rPr>
        <w:t xml:space="preserve">  </w:t>
      </w:r>
      <w:r w:rsidR="00A73362" w:rsidRPr="006959A1">
        <w:rPr>
          <w:i/>
          <w:iCs/>
          <w:sz w:val="22"/>
          <w:szCs w:val="22"/>
        </w:rPr>
        <w:t>S</w:t>
      </w:r>
      <w:r w:rsidRPr="006959A1">
        <w:rPr>
          <w:i/>
          <w:iCs/>
          <w:sz w:val="22"/>
          <w:szCs w:val="22"/>
        </w:rPr>
        <w:t>ee Payne v. Tennessee</w:t>
      </w:r>
      <w:r w:rsidRPr="006959A1">
        <w:rPr>
          <w:sz w:val="22"/>
          <w:szCs w:val="22"/>
        </w:rPr>
        <w:t>, 501 U.S. 808, 827, 111 S. Ct. 2597, 115 L. Ed. 2d 720 (1991) (“‘[J]</w:t>
      </w:r>
      <w:proofErr w:type="spellStart"/>
      <w:r w:rsidRPr="006959A1">
        <w:rPr>
          <w:sz w:val="22"/>
          <w:szCs w:val="22"/>
        </w:rPr>
        <w:t>ustice</w:t>
      </w:r>
      <w:proofErr w:type="spellEnd"/>
      <w:r w:rsidRPr="006959A1">
        <w:rPr>
          <w:sz w:val="22"/>
          <w:szCs w:val="22"/>
        </w:rPr>
        <w:t xml:space="preserve">, though due to the accused, is due to the accuser also. The concept of fairness must not be strained till it is narrowed to a filament. We are to keep the balance true.’” (quoting </w:t>
      </w:r>
      <w:r w:rsidRPr="006959A1">
        <w:rPr>
          <w:i/>
          <w:iCs/>
          <w:sz w:val="22"/>
          <w:szCs w:val="22"/>
        </w:rPr>
        <w:t>Snyder v. Massachusetts</w:t>
      </w:r>
      <w:r w:rsidRPr="006959A1">
        <w:rPr>
          <w:sz w:val="22"/>
          <w:szCs w:val="22"/>
        </w:rPr>
        <w:t xml:space="preserve">, 291 U.S. 97, 122, 54 </w:t>
      </w:r>
      <w:proofErr w:type="spellStart"/>
      <w:r w:rsidRPr="006959A1">
        <w:rPr>
          <w:sz w:val="22"/>
          <w:szCs w:val="22"/>
        </w:rPr>
        <w:t>S.Ct</w:t>
      </w:r>
      <w:proofErr w:type="spellEnd"/>
      <w:r w:rsidRPr="006959A1">
        <w:rPr>
          <w:sz w:val="22"/>
          <w:szCs w:val="22"/>
        </w:rPr>
        <w:t xml:space="preserve">. 330, 78 </w:t>
      </w:r>
      <w:proofErr w:type="spellStart"/>
      <w:r w:rsidRPr="006959A1">
        <w:rPr>
          <w:sz w:val="22"/>
          <w:szCs w:val="22"/>
        </w:rPr>
        <w:t>L.Ed</w:t>
      </w:r>
      <w:proofErr w:type="spellEnd"/>
      <w:r w:rsidRPr="006959A1">
        <w:rPr>
          <w:sz w:val="22"/>
          <w:szCs w:val="22"/>
        </w:rPr>
        <w:t>. 674 (1934)</w:t>
      </w:r>
      <w:r w:rsidR="00B867BA">
        <w:rPr>
          <w:sz w:val="22"/>
          <w:szCs w:val="22"/>
        </w:rPr>
        <w:t>)</w:t>
      </w:r>
      <w:r w:rsidRPr="006959A1">
        <w:rPr>
          <w:sz w:val="22"/>
          <w:szCs w:val="22"/>
        </w:rPr>
        <w:t xml:space="preserve">).  </w:t>
      </w:r>
    </w:p>
    <w:p w14:paraId="5FF1278F" w14:textId="77777777" w:rsidR="006C4A68" w:rsidRPr="006959A1" w:rsidRDefault="006C4A68" w:rsidP="00C550AE">
      <w:pPr>
        <w:rPr>
          <w:sz w:val="22"/>
          <w:szCs w:val="22"/>
        </w:rPr>
      </w:pPr>
    </w:p>
    <w:p w14:paraId="418782D3" w14:textId="77777777" w:rsidR="006C4A68" w:rsidRDefault="006C4A68" w:rsidP="00C550AE">
      <w:pPr>
        <w:rPr>
          <w:sz w:val="22"/>
          <w:szCs w:val="22"/>
        </w:rPr>
      </w:pPr>
      <w:r w:rsidRPr="006959A1">
        <w:rPr>
          <w:sz w:val="22"/>
          <w:szCs w:val="22"/>
        </w:rPr>
        <w:tab/>
      </w:r>
      <w:r w:rsidRPr="006959A1">
        <w:rPr>
          <w:sz w:val="22"/>
          <w:szCs w:val="22"/>
        </w:rPr>
        <w:tab/>
      </w:r>
      <w:r w:rsidRPr="006959A1">
        <w:rPr>
          <w:sz w:val="22"/>
          <w:szCs w:val="22"/>
        </w:rPr>
        <w:tab/>
      </w:r>
      <w:r w:rsidRPr="006959A1">
        <w:rPr>
          <w:sz w:val="22"/>
          <w:szCs w:val="22"/>
        </w:rPr>
        <w:tab/>
      </w:r>
      <w:r w:rsidRPr="006959A1">
        <w:rPr>
          <w:sz w:val="22"/>
          <w:szCs w:val="22"/>
        </w:rPr>
        <w:tab/>
      </w:r>
      <w:r w:rsidRPr="006959A1">
        <w:rPr>
          <w:sz w:val="22"/>
          <w:szCs w:val="22"/>
        </w:rPr>
        <w:tab/>
        <w:t>Respectfull</w:t>
      </w:r>
      <w:r w:rsidR="002F7C8D" w:rsidRPr="006959A1">
        <w:rPr>
          <w:sz w:val="22"/>
          <w:szCs w:val="22"/>
        </w:rPr>
        <w:t>y,</w:t>
      </w:r>
    </w:p>
    <w:p w14:paraId="06B2A562" w14:textId="77777777" w:rsidR="007D4898" w:rsidRPr="006959A1" w:rsidRDefault="007D4898" w:rsidP="007D4898">
      <w:pPr>
        <w:ind w:left="3600" w:firstLine="720"/>
        <w:rPr>
          <w:sz w:val="22"/>
          <w:szCs w:val="22"/>
        </w:rPr>
      </w:pPr>
      <w:r w:rsidRPr="006959A1">
        <w:rPr>
          <w:sz w:val="22"/>
          <w:szCs w:val="22"/>
        </w:rPr>
        <w:t>[</w:t>
      </w:r>
      <w:r w:rsidRPr="007D4898">
        <w:rPr>
          <w:sz w:val="22"/>
          <w:szCs w:val="22"/>
          <w:highlight w:val="green"/>
        </w:rPr>
        <w:t>Sign</w:t>
      </w:r>
      <w:r w:rsidRPr="006959A1">
        <w:rPr>
          <w:sz w:val="22"/>
          <w:szCs w:val="22"/>
        </w:rPr>
        <w:t>]</w:t>
      </w:r>
    </w:p>
    <w:p w14:paraId="0E7F5415" w14:textId="77777777" w:rsidR="006D2155" w:rsidRPr="002F7C8D" w:rsidRDefault="006C4A68" w:rsidP="00C550AE">
      <w:pPr>
        <w:rPr>
          <w:sz w:val="21"/>
          <w:szCs w:val="21"/>
        </w:rPr>
      </w:pPr>
      <w:r w:rsidRPr="002F7C8D">
        <w:rPr>
          <w:sz w:val="21"/>
          <w:szCs w:val="21"/>
        </w:rPr>
        <w:tab/>
      </w:r>
    </w:p>
    <w:sectPr w:rsidR="006D2155" w:rsidRPr="002F7C8D" w:rsidSect="006B2B37">
      <w:headerReference w:type="default" r:id="rId8"/>
      <w:footerReference w:type="default" r:id="rId9"/>
      <w:headerReference w:type="first" r:id="rId10"/>
      <w:footerReference w:type="first" r:id="rId11"/>
      <w:pgSz w:w="12240" w:h="15840" w:code="1"/>
      <w:pgMar w:top="2880" w:right="1440" w:bottom="1296" w:left="1440" w:header="446" w:footer="50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9EA2FE" w14:textId="77777777" w:rsidR="00BD7130" w:rsidRDefault="00BD7130">
      <w:r>
        <w:separator/>
      </w:r>
    </w:p>
  </w:endnote>
  <w:endnote w:type="continuationSeparator" w:id="0">
    <w:p w14:paraId="685A2D69" w14:textId="77777777" w:rsidR="00BD7130" w:rsidRDefault="00BD7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F5345A" w14:textId="77777777" w:rsidR="004304AD" w:rsidRDefault="004304AD" w:rsidP="00D25790">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6E2E55" w14:textId="77777777" w:rsidR="0032615E" w:rsidRDefault="005C2A0E" w:rsidP="00952843">
    <w:pPr>
      <w:pStyle w:val="Footer"/>
      <w:jc w:val="center"/>
    </w:pPr>
    <w:r>
      <w:rPr>
        <w:noProof/>
      </w:rPr>
      <w:drawing>
        <wp:inline distT="0" distB="0" distL="0" distR="0" wp14:anchorId="53190D58" wp14:editId="0321D58B">
          <wp:extent cx="3790950" cy="45533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dress footer for 2017 letterhead.jpg"/>
                  <pic:cNvPicPr/>
                </pic:nvPicPr>
                <pic:blipFill>
                  <a:blip r:embed="rId1">
                    <a:extLst>
                      <a:ext uri="{28A0092B-C50C-407E-A947-70E740481C1C}">
                        <a14:useLocalDpi xmlns:a14="http://schemas.microsoft.com/office/drawing/2010/main" val="0"/>
                      </a:ext>
                    </a:extLst>
                  </a:blip>
                  <a:stretch>
                    <a:fillRect/>
                  </a:stretch>
                </pic:blipFill>
                <pic:spPr>
                  <a:xfrm>
                    <a:off x="0" y="0"/>
                    <a:ext cx="3803816" cy="45688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090E06" w14:textId="77777777" w:rsidR="00BD7130" w:rsidRDefault="00BD7130">
      <w:r>
        <w:separator/>
      </w:r>
    </w:p>
  </w:footnote>
  <w:footnote w:type="continuationSeparator" w:id="0">
    <w:p w14:paraId="2E4A1131" w14:textId="77777777" w:rsidR="00BD7130" w:rsidRDefault="00BD71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C63652" w14:textId="77777777" w:rsidR="004304AD" w:rsidRPr="009C156A" w:rsidRDefault="004304AD" w:rsidP="00FE5C6D">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442F44" w14:textId="77777777" w:rsidR="0032615E" w:rsidRDefault="00707CB9">
    <w:pPr>
      <w:pStyle w:val="Header"/>
    </w:pPr>
    <w:r>
      <w:rPr>
        <w:noProof/>
      </w:rPr>
      <w:drawing>
        <wp:anchor distT="0" distB="0" distL="114300" distR="114300" simplePos="0" relativeHeight="251659264" behindDoc="1" locked="1" layoutInCell="1" allowOverlap="1" wp14:anchorId="416D25F2" wp14:editId="13558697">
          <wp:simplePos x="0" y="0"/>
          <wp:positionH relativeFrom="page">
            <wp:posOffset>285115</wp:posOffset>
          </wp:positionH>
          <wp:positionV relativeFrom="page">
            <wp:posOffset>314325</wp:posOffset>
          </wp:positionV>
          <wp:extent cx="3208020" cy="972185"/>
          <wp:effectExtent l="0" t="0" r="0" b="0"/>
          <wp:wrapNone/>
          <wp:docPr id="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NCVLIlogo_w-taglin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208020" cy="972185"/>
                  </a:xfrm>
                  <a:prstGeom prst="rect">
                    <a:avLst/>
                  </a:prstGeom>
                  <a:noFill/>
                </pic:spPr>
              </pic:pic>
            </a:graphicData>
          </a:graphic>
          <wp14:sizeRelH relativeFrom="page">
            <wp14:pctWidth>0</wp14:pctWidth>
          </wp14:sizeRelH>
          <wp14:sizeRelV relativeFrom="page">
            <wp14:pctHeight>0</wp14:pctHeight>
          </wp14:sizeRelV>
        </wp:anchor>
      </w:drawing>
    </w:r>
  </w:p>
  <w:p w14:paraId="21D613BB" w14:textId="77777777" w:rsidR="0032615E" w:rsidRDefault="003261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300F59"/>
    <w:multiLevelType w:val="hybridMultilevel"/>
    <w:tmpl w:val="007AB7FC"/>
    <w:lvl w:ilvl="0" w:tplc="04090003">
      <w:start w:val="1"/>
      <w:numFmt w:val="bullet"/>
      <w:lvlText w:val="o"/>
      <w:lvlJc w:val="left"/>
      <w:pPr>
        <w:tabs>
          <w:tab w:val="num" w:pos="780"/>
        </w:tabs>
        <w:ind w:left="780" w:hanging="360"/>
      </w:pPr>
      <w:rPr>
        <w:rFonts w:ascii="Courier New" w:hAnsi="Courier New" w:cs="Courier New"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 w15:restartNumberingAfterBreak="0">
    <w:nsid w:val="353C7D8D"/>
    <w:multiLevelType w:val="hybridMultilevel"/>
    <w:tmpl w:val="8F1C91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EAE273E"/>
    <w:multiLevelType w:val="hybridMultilevel"/>
    <w:tmpl w:val="4E84A4E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640042C"/>
    <w:multiLevelType w:val="hybridMultilevel"/>
    <w:tmpl w:val="77A67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51F47"/>
    <w:rsid w:val="000069C7"/>
    <w:rsid w:val="000101AB"/>
    <w:rsid w:val="000136C5"/>
    <w:rsid w:val="00022BC9"/>
    <w:rsid w:val="0004109F"/>
    <w:rsid w:val="00042ADA"/>
    <w:rsid w:val="0006643A"/>
    <w:rsid w:val="0007259D"/>
    <w:rsid w:val="000944AF"/>
    <w:rsid w:val="000D43B3"/>
    <w:rsid w:val="000F6514"/>
    <w:rsid w:val="00103CEC"/>
    <w:rsid w:val="001166CE"/>
    <w:rsid w:val="00120F5C"/>
    <w:rsid w:val="00127CFA"/>
    <w:rsid w:val="001470E8"/>
    <w:rsid w:val="00177F78"/>
    <w:rsid w:val="001D6BEF"/>
    <w:rsid w:val="001E2C4A"/>
    <w:rsid w:val="001F5C90"/>
    <w:rsid w:val="001F6787"/>
    <w:rsid w:val="0024564A"/>
    <w:rsid w:val="00247E22"/>
    <w:rsid w:val="00251F47"/>
    <w:rsid w:val="00273BA1"/>
    <w:rsid w:val="00274D8B"/>
    <w:rsid w:val="002775BA"/>
    <w:rsid w:val="002906DB"/>
    <w:rsid w:val="002A48D6"/>
    <w:rsid w:val="002B6946"/>
    <w:rsid w:val="002B7771"/>
    <w:rsid w:val="002E1AA0"/>
    <w:rsid w:val="002F7C8D"/>
    <w:rsid w:val="00312B30"/>
    <w:rsid w:val="0032615E"/>
    <w:rsid w:val="00330967"/>
    <w:rsid w:val="003444FF"/>
    <w:rsid w:val="003A7FE7"/>
    <w:rsid w:val="003B6B7E"/>
    <w:rsid w:val="003E00BD"/>
    <w:rsid w:val="00425FF2"/>
    <w:rsid w:val="004304AD"/>
    <w:rsid w:val="00447800"/>
    <w:rsid w:val="00465298"/>
    <w:rsid w:val="00473DDC"/>
    <w:rsid w:val="00480CEF"/>
    <w:rsid w:val="004827CE"/>
    <w:rsid w:val="004A7AC6"/>
    <w:rsid w:val="004C1F51"/>
    <w:rsid w:val="004D12B3"/>
    <w:rsid w:val="005018F6"/>
    <w:rsid w:val="0051050D"/>
    <w:rsid w:val="00563594"/>
    <w:rsid w:val="00565349"/>
    <w:rsid w:val="00566465"/>
    <w:rsid w:val="0057003A"/>
    <w:rsid w:val="005C2A0E"/>
    <w:rsid w:val="005C5509"/>
    <w:rsid w:val="005E0DB4"/>
    <w:rsid w:val="005E2BE5"/>
    <w:rsid w:val="005E701D"/>
    <w:rsid w:val="005F779C"/>
    <w:rsid w:val="0065150D"/>
    <w:rsid w:val="006622D8"/>
    <w:rsid w:val="00680D7C"/>
    <w:rsid w:val="006959A1"/>
    <w:rsid w:val="006B2B37"/>
    <w:rsid w:val="006C4A68"/>
    <w:rsid w:val="006D2155"/>
    <w:rsid w:val="00707CB9"/>
    <w:rsid w:val="00722C3C"/>
    <w:rsid w:val="00754B3F"/>
    <w:rsid w:val="00760098"/>
    <w:rsid w:val="00760F93"/>
    <w:rsid w:val="00762411"/>
    <w:rsid w:val="00767466"/>
    <w:rsid w:val="00771404"/>
    <w:rsid w:val="007D4898"/>
    <w:rsid w:val="00805527"/>
    <w:rsid w:val="00853821"/>
    <w:rsid w:val="0089535B"/>
    <w:rsid w:val="008C5D8F"/>
    <w:rsid w:val="00952843"/>
    <w:rsid w:val="00984F98"/>
    <w:rsid w:val="009C156A"/>
    <w:rsid w:val="009F778D"/>
    <w:rsid w:val="00A16A58"/>
    <w:rsid w:val="00A2771B"/>
    <w:rsid w:val="00A73362"/>
    <w:rsid w:val="00A77305"/>
    <w:rsid w:val="00AC0991"/>
    <w:rsid w:val="00B03B0D"/>
    <w:rsid w:val="00B42302"/>
    <w:rsid w:val="00B867BA"/>
    <w:rsid w:val="00BB5DC6"/>
    <w:rsid w:val="00BD7130"/>
    <w:rsid w:val="00C14050"/>
    <w:rsid w:val="00C44BBD"/>
    <w:rsid w:val="00C550AE"/>
    <w:rsid w:val="00C64B1F"/>
    <w:rsid w:val="00CA1A70"/>
    <w:rsid w:val="00CB028A"/>
    <w:rsid w:val="00CB6DD1"/>
    <w:rsid w:val="00CE094A"/>
    <w:rsid w:val="00CE0993"/>
    <w:rsid w:val="00D132CC"/>
    <w:rsid w:val="00D25790"/>
    <w:rsid w:val="00D30F0D"/>
    <w:rsid w:val="00D577AE"/>
    <w:rsid w:val="00DD45BB"/>
    <w:rsid w:val="00E00FF6"/>
    <w:rsid w:val="00E12EF0"/>
    <w:rsid w:val="00E45252"/>
    <w:rsid w:val="00E454FF"/>
    <w:rsid w:val="00EB215E"/>
    <w:rsid w:val="00ED0A7E"/>
    <w:rsid w:val="00F05282"/>
    <w:rsid w:val="00F0568B"/>
    <w:rsid w:val="00F45C99"/>
    <w:rsid w:val="00F634B9"/>
    <w:rsid w:val="00F73FBB"/>
    <w:rsid w:val="00FA7A89"/>
    <w:rsid w:val="00FB25E2"/>
    <w:rsid w:val="00FE5C6D"/>
    <w:rsid w:val="00FF33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ADA5AF"/>
  <w15:docId w15:val="{78E1442E-8C60-405C-9DF3-CEBEBB94F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6529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906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1166CE"/>
    <w:pPr>
      <w:tabs>
        <w:tab w:val="center" w:pos="4320"/>
        <w:tab w:val="right" w:pos="8640"/>
      </w:tabs>
    </w:pPr>
  </w:style>
  <w:style w:type="paragraph" w:styleId="Footer">
    <w:name w:val="footer"/>
    <w:basedOn w:val="Normal"/>
    <w:link w:val="FooterChar"/>
    <w:uiPriority w:val="99"/>
    <w:rsid w:val="001166CE"/>
    <w:pPr>
      <w:tabs>
        <w:tab w:val="center" w:pos="4320"/>
        <w:tab w:val="right" w:pos="8640"/>
      </w:tabs>
    </w:pPr>
  </w:style>
  <w:style w:type="character" w:customStyle="1" w:styleId="FooterChar">
    <w:name w:val="Footer Char"/>
    <w:link w:val="Footer"/>
    <w:uiPriority w:val="99"/>
    <w:rsid w:val="00473DDC"/>
    <w:rPr>
      <w:sz w:val="24"/>
      <w:szCs w:val="24"/>
    </w:rPr>
  </w:style>
  <w:style w:type="paragraph" w:styleId="BalloonText">
    <w:name w:val="Balloon Text"/>
    <w:basedOn w:val="Normal"/>
    <w:link w:val="BalloonTextChar"/>
    <w:rsid w:val="00473DDC"/>
    <w:rPr>
      <w:rFonts w:ascii="Tahoma" w:hAnsi="Tahoma" w:cs="Tahoma"/>
      <w:sz w:val="16"/>
      <w:szCs w:val="16"/>
    </w:rPr>
  </w:style>
  <w:style w:type="character" w:customStyle="1" w:styleId="BalloonTextChar">
    <w:name w:val="Balloon Text Char"/>
    <w:link w:val="BalloonText"/>
    <w:rsid w:val="00473DDC"/>
    <w:rPr>
      <w:rFonts w:ascii="Tahoma" w:hAnsi="Tahoma" w:cs="Tahoma"/>
      <w:sz w:val="16"/>
      <w:szCs w:val="16"/>
    </w:rPr>
  </w:style>
  <w:style w:type="character" w:styleId="Hyperlink">
    <w:name w:val="Hyperlink"/>
    <w:rsid w:val="00473DDC"/>
    <w:rPr>
      <w:color w:val="0000FF"/>
      <w:u w:val="single"/>
    </w:rPr>
  </w:style>
  <w:style w:type="character" w:customStyle="1" w:styleId="HeaderChar">
    <w:name w:val="Header Char"/>
    <w:link w:val="Header"/>
    <w:uiPriority w:val="99"/>
    <w:rsid w:val="0032615E"/>
    <w:rPr>
      <w:sz w:val="24"/>
      <w:szCs w:val="24"/>
    </w:rPr>
  </w:style>
  <w:style w:type="paragraph" w:styleId="ListParagraph">
    <w:name w:val="List Paragraph"/>
    <w:basedOn w:val="Normal"/>
    <w:uiPriority w:val="34"/>
    <w:qFormat/>
    <w:rsid w:val="006C4A68"/>
    <w:pPr>
      <w:spacing w:after="160" w:line="259" w:lineRule="auto"/>
      <w:ind w:left="720"/>
      <w:contextualSpacing/>
    </w:pPr>
    <w:rPr>
      <w:rFonts w:asciiTheme="minorHAnsi" w:eastAsiaTheme="minorEastAsia" w:hAnsiTheme="minorHAnsi" w:cstheme="minorBid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03CE59-81D7-4214-8DF0-21F557A1A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369</Words>
  <Characters>2109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NAVRA MISSION STATEMENT</vt:lpstr>
    </vt:vector>
  </TitlesOfParts>
  <Company>Lewis &amp; Clark Law School</Company>
  <LinksUpToDate>false</LinksUpToDate>
  <CharactersWithSpaces>2474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NAVRA MISSION STATEMENT</dc:title>
  <dc:creator>NCVLI</dc:creator>
  <cp:lastModifiedBy>acl</cp:lastModifiedBy>
  <cp:revision>7</cp:revision>
  <cp:lastPrinted>2013-01-08T21:03:00Z</cp:lastPrinted>
  <dcterms:created xsi:type="dcterms:W3CDTF">2020-03-24T01:20:00Z</dcterms:created>
  <dcterms:modified xsi:type="dcterms:W3CDTF">2020-03-24T01:33:00Z</dcterms:modified>
</cp:coreProperties>
</file>