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A68" w:rsidRPr="00F16AA2" w:rsidRDefault="006C4A68" w:rsidP="006B2B37">
      <w:r w:rsidRPr="00F16AA2">
        <w:rPr>
          <w:noProof/>
        </w:rPr>
        <mc:AlternateContent>
          <mc:Choice Requires="wps">
            <w:drawing>
              <wp:anchor distT="91440" distB="91440" distL="114300" distR="114300" simplePos="0" relativeHeight="251657216" behindDoc="0" locked="0" layoutInCell="1" allowOverlap="1" wp14:anchorId="45C954F0" wp14:editId="57CC5493">
                <wp:simplePos x="0" y="0"/>
                <wp:positionH relativeFrom="page">
                  <wp:posOffset>1304925</wp:posOffset>
                </wp:positionH>
                <wp:positionV relativeFrom="paragraph">
                  <wp:posOffset>-400050</wp:posOffset>
                </wp:positionV>
                <wp:extent cx="53911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403985"/>
                        </a:xfrm>
                        <a:prstGeom prst="rect">
                          <a:avLst/>
                        </a:prstGeom>
                        <a:noFill/>
                        <a:ln w="9525">
                          <a:noFill/>
                          <a:miter lim="800000"/>
                          <a:headEnd/>
                          <a:tailEnd/>
                        </a:ln>
                      </wps:spPr>
                      <wps:txbx>
                        <w:txbxContent>
                          <w:p w:rsidR="006C4A68" w:rsidRDefault="006C4A68" w:rsidP="00C25D26">
                            <w:pPr>
                              <w:pBdr>
                                <w:top w:val="single" w:sz="24" w:space="8" w:color="4F81BD" w:themeColor="accent1"/>
                                <w:bottom w:val="single" w:sz="24" w:space="8" w:color="4F81BD" w:themeColor="accent1"/>
                              </w:pBdr>
                              <w:jc w:val="center"/>
                              <w:rPr>
                                <w:i/>
                                <w:iCs/>
                                <w:color w:val="4F81BD" w:themeColor="accent1"/>
                              </w:rPr>
                            </w:pPr>
                            <w:proofErr w:type="gramStart"/>
                            <w:r>
                              <w:rPr>
                                <w:i/>
                                <w:iCs/>
                                <w:color w:val="4F81BD" w:themeColor="accent1"/>
                              </w:rPr>
                              <w:t xml:space="preserve">This is a sample template letter to a court that must comply with the </w:t>
                            </w:r>
                            <w:r w:rsidR="00C25D26">
                              <w:rPr>
                                <w:i/>
                                <w:iCs/>
                                <w:color w:val="4F81BD" w:themeColor="accent1"/>
                              </w:rPr>
                              <w:t>c</w:t>
                            </w:r>
                            <w:r>
                              <w:rPr>
                                <w:i/>
                                <w:iCs/>
                                <w:color w:val="4F81BD" w:themeColor="accent1"/>
                              </w:rPr>
                              <w:t xml:space="preserve">rime </w:t>
                            </w:r>
                            <w:r w:rsidR="00C25D26">
                              <w:rPr>
                                <w:i/>
                                <w:iCs/>
                                <w:color w:val="4F81BD" w:themeColor="accent1"/>
                              </w:rPr>
                              <w:t>v</w:t>
                            </w:r>
                            <w:r>
                              <w:rPr>
                                <w:i/>
                                <w:iCs/>
                                <w:color w:val="4F81BD" w:themeColor="accent1"/>
                              </w:rPr>
                              <w:t xml:space="preserve">ictims’ </w:t>
                            </w:r>
                            <w:r w:rsidR="00C25D26">
                              <w:rPr>
                                <w:i/>
                                <w:iCs/>
                                <w:color w:val="4F81BD" w:themeColor="accent1"/>
                              </w:rPr>
                              <w:t>r</w:t>
                            </w:r>
                            <w:r>
                              <w:rPr>
                                <w:i/>
                                <w:iCs/>
                                <w:color w:val="4F81BD" w:themeColor="accent1"/>
                              </w:rPr>
                              <w:t>ights.</w:t>
                            </w:r>
                            <w:proofErr w:type="gramEnd"/>
                            <w:r>
                              <w:rPr>
                                <w:i/>
                                <w:iCs/>
                                <w:color w:val="4F81BD" w:themeColor="accent1"/>
                              </w:rPr>
                              <w:t xml:space="preserve">  Any standing order that addresses emergency release of defendants due to the current Covid-19 situation must factor in crime victims’ rights.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C954F0" id="_x0000_t202" coordsize="21600,21600" o:spt="202" path="m,l,21600r21600,l21600,xe">
                <v:stroke joinstyle="miter"/>
                <v:path gradientshapeok="t" o:connecttype="rect"/>
              </v:shapetype>
              <v:shape id="Text Box 2" o:spid="_x0000_s1026" type="#_x0000_t202" style="position:absolute;margin-left:102.75pt;margin-top:-31.5pt;width:424.5pt;height:110.55pt;z-index:25165721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" filled="f" stroked="f">
                <v:textbox style="mso-fit-shape-to-text:t">
                  <w:txbxContent>
                    <w:p w:rsidR="006C4A68" w:rsidRDefault="006C4A68" w:rsidP="00C25D26">
                      <w:pPr>
                        <w:pBdr>
                          <w:top w:val="single" w:sz="24" w:space="8" w:color="4F81BD" w:themeColor="accent1"/>
                          <w:bottom w:val="single" w:sz="24" w:space="8" w:color="4F81BD" w:themeColor="accent1"/>
                        </w:pBdr>
                        <w:jc w:val="center"/>
                        <w:rPr>
                          <w:i/>
                          <w:iCs/>
                          <w:color w:val="4F81BD" w:themeColor="accent1"/>
                        </w:rPr>
                      </w:pPr>
                      <w:proofErr w:type="gramStart"/>
                      <w:r>
                        <w:rPr>
                          <w:i/>
                          <w:iCs/>
                          <w:color w:val="4F81BD" w:themeColor="accent1"/>
                        </w:rPr>
                        <w:t xml:space="preserve">This is a sample template letter to a court that must comply with the </w:t>
                      </w:r>
                      <w:r w:rsidR="00C25D26">
                        <w:rPr>
                          <w:i/>
                          <w:iCs/>
                          <w:color w:val="4F81BD" w:themeColor="accent1"/>
                        </w:rPr>
                        <w:t>c</w:t>
                      </w:r>
                      <w:r>
                        <w:rPr>
                          <w:i/>
                          <w:iCs/>
                          <w:color w:val="4F81BD" w:themeColor="accent1"/>
                        </w:rPr>
                        <w:t xml:space="preserve">rime </w:t>
                      </w:r>
                      <w:r w:rsidR="00C25D26">
                        <w:rPr>
                          <w:i/>
                          <w:iCs/>
                          <w:color w:val="4F81BD" w:themeColor="accent1"/>
                        </w:rPr>
                        <w:t>v</w:t>
                      </w:r>
                      <w:r>
                        <w:rPr>
                          <w:i/>
                          <w:iCs/>
                          <w:color w:val="4F81BD" w:themeColor="accent1"/>
                        </w:rPr>
                        <w:t xml:space="preserve">ictims’ </w:t>
                      </w:r>
                      <w:r w:rsidR="00C25D26">
                        <w:rPr>
                          <w:i/>
                          <w:iCs/>
                          <w:color w:val="4F81BD" w:themeColor="accent1"/>
                        </w:rPr>
                        <w:t>r</w:t>
                      </w:r>
                      <w:r>
                        <w:rPr>
                          <w:i/>
                          <w:iCs/>
                          <w:color w:val="4F81BD" w:themeColor="accent1"/>
                        </w:rPr>
                        <w:t>ights.</w:t>
                      </w:r>
                      <w:proofErr w:type="gramEnd"/>
                      <w:r>
                        <w:rPr>
                          <w:i/>
                          <w:iCs/>
                          <w:color w:val="4F81BD" w:themeColor="accent1"/>
                        </w:rPr>
                        <w:t xml:space="preserve">  Any standing order that addresses emergency release of defendants due to the current Covid-19 situation must factor in crime victims’ rights.</w:t>
                      </w:r>
                    </w:p>
                  </w:txbxContent>
                </v:textbox>
                <w10:wrap type="topAndBottom" anchorx="page"/>
              </v:shape>
            </w:pict>
          </mc:Fallback>
        </mc:AlternateContent>
      </w:r>
      <w:r w:rsidRPr="00F16AA2">
        <w:t>March __, 2020</w:t>
      </w:r>
    </w:p>
    <w:p w:rsidR="006B2B37" w:rsidRPr="00F16AA2" w:rsidRDefault="006B2B37" w:rsidP="00C550AE"/>
    <w:p w:rsidR="006C4A68" w:rsidRPr="00F16AA2" w:rsidRDefault="006C4A68" w:rsidP="00C550AE">
      <w:r w:rsidRPr="00F16AA2">
        <w:t xml:space="preserve">The Honorable </w:t>
      </w:r>
      <w:r w:rsidR="00D132CC" w:rsidRPr="00F16AA2">
        <w:t>[</w:t>
      </w:r>
      <w:r w:rsidR="00D132CC" w:rsidRPr="00F16AA2">
        <w:rPr>
          <w:highlight w:val="green"/>
        </w:rPr>
        <w:t>Judge</w:t>
      </w:r>
      <w:r w:rsidR="00A73362" w:rsidRPr="00F16AA2">
        <w:rPr>
          <w:highlight w:val="green"/>
        </w:rPr>
        <w:t xml:space="preserve"> Name</w:t>
      </w:r>
      <w:proofErr w:type="gramStart"/>
      <w:r w:rsidR="00D132CC" w:rsidRPr="00F16AA2">
        <w:t>]</w:t>
      </w:r>
      <w:proofErr w:type="gramEnd"/>
      <w:r w:rsidRPr="00F16AA2">
        <w:br/>
        <w:t>Chief Judge</w:t>
      </w:r>
      <w:r w:rsidRPr="00F16AA2">
        <w:br/>
      </w:r>
      <w:r w:rsidR="00A73362" w:rsidRPr="00F16AA2">
        <w:t>[</w:t>
      </w:r>
      <w:r w:rsidR="00F16AA2" w:rsidRPr="00F16AA2">
        <w:rPr>
          <w:highlight w:val="green"/>
        </w:rPr>
        <w:t xml:space="preserve">Court </w:t>
      </w:r>
      <w:r w:rsidR="00A73362" w:rsidRPr="00F16AA2">
        <w:rPr>
          <w:highlight w:val="green"/>
        </w:rPr>
        <w:t>Name</w:t>
      </w:r>
      <w:r w:rsidR="00A73362" w:rsidRPr="00F16AA2">
        <w:t>]</w:t>
      </w:r>
      <w:r w:rsidRPr="00F16AA2">
        <w:br/>
        <w:t>[</w:t>
      </w:r>
      <w:r w:rsidRPr="00F16AA2">
        <w:rPr>
          <w:highlight w:val="green"/>
        </w:rPr>
        <w:t>Address</w:t>
      </w:r>
      <w:r w:rsidRPr="00F16AA2">
        <w:t>]</w:t>
      </w:r>
    </w:p>
    <w:p w:rsidR="006C4A68" w:rsidRPr="00F16AA2" w:rsidRDefault="006C4A68" w:rsidP="00C550AE"/>
    <w:p w:rsidR="006C4A68" w:rsidRPr="00F16AA2" w:rsidRDefault="006C4A68" w:rsidP="00F16AA2">
      <w:pPr>
        <w:ind w:left="720" w:hanging="720"/>
        <w:rPr>
          <w:b/>
        </w:rPr>
      </w:pPr>
      <w:r w:rsidRPr="00F16AA2">
        <w:rPr>
          <w:b/>
        </w:rPr>
        <w:t>Re:</w:t>
      </w:r>
      <w:r w:rsidRPr="00F16AA2">
        <w:rPr>
          <w:b/>
        </w:rPr>
        <w:tab/>
      </w:r>
      <w:r w:rsidR="00F16AA2" w:rsidRPr="00F16AA2">
        <w:rPr>
          <w:b/>
        </w:rPr>
        <w:t xml:space="preserve">Victims’ Rights Implicated by </w:t>
      </w:r>
      <w:r w:rsidR="008B0C4F" w:rsidRPr="00F16AA2">
        <w:rPr>
          <w:b/>
        </w:rPr>
        <w:t xml:space="preserve">Temporary Criminal Case </w:t>
      </w:r>
      <w:r w:rsidRPr="00F16AA2">
        <w:rPr>
          <w:b/>
        </w:rPr>
        <w:t>Procedures</w:t>
      </w:r>
      <w:r w:rsidR="008B0C4F" w:rsidRPr="00F16AA2">
        <w:rPr>
          <w:b/>
        </w:rPr>
        <w:t xml:space="preserve"> in Response to </w:t>
      </w:r>
      <w:r w:rsidRPr="00F16AA2">
        <w:rPr>
          <w:b/>
        </w:rPr>
        <w:t>COVID-19</w:t>
      </w:r>
      <w:r w:rsidR="008B0C4F" w:rsidRPr="00F16AA2">
        <w:rPr>
          <w:b/>
        </w:rPr>
        <w:t xml:space="preserve"> </w:t>
      </w:r>
    </w:p>
    <w:p w:rsidR="006C4A68" w:rsidRPr="00F16AA2" w:rsidRDefault="006C4A68" w:rsidP="00C550AE">
      <w:pPr>
        <w:ind w:left="1440" w:hanging="720"/>
      </w:pPr>
    </w:p>
    <w:p w:rsidR="006C4A68" w:rsidRPr="00F16AA2" w:rsidRDefault="006C4A68" w:rsidP="00C550AE">
      <w:r w:rsidRPr="00F16AA2">
        <w:t>Dear Chief Judge:</w:t>
      </w:r>
    </w:p>
    <w:p w:rsidR="008B0C4F" w:rsidRPr="00F16AA2" w:rsidRDefault="006C4A68" w:rsidP="00C550AE">
      <w:r w:rsidRPr="00F16AA2">
        <w:tab/>
      </w:r>
    </w:p>
    <w:p w:rsidR="008B0C4F" w:rsidRPr="00F16AA2" w:rsidRDefault="00C35386" w:rsidP="008B0C4F">
      <w:r w:rsidRPr="00F16AA2">
        <w:t>In responding to the COVID-19 pandemic</w:t>
      </w:r>
      <w:r w:rsidR="008B0C4F" w:rsidRPr="00F16AA2">
        <w:t xml:space="preserve"> </w:t>
      </w:r>
      <w:r w:rsidR="00F16AA2">
        <w:t>through criminal court docket and case management</w:t>
      </w:r>
      <w:r w:rsidR="00F16AA2" w:rsidRPr="00F16AA2">
        <w:t xml:space="preserve">, it is incumbent on courts to consider the </w:t>
      </w:r>
      <w:r w:rsidR="00F16AA2">
        <w:t>legal rights of all participants in criminal justice, including crime victims</w:t>
      </w:r>
      <w:r w:rsidRPr="00F16AA2">
        <w:t xml:space="preserve">.  </w:t>
      </w:r>
      <w:r w:rsidR="00F16AA2">
        <w:t>C</w:t>
      </w:r>
      <w:r w:rsidR="008B0C4F" w:rsidRPr="00F16AA2">
        <w:t>rime victims have the rights to be present, [</w:t>
      </w:r>
      <w:r w:rsidR="008B0C4F" w:rsidRPr="00F16AA2">
        <w:rPr>
          <w:highlight w:val="green"/>
        </w:rPr>
        <w:t>Insert Citation to jurisdiction’s constitution and statute, as appropriate</w:t>
      </w:r>
      <w:r w:rsidR="008B0C4F" w:rsidRPr="00F16AA2">
        <w:t xml:space="preserve">] and to </w:t>
      </w:r>
      <w:proofErr w:type="gramStart"/>
      <w:r w:rsidR="008B0C4F" w:rsidRPr="00F16AA2">
        <w:t>be heard</w:t>
      </w:r>
      <w:proofErr w:type="gramEnd"/>
      <w:r w:rsidR="008B0C4F" w:rsidRPr="00F16AA2">
        <w:t xml:space="preserve"> during certain proceedings, including release hearings.  [</w:t>
      </w:r>
      <w:r w:rsidR="008B0C4F" w:rsidRPr="00F16AA2">
        <w:rPr>
          <w:highlight w:val="green"/>
        </w:rPr>
        <w:t>Insert citation to jurisdiction’s statutory and constitutional provisions</w:t>
      </w:r>
      <w:r w:rsidR="008B0C4F" w:rsidRPr="00F16AA2">
        <w:t xml:space="preserve">].  Any adopted court procedure that does not </w:t>
      </w:r>
      <w:r w:rsidR="00F16AA2">
        <w:t xml:space="preserve">afford these </w:t>
      </w:r>
      <w:r w:rsidR="008B0C4F" w:rsidRPr="00F16AA2">
        <w:t xml:space="preserve">rights is </w:t>
      </w:r>
      <w:r w:rsidR="00F16AA2">
        <w:t xml:space="preserve">a </w:t>
      </w:r>
      <w:r w:rsidR="008B0C4F" w:rsidRPr="00F16AA2">
        <w:t xml:space="preserve">violation of </w:t>
      </w:r>
      <w:r w:rsidR="00F16AA2">
        <w:t xml:space="preserve">the </w:t>
      </w:r>
      <w:r w:rsidR="008B0C4F" w:rsidRPr="00F16AA2">
        <w:t xml:space="preserve">rights.  </w:t>
      </w:r>
    </w:p>
    <w:p w:rsidR="008B0C4F" w:rsidRPr="00F16AA2" w:rsidRDefault="008B0C4F" w:rsidP="008B0C4F"/>
    <w:p w:rsidR="008B0C4F" w:rsidRPr="00F16AA2" w:rsidRDefault="00F16AA2" w:rsidP="008B0C4F">
      <w:r>
        <w:t>T</w:t>
      </w:r>
      <w:r w:rsidR="008B0C4F" w:rsidRPr="00F16AA2">
        <w:t xml:space="preserve">o comply with victims’ rights, if a criminal proceeding is </w:t>
      </w:r>
      <w:r>
        <w:t>to be continued</w:t>
      </w:r>
      <w:r w:rsidR="008B0C4F" w:rsidRPr="00F16AA2">
        <w:t xml:space="preserve">, courts must ensure that victims </w:t>
      </w:r>
      <w:r>
        <w:t xml:space="preserve">receive timely </w:t>
      </w:r>
      <w:r w:rsidR="008B0C4F" w:rsidRPr="00F16AA2">
        <w:t xml:space="preserve">notice of the delay and the </w:t>
      </w:r>
      <w:r>
        <w:t xml:space="preserve">proposed </w:t>
      </w:r>
      <w:r w:rsidR="008B0C4F" w:rsidRPr="00F16AA2">
        <w:t>new court date</w:t>
      </w:r>
      <w:r>
        <w:t xml:space="preserve">, and that they have an opportunity to have input regarding the delay.  </w:t>
      </w:r>
      <w:r w:rsidR="008B0C4F" w:rsidRPr="00F16AA2">
        <w:t xml:space="preserve">If </w:t>
      </w:r>
      <w:r>
        <w:t xml:space="preserve">a </w:t>
      </w:r>
      <w:r w:rsidR="008B0C4F" w:rsidRPr="00F16AA2">
        <w:t>defendant’s constitutional rights require a proceeding to move forward, accommodat</w:t>
      </w:r>
      <w:r w:rsidR="00C35386" w:rsidRPr="00F16AA2">
        <w:t>ions</w:t>
      </w:r>
      <w:r w:rsidR="008B0C4F" w:rsidRPr="00F16AA2">
        <w:t xml:space="preserve"> for the victim(s) </w:t>
      </w:r>
      <w:r w:rsidR="00C35386" w:rsidRPr="00F16AA2">
        <w:t xml:space="preserve">who wish to exercise their </w:t>
      </w:r>
      <w:r w:rsidR="008B0C4F" w:rsidRPr="00F16AA2">
        <w:t xml:space="preserve">rights to be present and heard (if relevant).  </w:t>
      </w:r>
      <w:r>
        <w:t xml:space="preserve">In this time of </w:t>
      </w:r>
      <w:proofErr w:type="gramStart"/>
      <w:r>
        <w:t>pandemic</w:t>
      </w:r>
      <w:proofErr w:type="gramEnd"/>
      <w:r>
        <w:t xml:space="preserve"> t</w:t>
      </w:r>
      <w:r w:rsidR="008B0C4F" w:rsidRPr="00F16AA2">
        <w:t xml:space="preserve">his means that alternative </w:t>
      </w:r>
      <w:r w:rsidR="0042476B" w:rsidRPr="00F16AA2">
        <w:t>methods to be present</w:t>
      </w:r>
      <w:r w:rsidR="008B0C4F" w:rsidRPr="00F16AA2">
        <w:t xml:space="preserve"> must be made available.  </w:t>
      </w:r>
      <w:r>
        <w:t>V</w:t>
      </w:r>
      <w:r w:rsidR="00C35386" w:rsidRPr="00F16AA2">
        <w:t xml:space="preserve">ictims </w:t>
      </w:r>
      <w:proofErr w:type="gramStart"/>
      <w:r>
        <w:t>cannot be put</w:t>
      </w:r>
      <w:proofErr w:type="gramEnd"/>
      <w:r>
        <w:t xml:space="preserve"> </w:t>
      </w:r>
      <w:r w:rsidR="00C35386" w:rsidRPr="00F16AA2">
        <w:t>to the Hobson choice of exercising their rights and accessing justice or safeguarding their health.</w:t>
      </w:r>
    </w:p>
    <w:p w:rsidR="00C35386" w:rsidRPr="00F16AA2" w:rsidRDefault="00C35386" w:rsidP="008B0C4F"/>
    <w:p w:rsidR="00C35386" w:rsidRPr="00F16AA2" w:rsidRDefault="00C35386" w:rsidP="00C35386">
      <w:r w:rsidRPr="00F16AA2">
        <w:t xml:space="preserve">During this time when courts must balance individual </w:t>
      </w:r>
      <w:r w:rsidR="006747D2" w:rsidRPr="00F16AA2">
        <w:t>rights</w:t>
      </w:r>
      <w:r w:rsidRPr="00F16AA2">
        <w:t xml:space="preserve"> with the public health and government closure mandates, court orders must not forget the victim’s </w:t>
      </w:r>
      <w:r w:rsidR="00F16AA2">
        <w:t xml:space="preserve">rights and </w:t>
      </w:r>
      <w:r w:rsidRPr="00F16AA2">
        <w:t xml:space="preserve">interests. A deprivation of these rights </w:t>
      </w:r>
      <w:proofErr w:type="gramStart"/>
      <w:r w:rsidRPr="00F16AA2">
        <w:t>will not be excused</w:t>
      </w:r>
      <w:proofErr w:type="gramEnd"/>
      <w:r w:rsidRPr="00F16AA2">
        <w:t xml:space="preserve"> by administrative inconvenience and logistical difficulty. </w:t>
      </w:r>
      <w:r w:rsidR="00F16AA2">
        <w:t xml:space="preserve"> </w:t>
      </w:r>
      <w:r w:rsidRPr="00F16AA2">
        <w:rPr>
          <w:i/>
        </w:rPr>
        <w:t>Cf.</w:t>
      </w:r>
      <w:r w:rsidRPr="00F16AA2">
        <w:t xml:space="preserve"> </w:t>
      </w:r>
      <w:r w:rsidRPr="00F16AA2">
        <w:rPr>
          <w:i/>
        </w:rPr>
        <w:t>Wolfish v. Levi</w:t>
      </w:r>
      <w:r w:rsidRPr="00F16AA2">
        <w:t>, 573 F.2d 118, 127 (</w:t>
      </w:r>
      <w:proofErr w:type="gramStart"/>
      <w:r w:rsidRPr="00F16AA2">
        <w:t>2d</w:t>
      </w:r>
      <w:proofErr w:type="gramEnd"/>
      <w:r w:rsidRPr="00F16AA2">
        <w:t xml:space="preserve"> Cir. 1978), </w:t>
      </w:r>
      <w:proofErr w:type="spellStart"/>
      <w:r w:rsidRPr="00F16AA2">
        <w:rPr>
          <w:i/>
        </w:rPr>
        <w:t>rev'd</w:t>
      </w:r>
      <w:proofErr w:type="spellEnd"/>
      <w:r w:rsidRPr="00F16AA2">
        <w:rPr>
          <w:i/>
        </w:rPr>
        <w:t xml:space="preserve"> sub nom. Bell v. Wolfish</w:t>
      </w:r>
      <w:r w:rsidRPr="00F16AA2">
        <w:t xml:space="preserve">, 441 U.S. 520, 99 S. Ct. 1861, 60 L. Ed. 2d 447 (1979) (finding that administrative inconvenience can never excuse the deprivation of </w:t>
      </w:r>
      <w:bookmarkStart w:id="0" w:name="_GoBack"/>
      <w:bookmarkEnd w:id="0"/>
      <w:r w:rsidRPr="00F16AA2">
        <w:t xml:space="preserve">constitutional rights).  </w:t>
      </w:r>
    </w:p>
    <w:p w:rsidR="006747D2" w:rsidRPr="00F16AA2" w:rsidRDefault="006747D2" w:rsidP="006747D2"/>
    <w:p w:rsidR="006747D2" w:rsidRPr="00F16AA2" w:rsidRDefault="006747D2" w:rsidP="006747D2">
      <w:r w:rsidRPr="00F16AA2">
        <w:lastRenderedPageBreak/>
        <w:t xml:space="preserve">Notably, violating victims’ rights will not only harm the individual victim, </w:t>
      </w:r>
      <w:proofErr w:type="gramStart"/>
      <w:r w:rsidRPr="00F16AA2">
        <w:t>but</w:t>
      </w:r>
      <w:proofErr w:type="gramEnd"/>
      <w:r w:rsidRPr="00F16AA2">
        <w:t xml:space="preserve"> it will have a secondary effect on the court system.  At </w:t>
      </w:r>
      <w:r w:rsidR="00F16AA2">
        <w:t xml:space="preserve">the very </w:t>
      </w:r>
      <w:r w:rsidRPr="00F16AA2">
        <w:t xml:space="preserve">time when the courts </w:t>
      </w:r>
      <w:r w:rsidR="00F16AA2">
        <w:t xml:space="preserve">are </w:t>
      </w:r>
      <w:r w:rsidRPr="00F16AA2">
        <w:t>trying to reduce their workload, failure to consider victims’ rights risks court congestion and increased health risks for the community as victims whose rights have been violated will have to seek court reconsideration.</w:t>
      </w:r>
    </w:p>
    <w:p w:rsidR="008B0C4F" w:rsidRPr="00F16AA2" w:rsidRDefault="008B0C4F" w:rsidP="008B0C4F"/>
    <w:p w:rsidR="008B0C4F" w:rsidRPr="00F16AA2" w:rsidRDefault="00C35386" w:rsidP="008B0C4F">
      <w:r w:rsidRPr="00F16AA2">
        <w:t xml:space="preserve">Incorporating such alternate procedures as necessary is the only way that the </w:t>
      </w:r>
      <w:r w:rsidR="00245642">
        <w:t>c</w:t>
      </w:r>
      <w:r w:rsidRPr="00F16AA2">
        <w:t xml:space="preserve">ourts can comply with the law and truly be in the best interest of the administration of justice.  </w:t>
      </w:r>
      <w:r w:rsidRPr="00F16AA2">
        <w:rPr>
          <w:i/>
          <w:iCs/>
        </w:rPr>
        <w:t>See Payne v. Tennessee</w:t>
      </w:r>
      <w:r w:rsidRPr="00F16AA2">
        <w:t>, 501 U.S. 808, 827, 111 S. Ct. 2597, 115 L. Ed. 2d 720 (1991) (“‘[J]</w:t>
      </w:r>
      <w:proofErr w:type="spellStart"/>
      <w:r w:rsidRPr="00F16AA2">
        <w:t>ustice</w:t>
      </w:r>
      <w:proofErr w:type="spellEnd"/>
      <w:r w:rsidRPr="00F16AA2">
        <w:t xml:space="preserve">, though due to the accused, is due to the accuser also. The concept of fairness </w:t>
      </w:r>
      <w:proofErr w:type="gramStart"/>
      <w:r w:rsidRPr="00F16AA2">
        <w:t>must not be strained</w:t>
      </w:r>
      <w:proofErr w:type="gramEnd"/>
      <w:r w:rsidRPr="00F16AA2">
        <w:t xml:space="preserve"> </w:t>
      </w:r>
      <w:proofErr w:type="spellStart"/>
      <w:r w:rsidRPr="00F16AA2">
        <w:t>til</w:t>
      </w:r>
      <w:proofErr w:type="spellEnd"/>
      <w:r w:rsidRPr="00F16AA2">
        <w:t xml:space="preserve"> it is narrowed to a filament. We are to keep the balance true.’” (quoting </w:t>
      </w:r>
      <w:r w:rsidRPr="00F16AA2">
        <w:rPr>
          <w:i/>
          <w:iCs/>
        </w:rPr>
        <w:t>Snyder v. Massachusetts</w:t>
      </w:r>
      <w:r w:rsidRPr="00F16AA2">
        <w:t xml:space="preserve">, 291 U.S. 97, 122, 54 </w:t>
      </w:r>
      <w:proofErr w:type="spellStart"/>
      <w:r w:rsidRPr="00F16AA2">
        <w:t>S.Ct</w:t>
      </w:r>
      <w:proofErr w:type="spellEnd"/>
      <w:r w:rsidRPr="00F16AA2">
        <w:t xml:space="preserve">. 330, 78 </w:t>
      </w:r>
      <w:proofErr w:type="spellStart"/>
      <w:r w:rsidRPr="00F16AA2">
        <w:t>L.Ed</w:t>
      </w:r>
      <w:proofErr w:type="spellEnd"/>
      <w:r w:rsidRPr="00F16AA2">
        <w:t>. 674 (1934))).</w:t>
      </w:r>
    </w:p>
    <w:p w:rsidR="008B0C4F" w:rsidRDefault="008B0C4F" w:rsidP="00C550AE"/>
    <w:p w:rsidR="00F16AA2" w:rsidRPr="00F16AA2" w:rsidRDefault="00F16AA2" w:rsidP="00C550AE">
      <w:r w:rsidRPr="00F16AA2">
        <w:t xml:space="preserve">Recognizing the unprecedented times we are in, we certainly appreciate the Court’s quick attention to the human impacts of criminal justice </w:t>
      </w:r>
      <w:r>
        <w:t>that [</w:t>
      </w:r>
      <w:r w:rsidRPr="00F16AA2">
        <w:rPr>
          <w:highlight w:val="green"/>
        </w:rPr>
        <w:t>is driving/drove</w:t>
      </w:r>
      <w:r>
        <w:t xml:space="preserve">] issuance of court orders, </w:t>
      </w:r>
      <w:r w:rsidRPr="00F16AA2">
        <w:t xml:space="preserve">and </w:t>
      </w:r>
      <w:r>
        <w:t xml:space="preserve">we </w:t>
      </w:r>
      <w:r w:rsidRPr="00F16AA2">
        <w:t xml:space="preserve">hope that the Court will act as expeditiously to </w:t>
      </w:r>
      <w:r>
        <w:t>ensure all orders factor victims’ rights</w:t>
      </w:r>
      <w:r w:rsidRPr="00F16AA2">
        <w:t>.</w:t>
      </w:r>
    </w:p>
    <w:p w:rsidR="008B0C4F" w:rsidRPr="00F16AA2" w:rsidRDefault="008B0C4F" w:rsidP="00C550AE"/>
    <w:p w:rsidR="006C4A68" w:rsidRPr="00F16AA2" w:rsidRDefault="006C4A68" w:rsidP="00F16AA2">
      <w:pPr>
        <w:jc w:val="both"/>
      </w:pPr>
      <w:r w:rsidRPr="00F16AA2">
        <w:t>Respectfull</w:t>
      </w:r>
      <w:r w:rsidR="002F7C8D" w:rsidRPr="00F16AA2">
        <w:t>y,</w:t>
      </w:r>
    </w:p>
    <w:p w:rsidR="007D4898" w:rsidRPr="00F16AA2" w:rsidRDefault="007D4898" w:rsidP="00F16AA2">
      <w:pPr>
        <w:jc w:val="both"/>
      </w:pPr>
      <w:r w:rsidRPr="00F16AA2">
        <w:t>[</w:t>
      </w:r>
      <w:r w:rsidRPr="00F16AA2">
        <w:rPr>
          <w:highlight w:val="green"/>
        </w:rPr>
        <w:t>Sign</w:t>
      </w:r>
      <w:r w:rsidRPr="00F16AA2">
        <w:t>]</w:t>
      </w:r>
    </w:p>
    <w:p w:rsidR="006D2155" w:rsidRPr="00F16AA2" w:rsidRDefault="006C4A68" w:rsidP="00F16AA2">
      <w:pPr>
        <w:jc w:val="both"/>
      </w:pPr>
      <w:r w:rsidRPr="00F16AA2">
        <w:tab/>
      </w:r>
    </w:p>
    <w:sectPr w:rsidR="006D2155" w:rsidRPr="00F16AA2" w:rsidSect="006B2B37">
      <w:headerReference w:type="default" r:id="rId8"/>
      <w:footerReference w:type="default" r:id="rId9"/>
      <w:headerReference w:type="first" r:id="rId10"/>
      <w:footerReference w:type="first" r:id="rId11"/>
      <w:pgSz w:w="12240" w:h="15840" w:code="1"/>
      <w:pgMar w:top="2880" w:right="1440" w:bottom="1296" w:left="1440" w:header="446"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869" w:rsidRDefault="00822869">
      <w:r>
        <w:separator/>
      </w:r>
    </w:p>
  </w:endnote>
  <w:endnote w:type="continuationSeparator" w:id="0">
    <w:p w:rsidR="00822869" w:rsidRDefault="00822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AD" w:rsidRDefault="004304AD" w:rsidP="00D2579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15E" w:rsidRDefault="005C2A0E" w:rsidP="00952843">
    <w:pPr>
      <w:pStyle w:val="Footer"/>
      <w:jc w:val="center"/>
    </w:pPr>
    <w:r>
      <w:rPr>
        <w:noProof/>
      </w:rPr>
      <w:drawing>
        <wp:inline distT="0" distB="0" distL="0" distR="0" wp14:anchorId="53190D58" wp14:editId="0321D58B">
          <wp:extent cx="3790950" cy="45533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 footer for 2017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3803816" cy="4568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869" w:rsidRDefault="00822869">
      <w:r>
        <w:separator/>
      </w:r>
    </w:p>
  </w:footnote>
  <w:footnote w:type="continuationSeparator" w:id="0">
    <w:p w:rsidR="00822869" w:rsidRDefault="00822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AD" w:rsidRPr="009C156A" w:rsidRDefault="004304AD" w:rsidP="00FE5C6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15E" w:rsidRDefault="00707CB9">
    <w:pPr>
      <w:pStyle w:val="Header"/>
    </w:pPr>
    <w:r>
      <w:rPr>
        <w:noProof/>
      </w:rPr>
      <w:drawing>
        <wp:anchor distT="0" distB="0" distL="114300" distR="114300" simplePos="0" relativeHeight="251659264" behindDoc="1" locked="1" layoutInCell="1" allowOverlap="1" wp14:anchorId="416D25F2" wp14:editId="13558697">
          <wp:simplePos x="0" y="0"/>
          <wp:positionH relativeFrom="page">
            <wp:posOffset>285115</wp:posOffset>
          </wp:positionH>
          <wp:positionV relativeFrom="page">
            <wp:posOffset>314325</wp:posOffset>
          </wp:positionV>
          <wp:extent cx="3208020" cy="972185"/>
          <wp:effectExtent l="0" t="0" r="0" b="0"/>
          <wp:wrapNone/>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CVLIlogo_w-taglin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208020" cy="972185"/>
                  </a:xfrm>
                  <a:prstGeom prst="rect">
                    <a:avLst/>
                  </a:prstGeom>
                  <a:noFill/>
                </pic:spPr>
              </pic:pic>
            </a:graphicData>
          </a:graphic>
          <wp14:sizeRelH relativeFrom="page">
            <wp14:pctWidth>0</wp14:pctWidth>
          </wp14:sizeRelH>
          <wp14:sizeRelV relativeFrom="page">
            <wp14:pctHeight>0</wp14:pctHeight>
          </wp14:sizeRelV>
        </wp:anchor>
      </w:drawing>
    </w:r>
  </w:p>
  <w:p w:rsidR="0032615E" w:rsidRDefault="0032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0F59"/>
    <w:multiLevelType w:val="hybridMultilevel"/>
    <w:tmpl w:val="007AB7FC"/>
    <w:lvl w:ilvl="0" w:tplc="04090003">
      <w:start w:val="1"/>
      <w:numFmt w:val="bullet"/>
      <w:lvlText w:val="o"/>
      <w:lvlJc w:val="left"/>
      <w:pPr>
        <w:tabs>
          <w:tab w:val="num" w:pos="780"/>
        </w:tabs>
        <w:ind w:left="780" w:hanging="360"/>
      </w:pPr>
      <w:rPr>
        <w:rFonts w:ascii="Courier New" w:hAnsi="Courier New" w:cs="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353C7D8D"/>
    <w:multiLevelType w:val="hybridMultilevel"/>
    <w:tmpl w:val="8F1C91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EAE273E"/>
    <w:multiLevelType w:val="hybridMultilevel"/>
    <w:tmpl w:val="4E84A4E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640042C"/>
    <w:multiLevelType w:val="hybridMultilevel"/>
    <w:tmpl w:val="77A67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F47"/>
    <w:rsid w:val="000069C7"/>
    <w:rsid w:val="000101AB"/>
    <w:rsid w:val="000136C5"/>
    <w:rsid w:val="00022BC9"/>
    <w:rsid w:val="0004109F"/>
    <w:rsid w:val="00042ADA"/>
    <w:rsid w:val="0006643A"/>
    <w:rsid w:val="0007259D"/>
    <w:rsid w:val="000944AF"/>
    <w:rsid w:val="000D43B3"/>
    <w:rsid w:val="000F6514"/>
    <w:rsid w:val="00103CEC"/>
    <w:rsid w:val="001166CE"/>
    <w:rsid w:val="00120F5C"/>
    <w:rsid w:val="00127CFA"/>
    <w:rsid w:val="001470E8"/>
    <w:rsid w:val="00177F78"/>
    <w:rsid w:val="001D6BEF"/>
    <w:rsid w:val="001E2C4A"/>
    <w:rsid w:val="001F5C90"/>
    <w:rsid w:val="001F6787"/>
    <w:rsid w:val="00245642"/>
    <w:rsid w:val="0024564A"/>
    <w:rsid w:val="00247E22"/>
    <w:rsid w:val="00251F47"/>
    <w:rsid w:val="00273BA1"/>
    <w:rsid w:val="00274D8B"/>
    <w:rsid w:val="002775BA"/>
    <w:rsid w:val="002906DB"/>
    <w:rsid w:val="002A48D6"/>
    <w:rsid w:val="002B6946"/>
    <w:rsid w:val="002B7771"/>
    <w:rsid w:val="002E1AA0"/>
    <w:rsid w:val="002F7C8D"/>
    <w:rsid w:val="00312B30"/>
    <w:rsid w:val="0032615E"/>
    <w:rsid w:val="00330967"/>
    <w:rsid w:val="003444FF"/>
    <w:rsid w:val="00396E6D"/>
    <w:rsid w:val="003A7FE7"/>
    <w:rsid w:val="003B6B7E"/>
    <w:rsid w:val="003E00BD"/>
    <w:rsid w:val="0040365A"/>
    <w:rsid w:val="0042476B"/>
    <w:rsid w:val="00425FF2"/>
    <w:rsid w:val="004304AD"/>
    <w:rsid w:val="00447800"/>
    <w:rsid w:val="00462C1B"/>
    <w:rsid w:val="00465298"/>
    <w:rsid w:val="00473DDC"/>
    <w:rsid w:val="00480CEF"/>
    <w:rsid w:val="004827CE"/>
    <w:rsid w:val="004A7AC6"/>
    <w:rsid w:val="004C1F51"/>
    <w:rsid w:val="004D12B3"/>
    <w:rsid w:val="005018F6"/>
    <w:rsid w:val="0051050D"/>
    <w:rsid w:val="00563594"/>
    <w:rsid w:val="00565349"/>
    <w:rsid w:val="00566465"/>
    <w:rsid w:val="0057003A"/>
    <w:rsid w:val="005C2A0E"/>
    <w:rsid w:val="005C5509"/>
    <w:rsid w:val="005E0DB4"/>
    <w:rsid w:val="005E2BE5"/>
    <w:rsid w:val="005E701D"/>
    <w:rsid w:val="005F779C"/>
    <w:rsid w:val="0065150D"/>
    <w:rsid w:val="006622D8"/>
    <w:rsid w:val="006747D2"/>
    <w:rsid w:val="00680D7C"/>
    <w:rsid w:val="006959A1"/>
    <w:rsid w:val="006B2B37"/>
    <w:rsid w:val="006C4A68"/>
    <w:rsid w:val="006D2155"/>
    <w:rsid w:val="00707CB9"/>
    <w:rsid w:val="00722C3C"/>
    <w:rsid w:val="00754B3F"/>
    <w:rsid w:val="00760098"/>
    <w:rsid w:val="00760F93"/>
    <w:rsid w:val="00762411"/>
    <w:rsid w:val="00767466"/>
    <w:rsid w:val="00771404"/>
    <w:rsid w:val="007D4898"/>
    <w:rsid w:val="00805527"/>
    <w:rsid w:val="00822869"/>
    <w:rsid w:val="00853821"/>
    <w:rsid w:val="0089535B"/>
    <w:rsid w:val="008B0C4F"/>
    <w:rsid w:val="008C5D8F"/>
    <w:rsid w:val="00952843"/>
    <w:rsid w:val="00984F98"/>
    <w:rsid w:val="009C156A"/>
    <w:rsid w:val="009F778D"/>
    <w:rsid w:val="00A16A58"/>
    <w:rsid w:val="00A2771B"/>
    <w:rsid w:val="00A73362"/>
    <w:rsid w:val="00A77305"/>
    <w:rsid w:val="00AC0991"/>
    <w:rsid w:val="00B03B0D"/>
    <w:rsid w:val="00B42302"/>
    <w:rsid w:val="00B73E05"/>
    <w:rsid w:val="00B867BA"/>
    <w:rsid w:val="00BB5DC6"/>
    <w:rsid w:val="00BD7130"/>
    <w:rsid w:val="00C14050"/>
    <w:rsid w:val="00C25D26"/>
    <w:rsid w:val="00C35386"/>
    <w:rsid w:val="00C44BBD"/>
    <w:rsid w:val="00C550AE"/>
    <w:rsid w:val="00C64B1F"/>
    <w:rsid w:val="00CA1A70"/>
    <w:rsid w:val="00CB028A"/>
    <w:rsid w:val="00CB6DD1"/>
    <w:rsid w:val="00CE094A"/>
    <w:rsid w:val="00CE0993"/>
    <w:rsid w:val="00D132CC"/>
    <w:rsid w:val="00D25790"/>
    <w:rsid w:val="00D30F0D"/>
    <w:rsid w:val="00D577AE"/>
    <w:rsid w:val="00DD45BB"/>
    <w:rsid w:val="00E00FF6"/>
    <w:rsid w:val="00E12EF0"/>
    <w:rsid w:val="00E45252"/>
    <w:rsid w:val="00E454FF"/>
    <w:rsid w:val="00EB215E"/>
    <w:rsid w:val="00ED0A7E"/>
    <w:rsid w:val="00F05282"/>
    <w:rsid w:val="00F0568B"/>
    <w:rsid w:val="00F16AA2"/>
    <w:rsid w:val="00F45C99"/>
    <w:rsid w:val="00F634B9"/>
    <w:rsid w:val="00F73FBB"/>
    <w:rsid w:val="00FA7A89"/>
    <w:rsid w:val="00FB25E2"/>
    <w:rsid w:val="00FE5C6D"/>
    <w:rsid w:val="00FF33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6096B8"/>
  <w15:docId w15:val="{78E1442E-8C60-405C-9DF3-CEBEBB94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29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0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166CE"/>
    <w:pPr>
      <w:tabs>
        <w:tab w:val="center" w:pos="4320"/>
        <w:tab w:val="right" w:pos="8640"/>
      </w:tabs>
    </w:pPr>
  </w:style>
  <w:style w:type="paragraph" w:styleId="Footer">
    <w:name w:val="footer"/>
    <w:basedOn w:val="Normal"/>
    <w:link w:val="FooterChar"/>
    <w:uiPriority w:val="99"/>
    <w:rsid w:val="001166CE"/>
    <w:pPr>
      <w:tabs>
        <w:tab w:val="center" w:pos="4320"/>
        <w:tab w:val="right" w:pos="8640"/>
      </w:tabs>
    </w:pPr>
  </w:style>
  <w:style w:type="character" w:customStyle="1" w:styleId="FooterChar">
    <w:name w:val="Footer Char"/>
    <w:link w:val="Footer"/>
    <w:uiPriority w:val="99"/>
    <w:rsid w:val="00473DDC"/>
    <w:rPr>
      <w:sz w:val="24"/>
      <w:szCs w:val="24"/>
    </w:rPr>
  </w:style>
  <w:style w:type="paragraph" w:styleId="BalloonText">
    <w:name w:val="Balloon Text"/>
    <w:basedOn w:val="Normal"/>
    <w:link w:val="BalloonTextChar"/>
    <w:rsid w:val="00473DDC"/>
    <w:rPr>
      <w:rFonts w:ascii="Tahoma" w:hAnsi="Tahoma" w:cs="Tahoma"/>
      <w:sz w:val="16"/>
      <w:szCs w:val="16"/>
    </w:rPr>
  </w:style>
  <w:style w:type="character" w:customStyle="1" w:styleId="BalloonTextChar">
    <w:name w:val="Balloon Text Char"/>
    <w:link w:val="BalloonText"/>
    <w:rsid w:val="00473DDC"/>
    <w:rPr>
      <w:rFonts w:ascii="Tahoma" w:hAnsi="Tahoma" w:cs="Tahoma"/>
      <w:sz w:val="16"/>
      <w:szCs w:val="16"/>
    </w:rPr>
  </w:style>
  <w:style w:type="character" w:styleId="Hyperlink">
    <w:name w:val="Hyperlink"/>
    <w:rsid w:val="00473DDC"/>
    <w:rPr>
      <w:color w:val="0000FF"/>
      <w:u w:val="single"/>
    </w:rPr>
  </w:style>
  <w:style w:type="character" w:customStyle="1" w:styleId="HeaderChar">
    <w:name w:val="Header Char"/>
    <w:link w:val="Header"/>
    <w:uiPriority w:val="99"/>
    <w:rsid w:val="0032615E"/>
    <w:rPr>
      <w:sz w:val="24"/>
      <w:szCs w:val="24"/>
    </w:rPr>
  </w:style>
  <w:style w:type="paragraph" w:styleId="ListParagraph">
    <w:name w:val="List Paragraph"/>
    <w:basedOn w:val="Normal"/>
    <w:uiPriority w:val="34"/>
    <w:qFormat/>
    <w:rsid w:val="006C4A68"/>
    <w:pPr>
      <w:spacing w:after="160" w:line="259" w:lineRule="auto"/>
      <w:ind w:left="720"/>
      <w:contextualSpacing/>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E914C-E64B-4B36-8906-62641A5D3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NAVRA MISSION STATEMENT</vt:lpstr>
    </vt:vector>
  </TitlesOfParts>
  <Company>Lewis &amp; Clark Law School</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NAVRA MISSION STATEMENT</dc:title>
  <dc:creator>NCVLI</dc:creator>
  <cp:lastModifiedBy>MAG</cp:lastModifiedBy>
  <cp:revision>2</cp:revision>
  <cp:lastPrinted>2013-01-08T21:03:00Z</cp:lastPrinted>
  <dcterms:created xsi:type="dcterms:W3CDTF">2020-03-24T23:30:00Z</dcterms:created>
  <dcterms:modified xsi:type="dcterms:W3CDTF">2020-03-24T23:30:00Z</dcterms:modified>
</cp:coreProperties>
</file>