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55B3C0B" w14:textId="426B3A66" w:rsidR="005045C7" w:rsidRDefault="005045C7" w:rsidP="005045C7">
      <w:pPr>
        <w:jc w:val="center"/>
        <w:rPr>
          <w:rFonts w:ascii="Garamond" w:hAnsi="Garamond"/>
          <w:b/>
          <w:bCs/>
        </w:rPr>
      </w:pPr>
      <w:r w:rsidRPr="00C7295F">
        <w:rPr>
          <w:rFonts w:ascii="Garamond" w:hAnsi="Garamond"/>
          <w:b/>
          <w:bCs/>
        </w:rPr>
        <w:t xml:space="preserve">A possible way to </w:t>
      </w:r>
      <w:r w:rsidR="003C12F0" w:rsidRPr="00C7295F">
        <w:rPr>
          <w:rFonts w:ascii="Garamond" w:hAnsi="Garamond"/>
          <w:b/>
          <w:bCs/>
        </w:rPr>
        <w:t xml:space="preserve">synthesize </w:t>
      </w:r>
      <w:r w:rsidR="001C4CA4" w:rsidRPr="00C7295F">
        <w:rPr>
          <w:rFonts w:ascii="Garamond" w:hAnsi="Garamond"/>
          <w:b/>
          <w:bCs/>
        </w:rPr>
        <w:t xml:space="preserve">and </w:t>
      </w:r>
      <w:r w:rsidRPr="00C7295F">
        <w:rPr>
          <w:rFonts w:ascii="Garamond" w:hAnsi="Garamond"/>
          <w:b/>
          <w:bCs/>
        </w:rPr>
        <w:t xml:space="preserve">outline </w:t>
      </w:r>
      <w:proofErr w:type="spellStart"/>
      <w:r w:rsidR="00BD14C6">
        <w:rPr>
          <w:rFonts w:ascii="Garamond" w:hAnsi="Garamond"/>
          <w:b/>
          <w:bCs/>
          <w:i/>
          <w:iCs/>
        </w:rPr>
        <w:t>Twiqbal</w:t>
      </w:r>
      <w:proofErr w:type="spellEnd"/>
    </w:p>
    <w:p w14:paraId="2B388DF4" w14:textId="54D6F193" w:rsidR="005A28DD" w:rsidRDefault="005A28DD" w:rsidP="005A28DD">
      <w:pPr>
        <w:jc w:val="center"/>
        <w:rPr>
          <w:rFonts w:ascii="Garamond" w:hAnsi="Garamond"/>
          <w:b/>
          <w:bCs/>
        </w:rPr>
      </w:pPr>
      <w:r>
        <w:rPr>
          <w:rFonts w:ascii="Garamond" w:hAnsi="Garamond"/>
          <w:b/>
          <w:bCs/>
        </w:rPr>
        <w:t>Civil Procedure—Gómez-Arostegui Fall 202</w:t>
      </w:r>
      <w:r w:rsidR="003D08A9">
        <w:rPr>
          <w:rFonts w:ascii="Garamond" w:hAnsi="Garamond"/>
          <w:b/>
          <w:bCs/>
        </w:rPr>
        <w:t>6</w:t>
      </w:r>
    </w:p>
    <w:p w14:paraId="3746335C" w14:textId="1B2D1309" w:rsidR="005045C7" w:rsidRDefault="005045C7" w:rsidP="005045C7">
      <w:pPr>
        <w:rPr>
          <w:rFonts w:ascii="Garamond" w:hAnsi="Garamond"/>
        </w:rPr>
      </w:pPr>
    </w:p>
    <w:p w14:paraId="2B40061B" w14:textId="217E6E3E" w:rsidR="005045C7" w:rsidRDefault="00BA6DD1" w:rsidP="005B73E3">
      <w:pPr>
        <w:rPr>
          <w:rFonts w:ascii="Garamond" w:hAnsi="Garamond"/>
        </w:rPr>
      </w:pPr>
      <w:r>
        <w:rPr>
          <w:rFonts w:ascii="Garamond" w:hAnsi="Garamond"/>
        </w:rPr>
        <w:t>I</w:t>
      </w:r>
      <w:r w:rsidR="005045C7">
        <w:rPr>
          <w:rFonts w:ascii="Garamond" w:hAnsi="Garamond"/>
        </w:rPr>
        <w:t>.</w:t>
      </w:r>
      <w:r w:rsidR="005045C7">
        <w:rPr>
          <w:rFonts w:ascii="Garamond" w:hAnsi="Garamond"/>
        </w:rPr>
        <w:tab/>
        <w:t xml:space="preserve">Filter out allegations </w:t>
      </w:r>
      <w:r w:rsidR="00400C8E">
        <w:rPr>
          <w:rFonts w:ascii="Garamond" w:hAnsi="Garamond"/>
        </w:rPr>
        <w:t xml:space="preserve">in the complaint </w:t>
      </w:r>
      <w:r w:rsidR="00746CB4">
        <w:rPr>
          <w:rFonts w:ascii="Garamond" w:hAnsi="Garamond"/>
        </w:rPr>
        <w:t xml:space="preserve">relating to a claim </w:t>
      </w:r>
      <w:r w:rsidR="005045C7">
        <w:rPr>
          <w:rFonts w:ascii="Garamond" w:hAnsi="Garamond"/>
        </w:rPr>
        <w:t>that are:</w:t>
      </w:r>
    </w:p>
    <w:p w14:paraId="2D3CC9FE" w14:textId="101DDBDC" w:rsidR="005045C7" w:rsidRDefault="005045C7" w:rsidP="005B73E3">
      <w:pPr>
        <w:rPr>
          <w:rFonts w:ascii="Garamond" w:hAnsi="Garamond"/>
        </w:rPr>
      </w:pPr>
    </w:p>
    <w:p w14:paraId="64883E71" w14:textId="706B59CB" w:rsidR="005045C7" w:rsidRDefault="005045C7" w:rsidP="005B73E3">
      <w:pPr>
        <w:rPr>
          <w:rFonts w:ascii="Garamond" w:hAnsi="Garamond"/>
        </w:rPr>
      </w:pPr>
      <w:r>
        <w:rPr>
          <w:rFonts w:ascii="Garamond" w:hAnsi="Garamond"/>
        </w:rPr>
        <w:tab/>
      </w:r>
      <w:r w:rsidR="00BA6DD1">
        <w:rPr>
          <w:rFonts w:ascii="Garamond" w:hAnsi="Garamond"/>
        </w:rPr>
        <w:t>A</w:t>
      </w:r>
      <w:r>
        <w:rPr>
          <w:rFonts w:ascii="Garamond" w:hAnsi="Garamond"/>
        </w:rPr>
        <w:t>.</w:t>
      </w:r>
      <w:r>
        <w:rPr>
          <w:rFonts w:ascii="Garamond" w:hAnsi="Garamond"/>
        </w:rPr>
        <w:tab/>
        <w:t xml:space="preserve">Pure statements of </w:t>
      </w:r>
      <w:r w:rsidR="001C72BF">
        <w:rPr>
          <w:rFonts w:ascii="Garamond" w:hAnsi="Garamond"/>
        </w:rPr>
        <w:t xml:space="preserve">the </w:t>
      </w:r>
      <w:r>
        <w:rPr>
          <w:rFonts w:ascii="Garamond" w:hAnsi="Garamond"/>
        </w:rPr>
        <w:t>law;</w:t>
      </w:r>
    </w:p>
    <w:p w14:paraId="1242FE8C" w14:textId="2F2C0D10" w:rsidR="00600DF6" w:rsidRDefault="00600DF6" w:rsidP="005B73E3">
      <w:pPr>
        <w:rPr>
          <w:rFonts w:ascii="Garamond" w:hAnsi="Garamond"/>
        </w:rPr>
      </w:pPr>
    </w:p>
    <w:p w14:paraId="47FDEE3D" w14:textId="538A0D7B" w:rsidR="00600DF6" w:rsidRDefault="00BA6DD1" w:rsidP="00702AF8">
      <w:pPr>
        <w:ind w:left="1440"/>
        <w:rPr>
          <w:rFonts w:ascii="Garamond" w:hAnsi="Garamond"/>
        </w:rPr>
      </w:pPr>
      <w:r>
        <w:rPr>
          <w:rFonts w:ascii="Garamond" w:hAnsi="Garamond"/>
        </w:rPr>
        <w:t>1</w:t>
      </w:r>
      <w:r w:rsidR="00600DF6">
        <w:rPr>
          <w:rFonts w:ascii="Garamond" w:hAnsi="Garamond"/>
        </w:rPr>
        <w:t>.</w:t>
      </w:r>
      <w:r w:rsidR="00600DF6">
        <w:rPr>
          <w:rFonts w:ascii="Garamond" w:hAnsi="Garamond"/>
        </w:rPr>
        <w:tab/>
      </w:r>
      <w:r w:rsidR="00600DF6" w:rsidRPr="00600DF6">
        <w:rPr>
          <w:rFonts w:ascii="Garamond" w:hAnsi="Garamond"/>
          <w:i/>
          <w:iCs/>
        </w:rPr>
        <w:t>E.g.</w:t>
      </w:r>
      <w:r w:rsidR="00600DF6">
        <w:rPr>
          <w:rFonts w:ascii="Garamond" w:hAnsi="Garamond"/>
        </w:rPr>
        <w:t xml:space="preserve">, “The elements of a claim </w:t>
      </w:r>
      <w:r w:rsidR="007E14C7">
        <w:rPr>
          <w:rFonts w:ascii="Garamond" w:hAnsi="Garamond"/>
        </w:rPr>
        <w:t xml:space="preserve">of negligence </w:t>
      </w:r>
      <w:r w:rsidR="00600DF6">
        <w:rPr>
          <w:rFonts w:ascii="Garamond" w:hAnsi="Garamond"/>
        </w:rPr>
        <w:t xml:space="preserve">are: </w:t>
      </w:r>
      <w:r w:rsidR="007E14C7">
        <w:rPr>
          <w:rFonts w:ascii="Garamond" w:hAnsi="Garamond"/>
        </w:rPr>
        <w:t xml:space="preserve">(1) </w:t>
      </w:r>
      <w:r w:rsidR="00600DF6">
        <w:rPr>
          <w:rFonts w:ascii="Garamond" w:hAnsi="Garamond"/>
        </w:rPr>
        <w:t>. . . .”</w:t>
      </w:r>
    </w:p>
    <w:p w14:paraId="436930AC" w14:textId="357D1C17" w:rsidR="005045C7" w:rsidRDefault="005045C7" w:rsidP="005B73E3">
      <w:pPr>
        <w:rPr>
          <w:rFonts w:ascii="Garamond" w:hAnsi="Garamond"/>
        </w:rPr>
      </w:pPr>
    </w:p>
    <w:p w14:paraId="1AB80E41" w14:textId="50EBDAB0" w:rsidR="005045C7" w:rsidRDefault="005045C7" w:rsidP="005B73E3">
      <w:pPr>
        <w:rPr>
          <w:rFonts w:ascii="Garamond" w:hAnsi="Garamond"/>
        </w:rPr>
      </w:pPr>
      <w:r>
        <w:rPr>
          <w:rFonts w:ascii="Garamond" w:hAnsi="Garamond"/>
        </w:rPr>
        <w:tab/>
      </w:r>
      <w:r w:rsidR="00BA6DD1">
        <w:rPr>
          <w:rFonts w:ascii="Garamond" w:hAnsi="Garamond"/>
        </w:rPr>
        <w:t>B</w:t>
      </w:r>
      <w:r>
        <w:rPr>
          <w:rFonts w:ascii="Garamond" w:hAnsi="Garamond"/>
        </w:rPr>
        <w:t>.</w:t>
      </w:r>
      <w:r>
        <w:rPr>
          <w:rFonts w:ascii="Garamond" w:hAnsi="Garamond"/>
        </w:rPr>
        <w:tab/>
        <w:t>Conclusory statements of ultimate issues; and</w:t>
      </w:r>
    </w:p>
    <w:p w14:paraId="49F58BDB" w14:textId="6C033A48" w:rsidR="005045C7" w:rsidRDefault="005045C7" w:rsidP="005B73E3">
      <w:pPr>
        <w:rPr>
          <w:rFonts w:ascii="Garamond" w:hAnsi="Garamond"/>
        </w:rPr>
      </w:pPr>
    </w:p>
    <w:p w14:paraId="05A58E8F" w14:textId="18CFD0AD" w:rsidR="000112C9" w:rsidRDefault="00BA6DD1" w:rsidP="00702AF8">
      <w:pPr>
        <w:ind w:left="2160" w:hanging="720"/>
        <w:rPr>
          <w:rFonts w:ascii="Garamond" w:hAnsi="Garamond"/>
        </w:rPr>
      </w:pPr>
      <w:r>
        <w:rPr>
          <w:rFonts w:ascii="Garamond" w:hAnsi="Garamond"/>
        </w:rPr>
        <w:t>1</w:t>
      </w:r>
      <w:r w:rsidR="005045C7">
        <w:rPr>
          <w:rFonts w:ascii="Garamond" w:hAnsi="Garamond"/>
        </w:rPr>
        <w:t>.</w:t>
      </w:r>
      <w:r w:rsidR="005045C7">
        <w:rPr>
          <w:rFonts w:ascii="Garamond" w:hAnsi="Garamond"/>
        </w:rPr>
        <w:tab/>
      </w:r>
      <w:r w:rsidR="00CE7A5A" w:rsidRPr="00CE7A5A">
        <w:rPr>
          <w:rFonts w:ascii="Garamond" w:hAnsi="Garamond"/>
          <w:i/>
          <w:iCs/>
        </w:rPr>
        <w:t>E.g.</w:t>
      </w:r>
      <w:r w:rsidR="00CE7A5A">
        <w:rPr>
          <w:rFonts w:ascii="Garamond" w:hAnsi="Garamond"/>
        </w:rPr>
        <w:t xml:space="preserve">, </w:t>
      </w:r>
      <w:r w:rsidR="000112C9" w:rsidRPr="003C0E94">
        <w:rPr>
          <w:rFonts w:ascii="Garamond" w:hAnsi="Garamond"/>
          <w:i/>
          <w:iCs/>
        </w:rPr>
        <w:t>bare</w:t>
      </w:r>
      <w:r w:rsidR="000112C9">
        <w:rPr>
          <w:rFonts w:ascii="Garamond" w:hAnsi="Garamond"/>
        </w:rPr>
        <w:t xml:space="preserve"> allegation</w:t>
      </w:r>
      <w:r w:rsidR="000723E3">
        <w:rPr>
          <w:rFonts w:ascii="Garamond" w:hAnsi="Garamond"/>
        </w:rPr>
        <w:t>s</w:t>
      </w:r>
      <w:r w:rsidR="000112C9">
        <w:rPr>
          <w:rFonts w:ascii="Garamond" w:hAnsi="Garamond"/>
        </w:rPr>
        <w:t xml:space="preserve"> that “defendant committed the tort of negligence” or “defendant breached our contract.”</w:t>
      </w:r>
    </w:p>
    <w:p w14:paraId="7C6A1906" w14:textId="0D4EE655" w:rsidR="000112C9" w:rsidRDefault="000112C9" w:rsidP="005B73E3">
      <w:pPr>
        <w:ind w:left="2880" w:hanging="720"/>
        <w:rPr>
          <w:rFonts w:ascii="Garamond" w:hAnsi="Garamond"/>
        </w:rPr>
      </w:pPr>
    </w:p>
    <w:p w14:paraId="52DFC14F" w14:textId="4DC3AFFF" w:rsidR="005045C7" w:rsidRDefault="00BA6DD1" w:rsidP="00702AF8">
      <w:pPr>
        <w:ind w:left="2160" w:hanging="720"/>
        <w:rPr>
          <w:rFonts w:ascii="Garamond" w:hAnsi="Garamond"/>
        </w:rPr>
      </w:pPr>
      <w:r>
        <w:rPr>
          <w:rFonts w:ascii="Garamond" w:hAnsi="Garamond"/>
        </w:rPr>
        <w:t>2</w:t>
      </w:r>
      <w:r w:rsidR="000112C9">
        <w:rPr>
          <w:rFonts w:ascii="Garamond" w:hAnsi="Garamond"/>
        </w:rPr>
        <w:t>.</w:t>
      </w:r>
      <w:r w:rsidR="000112C9">
        <w:rPr>
          <w:rFonts w:ascii="Garamond" w:hAnsi="Garamond"/>
        </w:rPr>
        <w:tab/>
      </w:r>
      <w:r w:rsidR="000112C9">
        <w:rPr>
          <w:rFonts w:ascii="Garamond" w:hAnsi="Garamond"/>
          <w:i/>
          <w:iCs/>
        </w:rPr>
        <w:t>E.g.</w:t>
      </w:r>
      <w:r w:rsidR="000112C9">
        <w:rPr>
          <w:rFonts w:ascii="Garamond" w:hAnsi="Garamond"/>
        </w:rPr>
        <w:t xml:space="preserve">, </w:t>
      </w:r>
      <w:r w:rsidR="000112C9" w:rsidRPr="00347591">
        <w:rPr>
          <w:rFonts w:ascii="Garamond" w:hAnsi="Garamond"/>
          <w:i/>
          <w:iCs/>
        </w:rPr>
        <w:t>m</w:t>
      </w:r>
      <w:r w:rsidR="005045C7" w:rsidRPr="00347591">
        <w:rPr>
          <w:rFonts w:ascii="Garamond" w:hAnsi="Garamond"/>
          <w:i/>
          <w:iCs/>
        </w:rPr>
        <w:t>ere</w:t>
      </w:r>
      <w:r w:rsidR="005045C7">
        <w:rPr>
          <w:rFonts w:ascii="Garamond" w:hAnsi="Garamond"/>
        </w:rPr>
        <w:t xml:space="preserve"> recitation of an element or elements of </w:t>
      </w:r>
      <w:r w:rsidR="000112C9">
        <w:rPr>
          <w:rFonts w:ascii="Garamond" w:hAnsi="Garamond"/>
        </w:rPr>
        <w:t xml:space="preserve">the </w:t>
      </w:r>
      <w:r w:rsidR="005045C7">
        <w:rPr>
          <w:rFonts w:ascii="Garamond" w:hAnsi="Garamond"/>
        </w:rPr>
        <w:t>claim</w:t>
      </w:r>
      <w:r w:rsidR="00347591">
        <w:rPr>
          <w:rFonts w:ascii="Garamond" w:hAnsi="Garamond"/>
        </w:rPr>
        <w:t xml:space="preserve">: </w:t>
      </w:r>
      <w:r w:rsidR="00347591" w:rsidRPr="00162D44">
        <w:rPr>
          <w:rFonts w:ascii="Garamond" w:hAnsi="Garamond"/>
        </w:rPr>
        <w:t>“defendant owed me a duty of reasonable care, breached that duty, and actually and prox</w:t>
      </w:r>
      <w:r w:rsidR="00347591" w:rsidRPr="00162D44">
        <w:rPr>
          <w:rFonts w:ascii="Garamond" w:hAnsi="Garamond"/>
        </w:rPr>
        <w:softHyphen/>
        <w:t>i</w:t>
      </w:r>
      <w:r w:rsidR="00347591" w:rsidRPr="00162D44">
        <w:rPr>
          <w:rFonts w:ascii="Garamond" w:hAnsi="Garamond"/>
        </w:rPr>
        <w:softHyphen/>
        <w:t>mately caused me injury.”</w:t>
      </w:r>
    </w:p>
    <w:p w14:paraId="30B5A7C4" w14:textId="77777777" w:rsidR="00A86849" w:rsidRDefault="00A86849" w:rsidP="00702AF8">
      <w:pPr>
        <w:ind w:left="2160" w:hanging="720"/>
        <w:rPr>
          <w:rFonts w:ascii="Garamond" w:hAnsi="Garamond"/>
        </w:rPr>
      </w:pPr>
    </w:p>
    <w:p w14:paraId="2D42BFA9" w14:textId="315F832E" w:rsidR="00A86849" w:rsidRDefault="00A86849" w:rsidP="00702AF8">
      <w:pPr>
        <w:ind w:left="2160" w:hanging="720"/>
        <w:rPr>
          <w:rFonts w:ascii="Garamond" w:hAnsi="Garamond"/>
        </w:rPr>
      </w:pPr>
      <w:r>
        <w:rPr>
          <w:rFonts w:ascii="Garamond" w:hAnsi="Garamond"/>
        </w:rPr>
        <w:t>3.</w:t>
      </w:r>
      <w:r>
        <w:rPr>
          <w:rFonts w:ascii="Garamond" w:hAnsi="Garamond"/>
        </w:rPr>
        <w:tab/>
        <w:t>This step is the one that is most susceptible to manipulation by a court</w:t>
      </w:r>
      <w:r w:rsidR="003E2E23">
        <w:rPr>
          <w:rFonts w:ascii="Garamond" w:hAnsi="Garamond"/>
        </w:rPr>
        <w:t>.</w:t>
      </w:r>
    </w:p>
    <w:p w14:paraId="0BB2D735" w14:textId="66F6C858" w:rsidR="0012741C" w:rsidRDefault="0012741C" w:rsidP="005B73E3">
      <w:pPr>
        <w:rPr>
          <w:rFonts w:ascii="Garamond" w:hAnsi="Garamond"/>
        </w:rPr>
      </w:pPr>
    </w:p>
    <w:p w14:paraId="2470CBBC" w14:textId="29A10875" w:rsidR="0012741C" w:rsidRDefault="0012741C" w:rsidP="005B73E3">
      <w:pPr>
        <w:rPr>
          <w:rFonts w:ascii="Garamond" w:hAnsi="Garamond"/>
        </w:rPr>
      </w:pPr>
      <w:r>
        <w:rPr>
          <w:rFonts w:ascii="Garamond" w:hAnsi="Garamond"/>
        </w:rPr>
        <w:tab/>
      </w:r>
      <w:r w:rsidR="00BA6DD1">
        <w:rPr>
          <w:rFonts w:ascii="Garamond" w:hAnsi="Garamond"/>
        </w:rPr>
        <w:t>C</w:t>
      </w:r>
      <w:r>
        <w:rPr>
          <w:rFonts w:ascii="Garamond" w:hAnsi="Garamond"/>
        </w:rPr>
        <w:t>.</w:t>
      </w:r>
      <w:r>
        <w:rPr>
          <w:rFonts w:ascii="Garamond" w:hAnsi="Garamond"/>
        </w:rPr>
        <w:tab/>
        <w:t>Patently ridiculous statements of fact</w:t>
      </w:r>
      <w:r w:rsidR="008E1801">
        <w:rPr>
          <w:rFonts w:ascii="Garamond" w:hAnsi="Garamond"/>
        </w:rPr>
        <w:t xml:space="preserve"> that could never be prove</w:t>
      </w:r>
      <w:r w:rsidR="008D55C0">
        <w:rPr>
          <w:rFonts w:ascii="Garamond" w:hAnsi="Garamond"/>
        </w:rPr>
        <w:t>d</w:t>
      </w:r>
      <w:r w:rsidR="008E1801">
        <w:rPr>
          <w:rFonts w:ascii="Garamond" w:hAnsi="Garamond"/>
        </w:rPr>
        <w:t xml:space="preserve"> at trial</w:t>
      </w:r>
      <w:r w:rsidR="003C7478">
        <w:rPr>
          <w:rFonts w:ascii="Garamond" w:hAnsi="Garamond"/>
        </w:rPr>
        <w:t>.</w:t>
      </w:r>
    </w:p>
    <w:p w14:paraId="7D6D4DFA" w14:textId="655577BD" w:rsidR="00B1374A" w:rsidRDefault="00B1374A" w:rsidP="005B73E3">
      <w:pPr>
        <w:rPr>
          <w:rFonts w:ascii="Garamond" w:hAnsi="Garamond"/>
        </w:rPr>
      </w:pPr>
    </w:p>
    <w:p w14:paraId="1ADF7AAF" w14:textId="01716A5F" w:rsidR="00B1374A" w:rsidRDefault="00BA6DD1" w:rsidP="00702AF8">
      <w:pPr>
        <w:ind w:left="2160" w:hanging="720"/>
        <w:rPr>
          <w:rFonts w:ascii="Garamond" w:hAnsi="Garamond"/>
        </w:rPr>
      </w:pPr>
      <w:r>
        <w:rPr>
          <w:rFonts w:ascii="Garamond" w:hAnsi="Garamond"/>
        </w:rPr>
        <w:t>1</w:t>
      </w:r>
      <w:r w:rsidR="00B1374A">
        <w:rPr>
          <w:rFonts w:ascii="Garamond" w:hAnsi="Garamond"/>
        </w:rPr>
        <w:t>.</w:t>
      </w:r>
      <w:r w:rsidR="00B1374A">
        <w:rPr>
          <w:rFonts w:ascii="Garamond" w:hAnsi="Garamond"/>
        </w:rPr>
        <w:tab/>
      </w:r>
      <w:r w:rsidR="00B1374A">
        <w:rPr>
          <w:rFonts w:ascii="Garamond" w:hAnsi="Garamond"/>
          <w:i/>
          <w:iCs/>
        </w:rPr>
        <w:t>E.g.</w:t>
      </w:r>
      <w:r w:rsidR="00B1374A">
        <w:rPr>
          <w:rFonts w:ascii="Garamond" w:hAnsi="Garamond"/>
        </w:rPr>
        <w:t xml:space="preserve">, </w:t>
      </w:r>
      <w:r w:rsidR="00E50977">
        <w:rPr>
          <w:rFonts w:ascii="Garamond" w:hAnsi="Garamond"/>
        </w:rPr>
        <w:t>time travel, trips to Pluto, pigs practicing transcendental meditation at 30,000 feet in the air.</w:t>
      </w:r>
    </w:p>
    <w:p w14:paraId="6A831D05" w14:textId="42FD31F1" w:rsidR="007A2B07" w:rsidRDefault="007A2B07" w:rsidP="005B73E3">
      <w:pPr>
        <w:rPr>
          <w:rFonts w:ascii="Garamond" w:hAnsi="Garamond"/>
        </w:rPr>
      </w:pPr>
    </w:p>
    <w:p w14:paraId="0671BE53" w14:textId="7FD5F747" w:rsidR="007A2B07" w:rsidRDefault="007A2B07" w:rsidP="005B73E3">
      <w:pPr>
        <w:rPr>
          <w:rFonts w:ascii="Garamond" w:hAnsi="Garamond"/>
        </w:rPr>
      </w:pPr>
      <w:r>
        <w:rPr>
          <w:rFonts w:ascii="Garamond" w:hAnsi="Garamond"/>
        </w:rPr>
        <w:tab/>
      </w:r>
      <w:r w:rsidR="00463652">
        <w:rPr>
          <w:rFonts w:ascii="Garamond" w:hAnsi="Garamond"/>
        </w:rPr>
        <w:t xml:space="preserve">This </w:t>
      </w:r>
      <w:r w:rsidR="009F0F13">
        <w:rPr>
          <w:rFonts w:ascii="Garamond" w:hAnsi="Garamond"/>
        </w:rPr>
        <w:t xml:space="preserve">filtering </w:t>
      </w:r>
      <w:r w:rsidR="00463652">
        <w:rPr>
          <w:rFonts w:ascii="Garamond" w:hAnsi="Garamond"/>
        </w:rPr>
        <w:t xml:space="preserve">leaves </w:t>
      </w:r>
      <w:r>
        <w:rPr>
          <w:rFonts w:ascii="Garamond" w:hAnsi="Garamond"/>
        </w:rPr>
        <w:t>you with “well-pleaded” facts</w:t>
      </w:r>
      <w:r w:rsidR="003B59C8">
        <w:rPr>
          <w:rFonts w:ascii="Garamond" w:hAnsi="Garamond"/>
        </w:rPr>
        <w:t xml:space="preserve"> </w:t>
      </w:r>
      <w:r w:rsidR="007B0608">
        <w:rPr>
          <w:rFonts w:ascii="Garamond" w:hAnsi="Garamond"/>
        </w:rPr>
        <w:t xml:space="preserve">under Rule 8 </w:t>
      </w:r>
      <w:r w:rsidR="003B59C8">
        <w:rPr>
          <w:rFonts w:ascii="Garamond" w:hAnsi="Garamond"/>
        </w:rPr>
        <w:t>relating to a claim</w:t>
      </w:r>
      <w:r>
        <w:rPr>
          <w:rFonts w:ascii="Garamond" w:hAnsi="Garamond"/>
        </w:rPr>
        <w:t>.</w:t>
      </w:r>
    </w:p>
    <w:p w14:paraId="740F81AC" w14:textId="11EE9E5F" w:rsidR="007A2B07" w:rsidRDefault="007A2B07" w:rsidP="005B73E3">
      <w:pPr>
        <w:rPr>
          <w:rFonts w:ascii="Garamond" w:hAnsi="Garamond"/>
        </w:rPr>
      </w:pPr>
    </w:p>
    <w:p w14:paraId="475795EA" w14:textId="39FA10D1" w:rsidR="000D6DEC" w:rsidRDefault="000D6DEC" w:rsidP="000D6DEC">
      <w:pPr>
        <w:ind w:left="720" w:hanging="720"/>
        <w:rPr>
          <w:rFonts w:ascii="Garamond" w:hAnsi="Garamond"/>
        </w:rPr>
      </w:pPr>
      <w:r>
        <w:rPr>
          <w:rFonts w:ascii="Garamond" w:hAnsi="Garamond"/>
        </w:rPr>
        <w:t>II.</w:t>
      </w:r>
      <w:r>
        <w:rPr>
          <w:rFonts w:ascii="Garamond" w:hAnsi="Garamond"/>
        </w:rPr>
        <w:tab/>
        <w:t xml:space="preserve">Dismiss the claim if the well-pleaded facts are also subject to a particularity requirement that has not been met, like Rule 9(b). The first such dismissal will likely be with leave to amend. Failure to cure could lead to dismissal </w:t>
      </w:r>
      <w:r w:rsidR="00470BC2">
        <w:rPr>
          <w:rFonts w:ascii="Garamond" w:hAnsi="Garamond"/>
        </w:rPr>
        <w:t xml:space="preserve">of the claim </w:t>
      </w:r>
      <w:r>
        <w:rPr>
          <w:rFonts w:ascii="Garamond" w:hAnsi="Garamond"/>
        </w:rPr>
        <w:t>with prejudice</w:t>
      </w:r>
      <w:r w:rsidR="00FB6ED3">
        <w:rPr>
          <w:rFonts w:ascii="Garamond" w:hAnsi="Garamond"/>
        </w:rPr>
        <w:t xml:space="preserve"> </w:t>
      </w:r>
      <w:r w:rsidR="00FB6ED3" w:rsidRPr="00162D44">
        <w:rPr>
          <w:rFonts w:ascii="Garamond" w:hAnsi="Garamond"/>
        </w:rPr>
        <w:t>(meaning, the claim would be dismissed permanently)</w:t>
      </w:r>
      <w:r>
        <w:rPr>
          <w:rFonts w:ascii="Garamond" w:hAnsi="Garamond"/>
        </w:rPr>
        <w:t>.</w:t>
      </w:r>
    </w:p>
    <w:p w14:paraId="061EFA05" w14:textId="77777777" w:rsidR="000D6DEC" w:rsidRDefault="000D6DEC" w:rsidP="000D6DEC">
      <w:pPr>
        <w:ind w:left="720" w:hanging="720"/>
        <w:rPr>
          <w:rFonts w:ascii="Garamond" w:hAnsi="Garamond"/>
        </w:rPr>
      </w:pPr>
    </w:p>
    <w:p w14:paraId="6D6A3448" w14:textId="283A2BE1" w:rsidR="000D6DEC" w:rsidRPr="00162D44" w:rsidRDefault="000D6DEC" w:rsidP="000D6DEC">
      <w:pPr>
        <w:ind w:left="1440" w:hanging="720"/>
        <w:rPr>
          <w:rFonts w:ascii="Garamond" w:hAnsi="Garamond"/>
        </w:rPr>
      </w:pPr>
      <w:r>
        <w:rPr>
          <w:rFonts w:ascii="Garamond" w:hAnsi="Garamond"/>
        </w:rPr>
        <w:t>A.</w:t>
      </w:r>
      <w:r>
        <w:rPr>
          <w:rFonts w:ascii="Garamond" w:hAnsi="Garamond"/>
        </w:rPr>
        <w:tab/>
      </w:r>
      <w:r w:rsidRPr="00162D44">
        <w:rPr>
          <w:rFonts w:ascii="Garamond" w:hAnsi="Garamond"/>
        </w:rPr>
        <w:t xml:space="preserve">Rule 9(b) specifically requires that claims </w:t>
      </w:r>
      <w:r w:rsidRPr="00224B4B">
        <w:rPr>
          <w:rFonts w:ascii="Garamond" w:hAnsi="Garamond"/>
          <w:i/>
          <w:iCs/>
        </w:rPr>
        <w:t>involving</w:t>
      </w:r>
      <w:r w:rsidRPr="00162D44">
        <w:rPr>
          <w:rFonts w:ascii="Garamond" w:hAnsi="Garamond"/>
        </w:rPr>
        <w:t xml:space="preserve"> fraud (so it is not necessarily limited to a fraud claim) be pleaded with particularity. Typically, this means the complaint must detail the statements or omissions at issue; identify the speaker; state where and when the statements or omissions were made; and explain why the statements or omissions are fraudulent. There are other special FRCPs and statutes that impose heightened pleading requirements, but I will not be testing you on those.</w:t>
      </w:r>
    </w:p>
    <w:p w14:paraId="2572FCC3" w14:textId="77777777" w:rsidR="000D6DEC" w:rsidRDefault="000D6DEC" w:rsidP="000D6DEC">
      <w:pPr>
        <w:rPr>
          <w:rFonts w:ascii="Garamond" w:hAnsi="Garamond"/>
        </w:rPr>
      </w:pPr>
    </w:p>
    <w:p w14:paraId="0A3E51CC" w14:textId="30BBD2DB" w:rsidR="007A2B07" w:rsidRDefault="00BA6DD1" w:rsidP="00702AF8">
      <w:pPr>
        <w:ind w:left="720" w:hanging="720"/>
        <w:rPr>
          <w:rFonts w:ascii="Garamond" w:hAnsi="Garamond"/>
        </w:rPr>
      </w:pPr>
      <w:r>
        <w:rPr>
          <w:rFonts w:ascii="Garamond" w:hAnsi="Garamond"/>
        </w:rPr>
        <w:t>II</w:t>
      </w:r>
      <w:r w:rsidR="000D6DEC">
        <w:rPr>
          <w:rFonts w:ascii="Garamond" w:hAnsi="Garamond"/>
        </w:rPr>
        <w:t>I</w:t>
      </w:r>
      <w:r w:rsidR="007A2B07">
        <w:rPr>
          <w:rFonts w:ascii="Garamond" w:hAnsi="Garamond"/>
        </w:rPr>
        <w:t>.</w:t>
      </w:r>
      <w:r w:rsidR="007A2B07">
        <w:rPr>
          <w:rFonts w:ascii="Garamond" w:hAnsi="Garamond"/>
        </w:rPr>
        <w:tab/>
        <w:t>Assume all well-pleaded facts are true</w:t>
      </w:r>
      <w:r w:rsidR="000D3E8E">
        <w:rPr>
          <w:rFonts w:ascii="Garamond" w:hAnsi="Garamond"/>
        </w:rPr>
        <w:t xml:space="preserve">, </w:t>
      </w:r>
      <w:r w:rsidR="004B55A2">
        <w:rPr>
          <w:rFonts w:ascii="Garamond" w:hAnsi="Garamond"/>
        </w:rPr>
        <w:t>even if doubtful</w:t>
      </w:r>
      <w:r w:rsidR="003C7478">
        <w:rPr>
          <w:rFonts w:ascii="Garamond" w:hAnsi="Garamond"/>
        </w:rPr>
        <w:t xml:space="preserve">, </w:t>
      </w:r>
      <w:r w:rsidR="00FF0112">
        <w:rPr>
          <w:rFonts w:ascii="Garamond" w:hAnsi="Garamond"/>
        </w:rPr>
        <w:t>sole</w:t>
      </w:r>
      <w:r w:rsidR="00AC1176">
        <w:rPr>
          <w:rFonts w:ascii="Garamond" w:hAnsi="Garamond"/>
        </w:rPr>
        <w:t>l</w:t>
      </w:r>
      <w:r w:rsidR="00FF0112">
        <w:rPr>
          <w:rFonts w:ascii="Garamond" w:hAnsi="Garamond"/>
        </w:rPr>
        <w:t xml:space="preserve">y </w:t>
      </w:r>
      <w:r w:rsidR="003C7478">
        <w:rPr>
          <w:rFonts w:ascii="Garamond" w:hAnsi="Garamond"/>
        </w:rPr>
        <w:t>for purposes of ruling on the motion to dismiss</w:t>
      </w:r>
      <w:r w:rsidR="0031684C">
        <w:rPr>
          <w:rFonts w:ascii="Garamond" w:hAnsi="Garamond"/>
        </w:rPr>
        <w:t>.</w:t>
      </w:r>
    </w:p>
    <w:p w14:paraId="5D720806" w14:textId="7AAAAAB6" w:rsidR="00746CB4" w:rsidRDefault="00746CB4" w:rsidP="005B73E3">
      <w:pPr>
        <w:rPr>
          <w:rFonts w:ascii="Garamond" w:hAnsi="Garamond"/>
        </w:rPr>
      </w:pPr>
    </w:p>
    <w:p w14:paraId="006414D6" w14:textId="6BEB55BA" w:rsidR="00746CB4" w:rsidRDefault="00BA6DD1" w:rsidP="00702AF8">
      <w:pPr>
        <w:ind w:left="720" w:hanging="720"/>
        <w:rPr>
          <w:rFonts w:ascii="Garamond" w:hAnsi="Garamond"/>
        </w:rPr>
      </w:pPr>
      <w:r>
        <w:rPr>
          <w:rFonts w:ascii="Garamond" w:hAnsi="Garamond"/>
        </w:rPr>
        <w:t>I</w:t>
      </w:r>
      <w:r w:rsidR="000D6DEC">
        <w:rPr>
          <w:rFonts w:ascii="Garamond" w:hAnsi="Garamond"/>
        </w:rPr>
        <w:t>V</w:t>
      </w:r>
      <w:r w:rsidR="00746CB4">
        <w:rPr>
          <w:rFonts w:ascii="Garamond" w:hAnsi="Garamond"/>
        </w:rPr>
        <w:t>.</w:t>
      </w:r>
      <w:r w:rsidR="00746CB4">
        <w:rPr>
          <w:rFonts w:ascii="Garamond" w:hAnsi="Garamond"/>
        </w:rPr>
        <w:tab/>
      </w:r>
      <w:r w:rsidR="00940F94">
        <w:rPr>
          <w:rFonts w:ascii="Garamond" w:hAnsi="Garamond"/>
        </w:rPr>
        <w:t xml:space="preserve">Assess whether a </w:t>
      </w:r>
      <w:r w:rsidR="00940F94" w:rsidRPr="000F1537">
        <w:rPr>
          <w:rFonts w:ascii="Garamond" w:hAnsi="Garamond"/>
        </w:rPr>
        <w:t>claim</w:t>
      </w:r>
      <w:r w:rsidR="00940F94">
        <w:rPr>
          <w:rFonts w:ascii="Garamond" w:hAnsi="Garamond"/>
        </w:rPr>
        <w:t xml:space="preserve"> based on those well-pleaded facts is good</w:t>
      </w:r>
      <w:r w:rsidR="000F1537">
        <w:rPr>
          <w:rFonts w:ascii="Garamond" w:hAnsi="Garamond"/>
        </w:rPr>
        <w:t xml:space="preserve"> </w:t>
      </w:r>
      <w:r w:rsidR="0031684C">
        <w:rPr>
          <w:rFonts w:ascii="Garamond" w:hAnsi="Garamond"/>
        </w:rPr>
        <w:t xml:space="preserve">for purposes </w:t>
      </w:r>
      <w:r w:rsidR="005030BC">
        <w:rPr>
          <w:rFonts w:ascii="Garamond" w:hAnsi="Garamond"/>
        </w:rPr>
        <w:t xml:space="preserve">of ruling on </w:t>
      </w:r>
      <w:r w:rsidR="0031684C">
        <w:rPr>
          <w:rFonts w:ascii="Garamond" w:hAnsi="Garamond"/>
        </w:rPr>
        <w:t>the motion to dismiss</w:t>
      </w:r>
      <w:r w:rsidR="00940F94">
        <w:rPr>
          <w:rFonts w:ascii="Garamond" w:hAnsi="Garamond"/>
        </w:rPr>
        <w:t>:</w:t>
      </w:r>
    </w:p>
    <w:p w14:paraId="5A8B9BDC" w14:textId="38E73165" w:rsidR="00685089" w:rsidRDefault="00685089" w:rsidP="00525E44">
      <w:pPr>
        <w:rPr>
          <w:rFonts w:ascii="Garamond" w:hAnsi="Garamond"/>
        </w:rPr>
      </w:pPr>
    </w:p>
    <w:p w14:paraId="61C45DFE" w14:textId="6DB2C88A" w:rsidR="0043724A" w:rsidRDefault="000D6DEC" w:rsidP="00702AF8">
      <w:pPr>
        <w:ind w:left="1440" w:hanging="720"/>
        <w:rPr>
          <w:rFonts w:ascii="Garamond" w:hAnsi="Garamond"/>
        </w:rPr>
      </w:pPr>
      <w:r>
        <w:rPr>
          <w:rFonts w:ascii="Garamond" w:hAnsi="Garamond"/>
        </w:rPr>
        <w:t>A</w:t>
      </w:r>
      <w:r w:rsidR="00685089">
        <w:rPr>
          <w:rFonts w:ascii="Garamond" w:hAnsi="Garamond"/>
        </w:rPr>
        <w:t>.</w:t>
      </w:r>
      <w:r w:rsidR="00685089">
        <w:rPr>
          <w:rFonts w:ascii="Garamond" w:hAnsi="Garamond"/>
        </w:rPr>
        <w:tab/>
        <w:t xml:space="preserve">Dismiss the claim if it </w:t>
      </w:r>
      <w:r w:rsidR="006D093A">
        <w:rPr>
          <w:rFonts w:ascii="Garamond" w:hAnsi="Garamond"/>
        </w:rPr>
        <w:t xml:space="preserve">entirely </w:t>
      </w:r>
      <w:r w:rsidR="006106FF">
        <w:rPr>
          <w:rFonts w:ascii="Garamond" w:hAnsi="Garamond"/>
        </w:rPr>
        <w:t xml:space="preserve">omits </w:t>
      </w:r>
      <w:r w:rsidR="00761FEE">
        <w:rPr>
          <w:rFonts w:ascii="Garamond" w:hAnsi="Garamond"/>
        </w:rPr>
        <w:t xml:space="preserve">well-pleaded facts </w:t>
      </w:r>
      <w:r w:rsidR="00685089">
        <w:rPr>
          <w:rFonts w:ascii="Garamond" w:hAnsi="Garamond"/>
        </w:rPr>
        <w:t>on one or more essential elements of the claim.</w:t>
      </w:r>
      <w:r w:rsidR="00661F6D">
        <w:rPr>
          <w:rFonts w:ascii="Garamond" w:hAnsi="Garamond"/>
        </w:rPr>
        <w:t xml:space="preserve"> </w:t>
      </w:r>
      <w:r w:rsidR="0043724A">
        <w:rPr>
          <w:rFonts w:ascii="Garamond" w:hAnsi="Garamond"/>
        </w:rPr>
        <w:t xml:space="preserve">The first such dismissal will </w:t>
      </w:r>
      <w:r w:rsidR="006623DF">
        <w:rPr>
          <w:rFonts w:ascii="Garamond" w:hAnsi="Garamond"/>
        </w:rPr>
        <w:t xml:space="preserve">likely </w:t>
      </w:r>
      <w:r w:rsidR="0043724A">
        <w:rPr>
          <w:rFonts w:ascii="Garamond" w:hAnsi="Garamond"/>
        </w:rPr>
        <w:t>be with leave to amend. Failure to cure could lead to dismissal with prejudice.</w:t>
      </w:r>
    </w:p>
    <w:p w14:paraId="10095331" w14:textId="77777777" w:rsidR="00407670" w:rsidRDefault="00407670" w:rsidP="00702AF8">
      <w:pPr>
        <w:ind w:left="1440" w:hanging="720"/>
        <w:rPr>
          <w:rFonts w:ascii="Garamond" w:hAnsi="Garamond"/>
        </w:rPr>
      </w:pPr>
    </w:p>
    <w:p w14:paraId="55AEF3FD" w14:textId="20B2BE37" w:rsidR="00407670" w:rsidRPr="00162D44" w:rsidRDefault="00407670" w:rsidP="00407670">
      <w:pPr>
        <w:ind w:left="2160" w:hanging="720"/>
        <w:rPr>
          <w:rFonts w:ascii="Garamond" w:hAnsi="Garamond"/>
        </w:rPr>
      </w:pPr>
      <w:r>
        <w:rPr>
          <w:rFonts w:ascii="Garamond" w:hAnsi="Garamond"/>
        </w:rPr>
        <w:t>1</w:t>
      </w:r>
      <w:r w:rsidRPr="00162D44">
        <w:rPr>
          <w:rFonts w:ascii="Garamond" w:hAnsi="Garamond"/>
        </w:rPr>
        <w:t>.</w:t>
      </w:r>
      <w:r w:rsidRPr="00162D44">
        <w:rPr>
          <w:rFonts w:ascii="Garamond" w:hAnsi="Garamond"/>
        </w:rPr>
        <w:tab/>
        <w:t xml:space="preserve">Imagine, for example, that a claim of negligence requires a showing that (1) defendant was negligent; (2) plaintiff suffered a legally cognizable harm; (3) defendant was a cause in fact of that harm; and (4) defendant was a proximate cause of that harm. Now imagine a complaint contains facts suggesting negligence (exceeding the speed limit), that there was a car accident, and that defendant’s negligence caused the accident. The complaint says nothing about the harm, if any, the plaintiff suffered to her person or to her property. So there are </w:t>
      </w:r>
      <w:r w:rsidRPr="00162D44">
        <w:rPr>
          <w:rFonts w:ascii="Garamond" w:hAnsi="Garamond"/>
          <w:i/>
          <w:iCs/>
        </w:rPr>
        <w:t>no facts</w:t>
      </w:r>
      <w:r w:rsidRPr="00162D44">
        <w:rPr>
          <w:rFonts w:ascii="Garamond" w:hAnsi="Garamond"/>
        </w:rPr>
        <w:t xml:space="preserve"> pled supporting the (2) element of the cause of action. </w:t>
      </w:r>
    </w:p>
    <w:p w14:paraId="5274DE70" w14:textId="68865F4D" w:rsidR="00A93071" w:rsidRDefault="00A93071" w:rsidP="009C6BFC">
      <w:pPr>
        <w:rPr>
          <w:rFonts w:ascii="Garamond" w:hAnsi="Garamond"/>
        </w:rPr>
      </w:pPr>
    </w:p>
    <w:p w14:paraId="06030D67" w14:textId="5DA08BBC" w:rsidR="00A93071" w:rsidRDefault="009C6BFC" w:rsidP="00702AF8">
      <w:pPr>
        <w:ind w:left="2160" w:hanging="720"/>
        <w:rPr>
          <w:rFonts w:ascii="Garamond" w:hAnsi="Garamond"/>
        </w:rPr>
      </w:pPr>
      <w:r>
        <w:rPr>
          <w:rFonts w:ascii="Garamond" w:hAnsi="Garamond"/>
        </w:rPr>
        <w:t>2</w:t>
      </w:r>
      <w:r w:rsidR="00BA6DD1">
        <w:rPr>
          <w:rFonts w:ascii="Garamond" w:hAnsi="Garamond"/>
        </w:rPr>
        <w:t>.</w:t>
      </w:r>
      <w:r w:rsidR="00A93071">
        <w:rPr>
          <w:rFonts w:ascii="Garamond" w:hAnsi="Garamond"/>
        </w:rPr>
        <w:tab/>
      </w:r>
      <w:r w:rsidR="00A93071" w:rsidRPr="00162D44">
        <w:rPr>
          <w:rFonts w:ascii="Garamond" w:hAnsi="Garamond"/>
        </w:rPr>
        <w:t xml:space="preserve">Before </w:t>
      </w:r>
      <w:proofErr w:type="spellStart"/>
      <w:r w:rsidR="00A93071" w:rsidRPr="00162D44">
        <w:rPr>
          <w:rFonts w:ascii="Garamond" w:hAnsi="Garamond"/>
          <w:i/>
          <w:iCs/>
        </w:rPr>
        <w:t>Twiqbal</w:t>
      </w:r>
      <w:proofErr w:type="spellEnd"/>
      <w:r w:rsidR="00A93071" w:rsidRPr="00162D44">
        <w:rPr>
          <w:rFonts w:ascii="Garamond" w:hAnsi="Garamond"/>
        </w:rPr>
        <w:t xml:space="preserve">, many judges would dismiss a complaint that had this type of problem, albeit typically with leave to amend. Other judges were willing to overlook it given the </w:t>
      </w:r>
      <w:r w:rsidR="00A93071" w:rsidRPr="00162D44">
        <w:rPr>
          <w:rFonts w:ascii="Garamond" w:hAnsi="Garamond"/>
          <w:i/>
          <w:iCs/>
        </w:rPr>
        <w:t>Conley</w:t>
      </w:r>
      <w:r w:rsidR="00A93071" w:rsidRPr="00162D44">
        <w:rPr>
          <w:rFonts w:ascii="Garamond" w:hAnsi="Garamond"/>
        </w:rPr>
        <w:t xml:space="preserve"> standard. </w:t>
      </w:r>
      <w:r w:rsidR="00011B69">
        <w:rPr>
          <w:rFonts w:ascii="Garamond" w:hAnsi="Garamond"/>
        </w:rPr>
        <w:t>The</w:t>
      </w:r>
      <w:r w:rsidR="00A93071" w:rsidRPr="00162D44">
        <w:rPr>
          <w:rFonts w:ascii="Garamond" w:hAnsi="Garamond"/>
        </w:rPr>
        <w:t xml:space="preserve"> judge </w:t>
      </w:r>
      <w:r w:rsidR="00011B69">
        <w:rPr>
          <w:rFonts w:ascii="Garamond" w:hAnsi="Garamond"/>
        </w:rPr>
        <w:t xml:space="preserve">I worked for </w:t>
      </w:r>
      <w:r w:rsidR="00A93071" w:rsidRPr="00162D44">
        <w:rPr>
          <w:rFonts w:ascii="Garamond" w:hAnsi="Garamond"/>
        </w:rPr>
        <w:t xml:space="preserve">would dismiss a claim with this problem with leave to amend, and if a plaintiff could not fix it after we pointed out the problem, we would likely dismiss it with prejudice. If anything, </w:t>
      </w:r>
      <w:proofErr w:type="spellStart"/>
      <w:r w:rsidR="00A93071" w:rsidRPr="00162D44">
        <w:rPr>
          <w:rFonts w:ascii="Garamond" w:hAnsi="Garamond"/>
          <w:i/>
          <w:iCs/>
        </w:rPr>
        <w:t>Twiqbal</w:t>
      </w:r>
      <w:proofErr w:type="spellEnd"/>
      <w:r w:rsidR="00A93071" w:rsidRPr="00162D44">
        <w:rPr>
          <w:rFonts w:ascii="Garamond" w:hAnsi="Garamond"/>
        </w:rPr>
        <w:t xml:space="preserve"> makes it more likely that this avenue of dismissal will be used, given that it has retired </w:t>
      </w:r>
      <w:r w:rsidR="00A93071" w:rsidRPr="00162D44">
        <w:rPr>
          <w:rFonts w:ascii="Garamond" w:hAnsi="Garamond"/>
          <w:i/>
          <w:iCs/>
        </w:rPr>
        <w:t>Conley</w:t>
      </w:r>
      <w:r w:rsidR="00A93071" w:rsidRPr="00162D44">
        <w:rPr>
          <w:rFonts w:ascii="Garamond" w:hAnsi="Garamond"/>
        </w:rPr>
        <w:t>’s “no set of facts” rule.</w:t>
      </w:r>
    </w:p>
    <w:p w14:paraId="429FB398" w14:textId="03B9A7B0" w:rsidR="00034231" w:rsidRDefault="00034231" w:rsidP="00702AF8">
      <w:pPr>
        <w:ind w:left="2160" w:hanging="720"/>
        <w:rPr>
          <w:rFonts w:ascii="Garamond" w:hAnsi="Garamond"/>
        </w:rPr>
      </w:pPr>
    </w:p>
    <w:p w14:paraId="0462B9C6" w14:textId="50CB2764" w:rsidR="00034231" w:rsidRDefault="009C6BFC" w:rsidP="00702AF8">
      <w:pPr>
        <w:ind w:left="2160" w:hanging="720"/>
        <w:rPr>
          <w:rFonts w:ascii="Garamond" w:hAnsi="Garamond"/>
        </w:rPr>
      </w:pPr>
      <w:r>
        <w:rPr>
          <w:rFonts w:ascii="Garamond" w:hAnsi="Garamond"/>
        </w:rPr>
        <w:t>3</w:t>
      </w:r>
      <w:r w:rsidR="00034231">
        <w:rPr>
          <w:rFonts w:ascii="Garamond" w:hAnsi="Garamond"/>
        </w:rPr>
        <w:t>.</w:t>
      </w:r>
      <w:r w:rsidR="00034231">
        <w:rPr>
          <w:rFonts w:ascii="Garamond" w:hAnsi="Garamond"/>
        </w:rPr>
        <w:tab/>
      </w:r>
      <w:r w:rsidR="00034231" w:rsidRPr="00162D44">
        <w:rPr>
          <w:rFonts w:ascii="Garamond" w:hAnsi="Garamond"/>
        </w:rPr>
        <w:t xml:space="preserve">To me, this would have been the </w:t>
      </w:r>
      <w:r w:rsidR="00601432">
        <w:rPr>
          <w:rFonts w:ascii="Garamond" w:hAnsi="Garamond"/>
        </w:rPr>
        <w:t xml:space="preserve">best </w:t>
      </w:r>
      <w:r w:rsidR="00034231" w:rsidRPr="00162D44">
        <w:rPr>
          <w:rFonts w:ascii="Garamond" w:hAnsi="Garamond"/>
        </w:rPr>
        <w:t xml:space="preserve">way to dismiss the claim in </w:t>
      </w:r>
      <w:r w:rsidR="00034231" w:rsidRPr="00162D44">
        <w:rPr>
          <w:rFonts w:ascii="Garamond" w:hAnsi="Garamond"/>
          <w:i/>
          <w:iCs/>
        </w:rPr>
        <w:t>Twombly</w:t>
      </w:r>
      <w:r w:rsidR="00034231" w:rsidRPr="00162D44">
        <w:rPr>
          <w:rFonts w:ascii="Garamond" w:hAnsi="Garamond"/>
        </w:rPr>
        <w:t xml:space="preserve"> without invoking its new plausibility standard. The complaint had to contain at least some facts indicating there was a conspiracy, which is an essential element of a § 1 Sherman Act claim. Roughly, a plaintiff must demonstrate (1) </w:t>
      </w:r>
      <w:r w:rsidR="00034231" w:rsidRPr="00162D44">
        <w:rPr>
          <w:rFonts w:ascii="Garamond" w:hAnsi="Garamond"/>
          <w:i/>
          <w:iCs/>
        </w:rPr>
        <w:t>that the defendants conspired with each other</w:t>
      </w:r>
      <w:r w:rsidR="00034231" w:rsidRPr="00162D44">
        <w:rPr>
          <w:rFonts w:ascii="Garamond" w:hAnsi="Garamond"/>
        </w:rPr>
        <w:t xml:space="preserve">; (2) defendants knowingly entered that conspiracy; and (3) the purpose of the conspiracy was to restrain trade. The complaint did allege a lot of facts, but those facts all went to showing parallel conduct, </w:t>
      </w:r>
      <w:r w:rsidR="00034231" w:rsidRPr="00162D44">
        <w:rPr>
          <w:rFonts w:ascii="Garamond" w:hAnsi="Garamond"/>
          <w:i/>
          <w:iCs/>
        </w:rPr>
        <w:t>i.e.</w:t>
      </w:r>
      <w:r w:rsidR="00034231" w:rsidRPr="00162D44">
        <w:rPr>
          <w:rFonts w:ascii="Garamond" w:hAnsi="Garamond"/>
        </w:rPr>
        <w:t xml:space="preserve">, that the defendants were all doing or not doing the same thing to preserve their own businesses. In this context, parallel conduct was expected and by itself was entirely lawful. As we learned in </w:t>
      </w:r>
      <w:r w:rsidR="00034231" w:rsidRPr="00162D44">
        <w:rPr>
          <w:rFonts w:ascii="Garamond" w:hAnsi="Garamond"/>
          <w:i/>
          <w:iCs/>
        </w:rPr>
        <w:t>Twombly</w:t>
      </w:r>
      <w:r w:rsidR="00034231" w:rsidRPr="00162D44">
        <w:rPr>
          <w:rFonts w:ascii="Garamond" w:hAnsi="Garamond"/>
        </w:rPr>
        <w:t>, the Court had previously held that for a § 1 Sherman Act claim, evidence of parallel conduct was effectively irrelevant unless coupled with other evidence that tended to show a conspiracy. Failure to provide that other evidence meant you lost</w:t>
      </w:r>
      <w:r w:rsidR="00E50D6E">
        <w:rPr>
          <w:rFonts w:ascii="Garamond" w:hAnsi="Garamond"/>
        </w:rPr>
        <w:t xml:space="preserve"> on summary judgment or </w:t>
      </w:r>
      <w:r w:rsidR="00D73313">
        <w:rPr>
          <w:rFonts w:ascii="Garamond" w:hAnsi="Garamond"/>
        </w:rPr>
        <w:t xml:space="preserve">you </w:t>
      </w:r>
      <w:r w:rsidR="00E50D6E">
        <w:rPr>
          <w:rFonts w:ascii="Garamond" w:hAnsi="Garamond"/>
        </w:rPr>
        <w:t>lost at trial</w:t>
      </w:r>
      <w:r w:rsidR="00034231" w:rsidRPr="00162D44">
        <w:rPr>
          <w:rFonts w:ascii="Garamond" w:hAnsi="Garamond"/>
        </w:rPr>
        <w:t xml:space="preserve">. Thought of another way, parallel conduct can corroborate other evidence of conspiracy, but it cannot prove that fact on its own. So because the complaint in </w:t>
      </w:r>
      <w:r w:rsidR="00034231" w:rsidRPr="00162D44">
        <w:rPr>
          <w:rFonts w:ascii="Garamond" w:hAnsi="Garamond"/>
          <w:i/>
          <w:iCs/>
        </w:rPr>
        <w:t>Twombly</w:t>
      </w:r>
      <w:r w:rsidR="00034231" w:rsidRPr="00162D44">
        <w:rPr>
          <w:rFonts w:ascii="Garamond" w:hAnsi="Garamond"/>
        </w:rPr>
        <w:t xml:space="preserve"> only alleged parallel conduct, that meant that</w:t>
      </w:r>
      <w:r w:rsidR="00E46A2C">
        <w:rPr>
          <w:rFonts w:ascii="Garamond" w:hAnsi="Garamond"/>
        </w:rPr>
        <w:t>,</w:t>
      </w:r>
      <w:r w:rsidR="00034231" w:rsidRPr="00162D44">
        <w:rPr>
          <w:rFonts w:ascii="Garamond" w:hAnsi="Garamond"/>
        </w:rPr>
        <w:t xml:space="preserve"> in effect, the complaint had failed to allege any </w:t>
      </w:r>
      <w:r w:rsidR="00374E6A">
        <w:rPr>
          <w:rFonts w:ascii="Garamond" w:hAnsi="Garamond"/>
        </w:rPr>
        <w:t xml:space="preserve">(as yet) </w:t>
      </w:r>
      <w:r w:rsidR="00034231" w:rsidRPr="00162D44">
        <w:rPr>
          <w:rFonts w:ascii="Garamond" w:hAnsi="Garamond"/>
        </w:rPr>
        <w:t>relevant facts on an essential element of the cause of action: existence of a conspiracy.</w:t>
      </w:r>
    </w:p>
    <w:p w14:paraId="19E6ED55" w14:textId="4556CA6A" w:rsidR="00761FEE" w:rsidRDefault="00761FEE" w:rsidP="00702AF8">
      <w:pPr>
        <w:ind w:left="1440" w:hanging="720"/>
        <w:rPr>
          <w:rFonts w:ascii="Garamond" w:hAnsi="Garamond"/>
        </w:rPr>
      </w:pPr>
    </w:p>
    <w:p w14:paraId="64D32518" w14:textId="488DC853" w:rsidR="00761FEE" w:rsidRDefault="000D6DEC" w:rsidP="00702AF8">
      <w:pPr>
        <w:ind w:left="1440" w:hanging="720"/>
        <w:rPr>
          <w:rFonts w:ascii="Garamond" w:hAnsi="Garamond"/>
        </w:rPr>
      </w:pPr>
      <w:r>
        <w:rPr>
          <w:rFonts w:ascii="Garamond" w:hAnsi="Garamond"/>
        </w:rPr>
        <w:t>B</w:t>
      </w:r>
      <w:r w:rsidR="00761FEE">
        <w:rPr>
          <w:rFonts w:ascii="Garamond" w:hAnsi="Garamond"/>
        </w:rPr>
        <w:t>.</w:t>
      </w:r>
      <w:r w:rsidR="00761FEE">
        <w:rPr>
          <w:rFonts w:ascii="Garamond" w:hAnsi="Garamond"/>
        </w:rPr>
        <w:tab/>
        <w:t xml:space="preserve">Dismiss the claim if it </w:t>
      </w:r>
      <w:r w:rsidR="001B5A7D">
        <w:rPr>
          <w:rFonts w:ascii="Garamond" w:hAnsi="Garamond"/>
        </w:rPr>
        <w:t xml:space="preserve">is not recognized by </w:t>
      </w:r>
      <w:r w:rsidR="00153CC7">
        <w:rPr>
          <w:rFonts w:ascii="Garamond" w:hAnsi="Garamond"/>
        </w:rPr>
        <w:t xml:space="preserve">the </w:t>
      </w:r>
      <w:r w:rsidR="001B5A7D">
        <w:rPr>
          <w:rFonts w:ascii="Garamond" w:hAnsi="Garamond"/>
        </w:rPr>
        <w:t>law</w:t>
      </w:r>
      <w:r w:rsidR="00C33A15">
        <w:rPr>
          <w:rFonts w:ascii="Garamond" w:hAnsi="Garamond"/>
        </w:rPr>
        <w:t xml:space="preserve"> (either because the claim is not cognizable, it is cognizable but preempted, or cognizable but otherwise barred)</w:t>
      </w:r>
      <w:r w:rsidR="001B5A7D">
        <w:rPr>
          <w:rFonts w:ascii="Garamond" w:hAnsi="Garamond"/>
        </w:rPr>
        <w:t>.</w:t>
      </w:r>
      <w:r w:rsidR="00C13D70">
        <w:rPr>
          <w:rFonts w:ascii="Garamond" w:hAnsi="Garamond"/>
        </w:rPr>
        <w:t xml:space="preserve"> Attempts to cure likely to be futile, so dismissal </w:t>
      </w:r>
      <w:r w:rsidR="00BE15BB">
        <w:rPr>
          <w:rFonts w:ascii="Garamond" w:hAnsi="Garamond"/>
        </w:rPr>
        <w:t xml:space="preserve">of the claim </w:t>
      </w:r>
      <w:r w:rsidR="00C13D70">
        <w:rPr>
          <w:rFonts w:ascii="Garamond" w:hAnsi="Garamond"/>
        </w:rPr>
        <w:t>will almost certainly be with prejudice</w:t>
      </w:r>
      <w:r w:rsidR="00BE15BB">
        <w:rPr>
          <w:rFonts w:ascii="Garamond" w:hAnsi="Garamond"/>
        </w:rPr>
        <w:t>.</w:t>
      </w:r>
      <w:r w:rsidR="0006131A">
        <w:rPr>
          <w:rFonts w:ascii="Garamond" w:hAnsi="Garamond"/>
        </w:rPr>
        <w:t xml:space="preserve"> </w:t>
      </w:r>
    </w:p>
    <w:p w14:paraId="0EF30879" w14:textId="77777777" w:rsidR="00425CA3" w:rsidRDefault="00425CA3" w:rsidP="00702AF8">
      <w:pPr>
        <w:ind w:left="1440" w:hanging="720"/>
        <w:rPr>
          <w:rFonts w:ascii="Garamond" w:hAnsi="Garamond"/>
        </w:rPr>
      </w:pPr>
    </w:p>
    <w:p w14:paraId="20650C5A" w14:textId="4EAC71BF" w:rsidR="00425CA3" w:rsidRPr="00162D44" w:rsidRDefault="00990525" w:rsidP="00425CA3">
      <w:pPr>
        <w:ind w:left="2160" w:hanging="720"/>
        <w:rPr>
          <w:rFonts w:ascii="Garamond" w:hAnsi="Garamond"/>
        </w:rPr>
      </w:pPr>
      <w:r>
        <w:rPr>
          <w:rFonts w:ascii="Garamond" w:hAnsi="Garamond"/>
        </w:rPr>
        <w:t>1</w:t>
      </w:r>
      <w:r w:rsidR="00425CA3" w:rsidRPr="00162D44">
        <w:rPr>
          <w:rFonts w:ascii="Garamond" w:hAnsi="Garamond"/>
        </w:rPr>
        <w:t>.</w:t>
      </w:r>
      <w:r w:rsidR="00425CA3" w:rsidRPr="00162D44">
        <w:rPr>
          <w:rFonts w:ascii="Garamond" w:hAnsi="Garamond"/>
        </w:rPr>
        <w:tab/>
        <w:t xml:space="preserve">Imagine, for example, that a defendant runs over my dog and kills it. And all of this is alleged in the complaint in excruciating detail. I could of course sue under a recognized state tort, like trespass to chattels or conversion, which both treat my dog as property. As a consequence, the amount in damages I </w:t>
      </w:r>
      <w:r w:rsidR="00425CA3" w:rsidRPr="00162D44">
        <w:rPr>
          <w:rFonts w:ascii="Garamond" w:hAnsi="Garamond"/>
        </w:rPr>
        <w:lastRenderedPageBreak/>
        <w:t>can recover is limited to the economic value of the property, and I have no opportunity to recover emotional-distress damages. So I also ask the federal court to recognize a new state common-law tort claim for “tortious inter</w:t>
      </w:r>
      <w:r w:rsidR="00425CA3" w:rsidRPr="00162D44">
        <w:rPr>
          <w:rFonts w:ascii="Garamond" w:hAnsi="Garamond"/>
        </w:rPr>
        <w:softHyphen/>
        <w:t>fer</w:t>
      </w:r>
      <w:r w:rsidR="00425CA3" w:rsidRPr="00162D44">
        <w:rPr>
          <w:rFonts w:ascii="Garamond" w:hAnsi="Garamond"/>
        </w:rPr>
        <w:softHyphen/>
        <w:t>ence with animal relations,” which would allow me to recover for emotional distress. Some state courts in other jurisdictions have recognized such a claim. Because this is a new cause of action, and clearly substantive, the fed</w:t>
      </w:r>
      <w:r w:rsidR="00425CA3" w:rsidRPr="00162D44">
        <w:rPr>
          <w:rFonts w:ascii="Garamond" w:hAnsi="Garamond"/>
        </w:rPr>
        <w:softHyphen/>
        <w:t>eral judge will have to predict whether the highest court of the state would recognize it as a matter of common law. If the court dismisses the claim, the judge is basically stating: (1) state law does not currently recognize this pur</w:t>
      </w:r>
      <w:r w:rsidR="00425CA3" w:rsidRPr="00162D44">
        <w:rPr>
          <w:rFonts w:ascii="Garamond" w:hAnsi="Garamond"/>
        </w:rPr>
        <w:softHyphen/>
        <w:t xml:space="preserve">ported claim and (2) I </w:t>
      </w:r>
      <w:r w:rsidR="008A74BE">
        <w:rPr>
          <w:rFonts w:ascii="Garamond" w:hAnsi="Garamond"/>
        </w:rPr>
        <w:t xml:space="preserve">do not </w:t>
      </w:r>
      <w:r w:rsidR="00FF794F">
        <w:rPr>
          <w:rFonts w:ascii="Garamond" w:hAnsi="Garamond"/>
        </w:rPr>
        <w:t xml:space="preserve">believe </w:t>
      </w:r>
      <w:r w:rsidR="008A74BE">
        <w:rPr>
          <w:rFonts w:ascii="Garamond" w:hAnsi="Garamond"/>
        </w:rPr>
        <w:t xml:space="preserve">the state’s highest court </w:t>
      </w:r>
      <w:r w:rsidR="00DF0AF3">
        <w:rPr>
          <w:rFonts w:ascii="Garamond" w:hAnsi="Garamond"/>
        </w:rPr>
        <w:t xml:space="preserve">would </w:t>
      </w:r>
      <w:r w:rsidR="008A74BE">
        <w:rPr>
          <w:rFonts w:ascii="Garamond" w:hAnsi="Garamond"/>
        </w:rPr>
        <w:t xml:space="preserve">recognize </w:t>
      </w:r>
      <w:r w:rsidR="0001643E">
        <w:rPr>
          <w:rFonts w:ascii="Garamond" w:hAnsi="Garamond"/>
        </w:rPr>
        <w:t xml:space="preserve">it if </w:t>
      </w:r>
      <w:r w:rsidR="008A74BE">
        <w:rPr>
          <w:rFonts w:ascii="Garamond" w:hAnsi="Garamond"/>
        </w:rPr>
        <w:t>given the opportunity</w:t>
      </w:r>
      <w:r w:rsidR="00425CA3" w:rsidRPr="00162D44">
        <w:rPr>
          <w:rFonts w:ascii="Garamond" w:hAnsi="Garamond"/>
        </w:rPr>
        <w:t>. This problem likely cannot be cured by amending the complaint to alter the facts that have been pled, so the dismissal of the claim would almost certainly be with prejudice.</w:t>
      </w:r>
    </w:p>
    <w:p w14:paraId="5F979C34" w14:textId="77777777" w:rsidR="00425CA3" w:rsidRPr="00162D44" w:rsidRDefault="00425CA3" w:rsidP="00425CA3">
      <w:pPr>
        <w:ind w:left="2160" w:hanging="720"/>
        <w:rPr>
          <w:rFonts w:ascii="Garamond" w:hAnsi="Garamond"/>
        </w:rPr>
      </w:pPr>
    </w:p>
    <w:p w14:paraId="565069FB" w14:textId="3ABCCA51" w:rsidR="00425CA3" w:rsidRPr="00162D44" w:rsidRDefault="00990525" w:rsidP="00425CA3">
      <w:pPr>
        <w:ind w:left="2160" w:hanging="720"/>
        <w:rPr>
          <w:rFonts w:ascii="Garamond" w:hAnsi="Garamond"/>
        </w:rPr>
      </w:pPr>
      <w:r>
        <w:rPr>
          <w:rFonts w:ascii="Garamond" w:hAnsi="Garamond"/>
        </w:rPr>
        <w:t>2</w:t>
      </w:r>
      <w:r w:rsidR="00425CA3" w:rsidRPr="00162D44">
        <w:rPr>
          <w:rFonts w:ascii="Garamond" w:hAnsi="Garamond"/>
        </w:rPr>
        <w:t>.</w:t>
      </w:r>
      <w:r w:rsidR="00425CA3" w:rsidRPr="00162D44">
        <w:rPr>
          <w:rFonts w:ascii="Garamond" w:hAnsi="Garamond"/>
        </w:rPr>
        <w:tab/>
        <w:t xml:space="preserve">Imagine, for instance, that the plaintiff brings a federal claim for copyright infringement because the defendant has copied and sold the plaintiff’s musical composition without permission. The plaintiff also brings a state law claim of conversion of chattels, claiming that the copyright in the composition is a form of intellectual property that the defendant has converted. The applicable state law in the jurisdiction does recognize that intangible property can be converted. The complaint alleges sufficient facts to lay out the grievance. Nevertheless, the federal copyright statute states that in the interest of national uniformity it preempts any and all analogous state-law claims in this federal field. This wipes out the state law claim—it is no longer cognizable in either federal or state courts under these facts. So a federal court would grant a motion to dismiss the conversion claim. Again, this problem likely cannot be cured by an amendment, so the dismissal of the conversion claim would almost certainly be with prejudice. </w:t>
      </w:r>
    </w:p>
    <w:p w14:paraId="65FE9C05" w14:textId="77777777" w:rsidR="00425CA3" w:rsidRPr="00162D44" w:rsidRDefault="00425CA3" w:rsidP="00425CA3">
      <w:pPr>
        <w:ind w:left="2160" w:hanging="720"/>
        <w:rPr>
          <w:rFonts w:ascii="Garamond" w:hAnsi="Garamond"/>
        </w:rPr>
      </w:pPr>
    </w:p>
    <w:p w14:paraId="73B463D9" w14:textId="16153FD8" w:rsidR="00425CA3" w:rsidRPr="00162D44" w:rsidRDefault="00152B83" w:rsidP="00425CA3">
      <w:pPr>
        <w:ind w:left="2160" w:hanging="720"/>
        <w:rPr>
          <w:rFonts w:ascii="Garamond" w:hAnsi="Garamond"/>
        </w:rPr>
      </w:pPr>
      <w:r>
        <w:rPr>
          <w:rFonts w:ascii="Garamond" w:hAnsi="Garamond"/>
        </w:rPr>
        <w:t>3</w:t>
      </w:r>
      <w:r w:rsidR="00425CA3" w:rsidRPr="00162D44">
        <w:rPr>
          <w:rFonts w:ascii="Garamond" w:hAnsi="Garamond"/>
        </w:rPr>
        <w:t>.</w:t>
      </w:r>
      <w:r w:rsidR="00425CA3" w:rsidRPr="00162D44">
        <w:rPr>
          <w:rFonts w:ascii="Garamond" w:hAnsi="Garamond"/>
        </w:rPr>
        <w:tab/>
        <w:t xml:space="preserve">Imagine, for example, that a federal anti-discrimination statute lists the following as characteristics protected from discrimination: “race, color, religion, sex, or national origin.” A plaintiff brings a claim in federal court alleging, in </w:t>
      </w:r>
      <w:r w:rsidR="00332AC3">
        <w:rPr>
          <w:rFonts w:ascii="Garamond" w:hAnsi="Garamond"/>
        </w:rPr>
        <w:t xml:space="preserve">plenty of </w:t>
      </w:r>
      <w:r w:rsidR="00425CA3" w:rsidRPr="00162D44">
        <w:rPr>
          <w:rFonts w:ascii="Garamond" w:hAnsi="Garamond"/>
        </w:rPr>
        <w:t>detail in the complaint, how the defendant has repeatedly discriminated against him based on his gender identity. The complaint further posits that discrimination based on gender identity falls within the scope of the word “sex” and is therefore unlawful. If the district court judge agrees, then the claim can move forward. But if the judge disagrees, then the claim for gender-identity discrimination is not legally cognizable, and the court will dismiss it for failure to state a claim. Again, this type of loss likely could not be cured by amending the complaint to alter the facts that have been pled, so any dismissal is likely to be with prejudice.</w:t>
      </w:r>
    </w:p>
    <w:p w14:paraId="187A1E17" w14:textId="1FE11307" w:rsidR="001B5A7D" w:rsidRDefault="001B5A7D" w:rsidP="00407670">
      <w:pPr>
        <w:rPr>
          <w:rFonts w:ascii="Garamond" w:hAnsi="Garamond"/>
        </w:rPr>
      </w:pPr>
    </w:p>
    <w:p w14:paraId="4C264076" w14:textId="21DF1CB3" w:rsidR="007A2B07" w:rsidRDefault="000D6DEC" w:rsidP="00702AF8">
      <w:pPr>
        <w:ind w:left="1440" w:hanging="720"/>
        <w:rPr>
          <w:rFonts w:ascii="Garamond" w:hAnsi="Garamond"/>
        </w:rPr>
      </w:pPr>
      <w:r>
        <w:rPr>
          <w:rFonts w:ascii="Garamond" w:hAnsi="Garamond"/>
        </w:rPr>
        <w:t>C</w:t>
      </w:r>
      <w:r w:rsidR="001B5A7D">
        <w:rPr>
          <w:rFonts w:ascii="Garamond" w:hAnsi="Garamond"/>
        </w:rPr>
        <w:t>.</w:t>
      </w:r>
      <w:r w:rsidR="001B5A7D">
        <w:rPr>
          <w:rFonts w:ascii="Garamond" w:hAnsi="Garamond"/>
        </w:rPr>
        <w:tab/>
        <w:t xml:space="preserve">Dismiss the claim </w:t>
      </w:r>
      <w:r w:rsidR="002A0E8E">
        <w:rPr>
          <w:rFonts w:ascii="Garamond" w:hAnsi="Garamond"/>
        </w:rPr>
        <w:t xml:space="preserve">if it is not </w:t>
      </w:r>
      <w:r w:rsidR="004E7893">
        <w:rPr>
          <w:rFonts w:ascii="Garamond" w:hAnsi="Garamond"/>
        </w:rPr>
        <w:t>“</w:t>
      </w:r>
      <w:r w:rsidR="002A0E8E">
        <w:rPr>
          <w:rFonts w:ascii="Garamond" w:hAnsi="Garamond"/>
        </w:rPr>
        <w:t>plausible</w:t>
      </w:r>
      <w:r w:rsidR="004E7893">
        <w:rPr>
          <w:rFonts w:ascii="Garamond" w:hAnsi="Garamond"/>
        </w:rPr>
        <w:t>”</w:t>
      </w:r>
      <w:r w:rsidR="002A0E8E">
        <w:rPr>
          <w:rFonts w:ascii="Garamond" w:hAnsi="Garamond"/>
        </w:rPr>
        <w:t xml:space="preserve"> on its face.</w:t>
      </w:r>
      <w:r w:rsidR="008D0F8B" w:rsidRPr="008D0F8B">
        <w:rPr>
          <w:rFonts w:ascii="Garamond" w:hAnsi="Garamond"/>
        </w:rPr>
        <w:t xml:space="preserve"> </w:t>
      </w:r>
      <w:r w:rsidR="00C741BC">
        <w:rPr>
          <w:rFonts w:ascii="Garamond" w:hAnsi="Garamond"/>
        </w:rPr>
        <w:t xml:space="preserve">The first such dismissal will </w:t>
      </w:r>
      <w:r w:rsidR="00EC082A">
        <w:rPr>
          <w:rFonts w:ascii="Garamond" w:hAnsi="Garamond"/>
        </w:rPr>
        <w:t xml:space="preserve">likely </w:t>
      </w:r>
      <w:r w:rsidR="00C741BC">
        <w:rPr>
          <w:rFonts w:ascii="Garamond" w:hAnsi="Garamond"/>
        </w:rPr>
        <w:t>be with leave to amend. Failure to cure could lead to dismissal with prejudice.</w:t>
      </w:r>
    </w:p>
    <w:p w14:paraId="6D065695" w14:textId="77777777" w:rsidR="00E7713F" w:rsidRDefault="00E7713F" w:rsidP="0003270A">
      <w:pPr>
        <w:rPr>
          <w:rFonts w:ascii="Garamond" w:hAnsi="Garamond"/>
        </w:rPr>
      </w:pPr>
    </w:p>
    <w:p w14:paraId="541B5319" w14:textId="20F7AC2F" w:rsidR="00E7713F" w:rsidRDefault="0003270A" w:rsidP="00E7713F">
      <w:pPr>
        <w:ind w:left="2160" w:hanging="720"/>
        <w:rPr>
          <w:rFonts w:ascii="Garamond" w:hAnsi="Garamond"/>
        </w:rPr>
      </w:pPr>
      <w:r>
        <w:rPr>
          <w:rFonts w:ascii="Garamond" w:hAnsi="Garamond"/>
        </w:rPr>
        <w:t>1</w:t>
      </w:r>
      <w:r w:rsidR="00E7713F">
        <w:rPr>
          <w:rFonts w:ascii="Garamond" w:hAnsi="Garamond"/>
        </w:rPr>
        <w:t>.</w:t>
      </w:r>
      <w:r w:rsidR="00E7713F">
        <w:rPr>
          <w:rFonts w:ascii="Garamond" w:hAnsi="Garamond"/>
        </w:rPr>
        <w:tab/>
        <w:t>In assessing plausibility, a trial judge is to draw on his or her “judicial experience and common sense.”</w:t>
      </w:r>
    </w:p>
    <w:p w14:paraId="0851E01E" w14:textId="77777777" w:rsidR="00E7713F" w:rsidRDefault="00E7713F" w:rsidP="00E7713F">
      <w:pPr>
        <w:ind w:left="2160" w:hanging="720"/>
        <w:rPr>
          <w:rFonts w:ascii="Garamond" w:hAnsi="Garamond"/>
        </w:rPr>
      </w:pPr>
    </w:p>
    <w:p w14:paraId="62C3C915" w14:textId="74205A5B" w:rsidR="00C26B50" w:rsidRDefault="00F6005B" w:rsidP="00E7713F">
      <w:pPr>
        <w:ind w:left="2160" w:hanging="720"/>
        <w:rPr>
          <w:rFonts w:ascii="Garamond" w:hAnsi="Garamond"/>
        </w:rPr>
      </w:pPr>
      <w:r>
        <w:rPr>
          <w:rFonts w:ascii="Garamond" w:hAnsi="Garamond"/>
        </w:rPr>
        <w:lastRenderedPageBreak/>
        <w:t>2</w:t>
      </w:r>
      <w:r w:rsidR="00E10AD9">
        <w:rPr>
          <w:rFonts w:ascii="Garamond" w:hAnsi="Garamond"/>
        </w:rPr>
        <w:t>.</w:t>
      </w:r>
      <w:r w:rsidR="00E10AD9">
        <w:rPr>
          <w:rFonts w:ascii="Garamond" w:hAnsi="Garamond"/>
        </w:rPr>
        <w:tab/>
      </w:r>
      <w:proofErr w:type="spellStart"/>
      <w:r w:rsidR="002978A9" w:rsidRPr="002978A9">
        <w:rPr>
          <w:rFonts w:ascii="Garamond" w:hAnsi="Garamond"/>
          <w:i/>
          <w:iCs/>
        </w:rPr>
        <w:t>Twiqbal</w:t>
      </w:r>
      <w:proofErr w:type="spellEnd"/>
      <w:r w:rsidR="002978A9">
        <w:rPr>
          <w:rFonts w:ascii="Garamond" w:hAnsi="Garamond"/>
        </w:rPr>
        <w:t xml:space="preserve"> says that a </w:t>
      </w:r>
      <w:r w:rsidR="00E10AD9">
        <w:rPr>
          <w:rFonts w:ascii="Garamond" w:hAnsi="Garamond"/>
        </w:rPr>
        <w:t xml:space="preserve">claim that is </w:t>
      </w:r>
      <w:r w:rsidR="002978A9">
        <w:rPr>
          <w:rFonts w:ascii="Garamond" w:hAnsi="Garamond"/>
        </w:rPr>
        <w:t>“</w:t>
      </w:r>
      <w:r w:rsidR="00E10AD9">
        <w:rPr>
          <w:rFonts w:ascii="Garamond" w:hAnsi="Garamond"/>
        </w:rPr>
        <w:t>possible</w:t>
      </w:r>
      <w:r w:rsidR="002978A9">
        <w:rPr>
          <w:rFonts w:ascii="Garamond" w:hAnsi="Garamond"/>
        </w:rPr>
        <w:t>”</w:t>
      </w:r>
      <w:r w:rsidR="00E10AD9">
        <w:rPr>
          <w:rFonts w:ascii="Garamond" w:hAnsi="Garamond"/>
        </w:rPr>
        <w:t xml:space="preserve"> or </w:t>
      </w:r>
      <w:r w:rsidR="002978A9">
        <w:rPr>
          <w:rFonts w:ascii="Garamond" w:hAnsi="Garamond"/>
        </w:rPr>
        <w:t>“</w:t>
      </w:r>
      <w:r w:rsidR="00E10AD9">
        <w:rPr>
          <w:rFonts w:ascii="Garamond" w:hAnsi="Garamond"/>
        </w:rPr>
        <w:t>conceivable</w:t>
      </w:r>
      <w:r w:rsidR="002978A9">
        <w:rPr>
          <w:rFonts w:ascii="Garamond" w:hAnsi="Garamond"/>
        </w:rPr>
        <w:t>”</w:t>
      </w:r>
      <w:r w:rsidR="00E10AD9">
        <w:rPr>
          <w:rFonts w:ascii="Garamond" w:hAnsi="Garamond"/>
        </w:rPr>
        <w:t xml:space="preserve"> is not enough</w:t>
      </w:r>
      <w:r w:rsidR="00B9530E">
        <w:rPr>
          <w:rFonts w:ascii="Garamond" w:hAnsi="Garamond"/>
        </w:rPr>
        <w:t xml:space="preserve"> to survive a motion to dismiss</w:t>
      </w:r>
      <w:r w:rsidR="00E10AD9">
        <w:rPr>
          <w:rFonts w:ascii="Garamond" w:hAnsi="Garamond"/>
        </w:rPr>
        <w:t xml:space="preserve">, but </w:t>
      </w:r>
      <w:r w:rsidR="002D1481">
        <w:rPr>
          <w:rFonts w:ascii="Garamond" w:hAnsi="Garamond"/>
        </w:rPr>
        <w:t xml:space="preserve">the claim </w:t>
      </w:r>
      <w:r w:rsidR="00E10AD9">
        <w:rPr>
          <w:rFonts w:ascii="Garamond" w:hAnsi="Garamond"/>
        </w:rPr>
        <w:t xml:space="preserve">need not </w:t>
      </w:r>
      <w:r w:rsidR="002D1481">
        <w:rPr>
          <w:rFonts w:ascii="Garamond" w:hAnsi="Garamond"/>
        </w:rPr>
        <w:t xml:space="preserve">rise to the level of </w:t>
      </w:r>
      <w:r w:rsidR="002978A9">
        <w:rPr>
          <w:rFonts w:ascii="Garamond" w:hAnsi="Garamond"/>
        </w:rPr>
        <w:t>“</w:t>
      </w:r>
      <w:r w:rsidR="00E10AD9">
        <w:rPr>
          <w:rFonts w:ascii="Garamond" w:hAnsi="Garamond"/>
        </w:rPr>
        <w:t>probable</w:t>
      </w:r>
      <w:r w:rsidR="002978A9">
        <w:rPr>
          <w:rFonts w:ascii="Garamond" w:hAnsi="Garamond"/>
        </w:rPr>
        <w:t>”</w:t>
      </w:r>
      <w:r w:rsidR="002D1481">
        <w:rPr>
          <w:rFonts w:ascii="Garamond" w:hAnsi="Garamond"/>
        </w:rPr>
        <w:t xml:space="preserve"> to survive a </w:t>
      </w:r>
      <w:r w:rsidR="002978A9">
        <w:rPr>
          <w:rFonts w:ascii="Garamond" w:hAnsi="Garamond"/>
        </w:rPr>
        <w:t>MTD</w:t>
      </w:r>
      <w:r w:rsidR="00E10AD9">
        <w:rPr>
          <w:rFonts w:ascii="Garamond" w:hAnsi="Garamond"/>
        </w:rPr>
        <w:t>.</w:t>
      </w:r>
      <w:r w:rsidR="001814BA">
        <w:rPr>
          <w:rFonts w:ascii="Garamond" w:hAnsi="Garamond"/>
        </w:rPr>
        <w:t xml:space="preserve"> Unfortunately, the lines between possible, conceivable, plausible, and probable are not easy to find</w:t>
      </w:r>
      <w:r w:rsidR="007E1188">
        <w:rPr>
          <w:rFonts w:ascii="Garamond" w:hAnsi="Garamond"/>
        </w:rPr>
        <w:t>, especially the line</w:t>
      </w:r>
      <w:r w:rsidR="00E9290C">
        <w:rPr>
          <w:rFonts w:ascii="Garamond" w:hAnsi="Garamond"/>
        </w:rPr>
        <w:t>s</w:t>
      </w:r>
      <w:r w:rsidR="007E1188">
        <w:rPr>
          <w:rFonts w:ascii="Garamond" w:hAnsi="Garamond"/>
        </w:rPr>
        <w:t xml:space="preserve"> between possible and plausible, or between conceivable and plausible.</w:t>
      </w:r>
    </w:p>
    <w:p w14:paraId="5F1CB34C" w14:textId="77777777" w:rsidR="00C26B50" w:rsidRDefault="00C26B50" w:rsidP="00E7713F">
      <w:pPr>
        <w:ind w:left="2160" w:hanging="720"/>
        <w:rPr>
          <w:rFonts w:ascii="Garamond" w:hAnsi="Garamond"/>
        </w:rPr>
      </w:pPr>
    </w:p>
    <w:p w14:paraId="007114AE" w14:textId="465C4BEF" w:rsidR="001C1BC9" w:rsidRPr="00162D44" w:rsidRDefault="00C26B50" w:rsidP="00F15CD7">
      <w:pPr>
        <w:ind w:left="2160" w:hanging="720"/>
        <w:rPr>
          <w:rFonts w:ascii="Garamond" w:hAnsi="Garamond"/>
        </w:rPr>
      </w:pPr>
      <w:r>
        <w:rPr>
          <w:rFonts w:ascii="Garamond" w:hAnsi="Garamond"/>
        </w:rPr>
        <w:t>3.</w:t>
      </w:r>
      <w:r>
        <w:rPr>
          <w:rFonts w:ascii="Garamond" w:hAnsi="Garamond"/>
        </w:rPr>
        <w:tab/>
      </w:r>
      <w:r w:rsidR="003A7DA1">
        <w:rPr>
          <w:rFonts w:ascii="Garamond" w:hAnsi="Garamond"/>
        </w:rPr>
        <w:t>T</w:t>
      </w:r>
      <w:r w:rsidR="001C1BC9">
        <w:rPr>
          <w:rFonts w:ascii="Garamond" w:hAnsi="Garamond"/>
        </w:rPr>
        <w:t>o some observers</w:t>
      </w:r>
      <w:r w:rsidR="0003782A">
        <w:rPr>
          <w:rFonts w:ascii="Garamond" w:hAnsi="Garamond"/>
        </w:rPr>
        <w:t xml:space="preserve"> </w:t>
      </w:r>
      <w:r>
        <w:rPr>
          <w:rFonts w:ascii="Garamond" w:hAnsi="Garamond"/>
        </w:rPr>
        <w:t xml:space="preserve">this inquiry </w:t>
      </w:r>
      <w:r w:rsidR="002B69FD">
        <w:rPr>
          <w:rFonts w:ascii="Garamond" w:hAnsi="Garamond"/>
        </w:rPr>
        <w:t xml:space="preserve">under </w:t>
      </w:r>
      <w:proofErr w:type="spellStart"/>
      <w:r w:rsidR="002B69FD">
        <w:rPr>
          <w:rFonts w:ascii="Garamond" w:hAnsi="Garamond"/>
          <w:i/>
          <w:iCs/>
        </w:rPr>
        <w:t>Twiqbal</w:t>
      </w:r>
      <w:proofErr w:type="spellEnd"/>
      <w:r w:rsidR="002B69FD">
        <w:rPr>
          <w:rFonts w:ascii="Garamond" w:hAnsi="Garamond"/>
          <w:i/>
          <w:iCs/>
        </w:rPr>
        <w:t xml:space="preserve"> </w:t>
      </w:r>
      <w:r w:rsidR="001C1BC9">
        <w:rPr>
          <w:rFonts w:ascii="Garamond" w:hAnsi="Garamond"/>
        </w:rPr>
        <w:t xml:space="preserve">feels </w:t>
      </w:r>
      <w:r w:rsidR="00C71737">
        <w:rPr>
          <w:rFonts w:ascii="Garamond" w:hAnsi="Garamond"/>
        </w:rPr>
        <w:t xml:space="preserve">(problematically) </w:t>
      </w:r>
      <w:r w:rsidR="001C1BC9">
        <w:rPr>
          <w:rFonts w:ascii="Garamond" w:hAnsi="Garamond"/>
        </w:rPr>
        <w:t>like summary judgment</w:t>
      </w:r>
      <w:r w:rsidR="008D3F3F">
        <w:rPr>
          <w:rFonts w:ascii="Garamond" w:hAnsi="Garamond"/>
        </w:rPr>
        <w:t>,</w:t>
      </w:r>
      <w:r w:rsidR="001C1BC9">
        <w:rPr>
          <w:rFonts w:ascii="Garamond" w:hAnsi="Garamond"/>
        </w:rPr>
        <w:t xml:space="preserve"> </w:t>
      </w:r>
      <w:r w:rsidR="00E70074">
        <w:rPr>
          <w:rFonts w:ascii="Garamond" w:hAnsi="Garamond"/>
        </w:rPr>
        <w:t xml:space="preserve">albeit </w:t>
      </w:r>
      <w:r w:rsidR="001C1BC9">
        <w:rPr>
          <w:rFonts w:ascii="Garamond" w:hAnsi="Garamond"/>
        </w:rPr>
        <w:t xml:space="preserve">with a different record of </w:t>
      </w:r>
      <w:r w:rsidR="00863530">
        <w:rPr>
          <w:rFonts w:ascii="Garamond" w:hAnsi="Garamond"/>
        </w:rPr>
        <w:t xml:space="preserve">the </w:t>
      </w:r>
      <w:r w:rsidR="001C1BC9">
        <w:rPr>
          <w:rFonts w:ascii="Garamond" w:hAnsi="Garamond"/>
        </w:rPr>
        <w:t xml:space="preserve">facts. </w:t>
      </w:r>
      <w:r w:rsidR="00B02F8D">
        <w:rPr>
          <w:rFonts w:ascii="Garamond" w:hAnsi="Garamond"/>
        </w:rPr>
        <w:t xml:space="preserve">On a motion for summary judgment, the judge asks whether a reasonable jury could find in favor of the plaintiff on the claim. The </w:t>
      </w:r>
      <w:r w:rsidR="005B4DAA">
        <w:rPr>
          <w:rFonts w:ascii="Garamond" w:hAnsi="Garamond"/>
        </w:rPr>
        <w:t xml:space="preserve">motion </w:t>
      </w:r>
      <w:r w:rsidR="000B0EC0">
        <w:rPr>
          <w:rFonts w:ascii="Garamond" w:hAnsi="Garamond"/>
        </w:rPr>
        <w:t xml:space="preserve">will </w:t>
      </w:r>
      <w:r w:rsidR="00E5469E">
        <w:rPr>
          <w:rFonts w:ascii="Garamond" w:hAnsi="Garamond"/>
        </w:rPr>
        <w:t xml:space="preserve">typically </w:t>
      </w:r>
      <w:r w:rsidR="000B0EC0">
        <w:rPr>
          <w:rFonts w:ascii="Garamond" w:hAnsi="Garamond"/>
        </w:rPr>
        <w:t xml:space="preserve">be based on and occur after the parties </w:t>
      </w:r>
      <w:r w:rsidR="00B02F8D">
        <w:rPr>
          <w:rFonts w:ascii="Garamond" w:hAnsi="Garamond"/>
        </w:rPr>
        <w:t>exchange discovery.</w:t>
      </w:r>
      <w:r w:rsidR="000B0EC0">
        <w:rPr>
          <w:rFonts w:ascii="Garamond" w:hAnsi="Garamond"/>
        </w:rPr>
        <w:t xml:space="preserve"> If the evidence could lead a jury to go either way</w:t>
      </w:r>
      <w:r w:rsidR="00204895">
        <w:rPr>
          <w:rFonts w:ascii="Garamond" w:hAnsi="Garamond"/>
        </w:rPr>
        <w:t xml:space="preserve">—i.e., </w:t>
      </w:r>
      <w:r w:rsidR="000B0EC0">
        <w:rPr>
          <w:rFonts w:ascii="Garamond" w:hAnsi="Garamond"/>
        </w:rPr>
        <w:t>either finding in favor of the plaintiff or the defendant</w:t>
      </w:r>
      <w:r w:rsidR="00204895">
        <w:rPr>
          <w:rFonts w:ascii="Garamond" w:hAnsi="Garamond"/>
        </w:rPr>
        <w:t>—</w:t>
      </w:r>
      <w:r w:rsidR="000B0EC0">
        <w:rPr>
          <w:rFonts w:ascii="Garamond" w:hAnsi="Garamond"/>
        </w:rPr>
        <w:t xml:space="preserve">then summary judgment is improper and </w:t>
      </w:r>
      <w:r w:rsidR="00204895">
        <w:rPr>
          <w:rFonts w:ascii="Garamond" w:hAnsi="Garamond"/>
        </w:rPr>
        <w:t xml:space="preserve">the case </w:t>
      </w:r>
      <w:r w:rsidR="000B0EC0">
        <w:rPr>
          <w:rFonts w:ascii="Garamond" w:hAnsi="Garamond"/>
        </w:rPr>
        <w:t>must go to trial</w:t>
      </w:r>
      <w:r w:rsidR="00D44D55">
        <w:rPr>
          <w:rFonts w:ascii="Garamond" w:hAnsi="Garamond"/>
        </w:rPr>
        <w:t xml:space="preserve"> (unless the parties settle</w:t>
      </w:r>
      <w:r w:rsidR="004337FD">
        <w:rPr>
          <w:rFonts w:ascii="Garamond" w:hAnsi="Garamond"/>
        </w:rPr>
        <w:t xml:space="preserve"> of course</w:t>
      </w:r>
      <w:r w:rsidR="00D44D55">
        <w:rPr>
          <w:rFonts w:ascii="Garamond" w:hAnsi="Garamond"/>
        </w:rPr>
        <w:t>)</w:t>
      </w:r>
      <w:r w:rsidR="000B0EC0">
        <w:rPr>
          <w:rFonts w:ascii="Garamond" w:hAnsi="Garamond"/>
        </w:rPr>
        <w:t xml:space="preserve">. </w:t>
      </w:r>
      <w:proofErr w:type="spellStart"/>
      <w:r w:rsidR="000B0EC0">
        <w:rPr>
          <w:rFonts w:ascii="Garamond" w:hAnsi="Garamond"/>
          <w:i/>
          <w:iCs/>
        </w:rPr>
        <w:t>Twiqbal</w:t>
      </w:r>
      <w:proofErr w:type="spellEnd"/>
      <w:r w:rsidR="000B0EC0">
        <w:rPr>
          <w:rFonts w:ascii="Garamond" w:hAnsi="Garamond"/>
        </w:rPr>
        <w:t xml:space="preserve"> seems to call on the judge to do the same </w:t>
      </w:r>
      <w:r w:rsidR="005C13F7">
        <w:rPr>
          <w:rFonts w:ascii="Garamond" w:hAnsi="Garamond"/>
        </w:rPr>
        <w:t xml:space="preserve">sort of </w:t>
      </w:r>
      <w:r w:rsidR="0036367E">
        <w:rPr>
          <w:rFonts w:ascii="Garamond" w:hAnsi="Garamond"/>
        </w:rPr>
        <w:t xml:space="preserve">analysis </w:t>
      </w:r>
      <w:r w:rsidR="000B0EC0">
        <w:rPr>
          <w:rFonts w:ascii="Garamond" w:hAnsi="Garamond"/>
        </w:rPr>
        <w:t xml:space="preserve">but based on </w:t>
      </w:r>
      <w:r w:rsidR="004031EE">
        <w:rPr>
          <w:rFonts w:ascii="Garamond" w:hAnsi="Garamond"/>
        </w:rPr>
        <w:t xml:space="preserve">the </w:t>
      </w:r>
      <w:r w:rsidR="00C424ED">
        <w:rPr>
          <w:rFonts w:ascii="Garamond" w:hAnsi="Garamond"/>
        </w:rPr>
        <w:t xml:space="preserve">well-pleaded </w:t>
      </w:r>
      <w:r w:rsidR="004031EE">
        <w:rPr>
          <w:rFonts w:ascii="Garamond" w:hAnsi="Garamond"/>
        </w:rPr>
        <w:t xml:space="preserve">allegations </w:t>
      </w:r>
      <w:r w:rsidR="001C1BC9">
        <w:rPr>
          <w:rFonts w:ascii="Garamond" w:hAnsi="Garamond"/>
        </w:rPr>
        <w:t>left in the complaint, after the filtering step</w:t>
      </w:r>
      <w:r w:rsidR="009C7080">
        <w:rPr>
          <w:rFonts w:ascii="Garamond" w:hAnsi="Garamond"/>
        </w:rPr>
        <w:t xml:space="preserve">s </w:t>
      </w:r>
      <w:r w:rsidR="00BA5A24">
        <w:rPr>
          <w:rFonts w:ascii="Garamond" w:hAnsi="Garamond"/>
        </w:rPr>
        <w:t xml:space="preserve">noted </w:t>
      </w:r>
      <w:r w:rsidR="009C7080">
        <w:rPr>
          <w:rFonts w:ascii="Garamond" w:hAnsi="Garamond"/>
        </w:rPr>
        <w:t>above</w:t>
      </w:r>
      <w:r w:rsidR="001C1BC9">
        <w:rPr>
          <w:rFonts w:ascii="Garamond" w:hAnsi="Garamond"/>
        </w:rPr>
        <w:t>.</w:t>
      </w:r>
      <w:r w:rsidR="00C71737">
        <w:rPr>
          <w:rFonts w:ascii="Garamond" w:hAnsi="Garamond"/>
        </w:rPr>
        <w:t xml:space="preserve"> </w:t>
      </w:r>
      <w:r w:rsidR="00F15CD7">
        <w:rPr>
          <w:rFonts w:ascii="Garamond" w:hAnsi="Garamond"/>
        </w:rPr>
        <w:t>Whereas a judge can grant summary judgment if reasonable jurors can come to only one conclusion</w:t>
      </w:r>
      <w:r w:rsidR="005C13F7">
        <w:rPr>
          <w:rFonts w:ascii="Garamond" w:hAnsi="Garamond"/>
        </w:rPr>
        <w:t xml:space="preserve"> on the facts</w:t>
      </w:r>
      <w:r w:rsidR="00F15CD7">
        <w:rPr>
          <w:rFonts w:ascii="Garamond" w:hAnsi="Garamond"/>
        </w:rPr>
        <w:t xml:space="preserve">, </w:t>
      </w:r>
      <w:r w:rsidR="002630A5">
        <w:rPr>
          <w:rFonts w:ascii="Garamond" w:hAnsi="Garamond"/>
        </w:rPr>
        <w:t xml:space="preserve">it appears </w:t>
      </w:r>
      <w:r w:rsidR="00F15CD7">
        <w:rPr>
          <w:rFonts w:ascii="Garamond" w:hAnsi="Garamond"/>
        </w:rPr>
        <w:t xml:space="preserve">a judge can </w:t>
      </w:r>
      <w:r w:rsidR="002630A5">
        <w:rPr>
          <w:rFonts w:ascii="Garamond" w:hAnsi="Garamond"/>
        </w:rPr>
        <w:t xml:space="preserve">now </w:t>
      </w:r>
      <w:r w:rsidR="005150F9">
        <w:rPr>
          <w:rFonts w:ascii="Garamond" w:hAnsi="Garamond"/>
        </w:rPr>
        <w:t xml:space="preserve">also </w:t>
      </w:r>
      <w:r w:rsidR="00F15CD7">
        <w:rPr>
          <w:rFonts w:ascii="Garamond" w:hAnsi="Garamond"/>
        </w:rPr>
        <w:t>grant a motion to dismiss if reasonable judges can come to only one conclusion</w:t>
      </w:r>
      <w:r w:rsidR="002938EA">
        <w:rPr>
          <w:rFonts w:ascii="Garamond" w:hAnsi="Garamond"/>
        </w:rPr>
        <w:t xml:space="preserve"> based on the </w:t>
      </w:r>
      <w:r w:rsidR="002801BE">
        <w:rPr>
          <w:rFonts w:ascii="Garamond" w:hAnsi="Garamond"/>
        </w:rPr>
        <w:t>well-pleaded facts</w:t>
      </w:r>
      <w:r w:rsidR="00F15CD7">
        <w:rPr>
          <w:rFonts w:ascii="Garamond" w:hAnsi="Garamond"/>
        </w:rPr>
        <w:t xml:space="preserve">. </w:t>
      </w:r>
      <w:r w:rsidR="00083A47">
        <w:rPr>
          <w:rFonts w:ascii="Garamond" w:hAnsi="Garamond"/>
        </w:rPr>
        <w:t xml:space="preserve">The standard in </w:t>
      </w:r>
      <w:proofErr w:type="spellStart"/>
      <w:r w:rsidR="00083A47">
        <w:rPr>
          <w:rFonts w:ascii="Garamond" w:hAnsi="Garamond"/>
          <w:i/>
          <w:iCs/>
        </w:rPr>
        <w:t>Twiqbal</w:t>
      </w:r>
      <w:proofErr w:type="spellEnd"/>
      <w:r w:rsidR="00083A47">
        <w:rPr>
          <w:rFonts w:ascii="Garamond" w:hAnsi="Garamond"/>
        </w:rPr>
        <w:t xml:space="preserve"> might even be more rigorous </w:t>
      </w:r>
      <w:r w:rsidR="00326B2D">
        <w:rPr>
          <w:rFonts w:ascii="Garamond" w:hAnsi="Garamond"/>
        </w:rPr>
        <w:t xml:space="preserve">than that applied at summary judgment </w:t>
      </w:r>
      <w:r w:rsidR="00083A47">
        <w:rPr>
          <w:rFonts w:ascii="Garamond" w:hAnsi="Garamond"/>
        </w:rPr>
        <w:t xml:space="preserve">given that the Court in </w:t>
      </w:r>
      <w:r w:rsidR="00083A47">
        <w:rPr>
          <w:rFonts w:ascii="Garamond" w:hAnsi="Garamond"/>
          <w:i/>
          <w:iCs/>
        </w:rPr>
        <w:t>Iqbal</w:t>
      </w:r>
      <w:r w:rsidR="00083A47">
        <w:rPr>
          <w:rFonts w:ascii="Garamond" w:hAnsi="Garamond"/>
        </w:rPr>
        <w:t xml:space="preserve"> </w:t>
      </w:r>
      <w:r w:rsidR="00E70074">
        <w:rPr>
          <w:rFonts w:ascii="Garamond" w:hAnsi="Garamond"/>
        </w:rPr>
        <w:t>sug</w:t>
      </w:r>
      <w:r w:rsidR="00D01834">
        <w:rPr>
          <w:rFonts w:ascii="Garamond" w:hAnsi="Garamond"/>
        </w:rPr>
        <w:softHyphen/>
      </w:r>
      <w:r w:rsidR="00E70074">
        <w:rPr>
          <w:rFonts w:ascii="Garamond" w:hAnsi="Garamond"/>
        </w:rPr>
        <w:t xml:space="preserve">gested that we </w:t>
      </w:r>
      <w:r w:rsidR="00330842">
        <w:rPr>
          <w:rFonts w:ascii="Garamond" w:hAnsi="Garamond"/>
        </w:rPr>
        <w:t xml:space="preserve">must </w:t>
      </w:r>
      <w:r w:rsidR="00102703">
        <w:rPr>
          <w:rFonts w:ascii="Garamond" w:hAnsi="Garamond"/>
        </w:rPr>
        <w:t>look for the “more likely explanation</w:t>
      </w:r>
      <w:r w:rsidR="00B076DB">
        <w:rPr>
          <w:rFonts w:ascii="Garamond" w:hAnsi="Garamond"/>
        </w:rPr>
        <w:t>[]</w:t>
      </w:r>
      <w:r w:rsidR="00083A47">
        <w:rPr>
          <w:rFonts w:ascii="Garamond" w:hAnsi="Garamond"/>
        </w:rPr>
        <w:t>”</w:t>
      </w:r>
      <w:r w:rsidR="00870D87">
        <w:rPr>
          <w:rFonts w:ascii="Garamond" w:hAnsi="Garamond"/>
        </w:rPr>
        <w:t xml:space="preserve"> when an allegation is consistent with </w:t>
      </w:r>
      <w:r w:rsidR="00B4783C">
        <w:rPr>
          <w:rFonts w:ascii="Garamond" w:hAnsi="Garamond"/>
        </w:rPr>
        <w:t xml:space="preserve">an inference of </w:t>
      </w:r>
      <w:r w:rsidR="00870D87">
        <w:rPr>
          <w:rFonts w:ascii="Garamond" w:hAnsi="Garamond"/>
        </w:rPr>
        <w:t>lawful and unlawful behavior.</w:t>
      </w:r>
      <w:r w:rsidR="00CC36C8">
        <w:rPr>
          <w:rFonts w:ascii="Garamond" w:hAnsi="Garamond"/>
        </w:rPr>
        <w:t xml:space="preserve"> </w:t>
      </w:r>
      <w:r w:rsidR="00D301B8">
        <w:rPr>
          <w:rFonts w:ascii="Garamond" w:hAnsi="Garamond"/>
        </w:rPr>
        <w:t>Lastly</w:t>
      </w:r>
      <w:r w:rsidR="000B5D64">
        <w:rPr>
          <w:rFonts w:ascii="Garamond" w:hAnsi="Garamond"/>
        </w:rPr>
        <w:t xml:space="preserve">, </w:t>
      </w:r>
      <w:r w:rsidR="00573E08">
        <w:rPr>
          <w:rFonts w:ascii="Garamond" w:hAnsi="Garamond"/>
        </w:rPr>
        <w:t xml:space="preserve">engaging in this sort of review </w:t>
      </w:r>
      <w:r w:rsidR="007F14A5">
        <w:rPr>
          <w:rFonts w:ascii="Garamond" w:hAnsi="Garamond"/>
        </w:rPr>
        <w:t xml:space="preserve">at this stage </w:t>
      </w:r>
      <w:r w:rsidR="00F21B9C">
        <w:rPr>
          <w:rFonts w:ascii="Garamond" w:hAnsi="Garamond"/>
        </w:rPr>
        <w:t xml:space="preserve">might </w:t>
      </w:r>
      <w:r w:rsidR="00573E08">
        <w:rPr>
          <w:rFonts w:ascii="Garamond" w:hAnsi="Garamond"/>
        </w:rPr>
        <w:t xml:space="preserve">violate one’s right to a jury trial under the Seventh Amendment, a topic </w:t>
      </w:r>
      <w:r w:rsidR="00F57129">
        <w:rPr>
          <w:rFonts w:ascii="Garamond" w:hAnsi="Garamond"/>
        </w:rPr>
        <w:t>we will cover later in the course</w:t>
      </w:r>
      <w:r w:rsidR="00723669">
        <w:rPr>
          <w:rFonts w:ascii="Garamond" w:hAnsi="Garamond"/>
        </w:rPr>
        <w:t>.</w:t>
      </w:r>
    </w:p>
    <w:sectPr w:rsidR="001C1BC9" w:rsidRPr="00162D44">
      <w:footerReference w:type="even"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9878AE6" w14:textId="77777777" w:rsidR="00110B92" w:rsidRDefault="00110B92" w:rsidP="00EA0128">
      <w:r>
        <w:separator/>
      </w:r>
    </w:p>
  </w:endnote>
  <w:endnote w:type="continuationSeparator" w:id="0">
    <w:p w14:paraId="66F574F4" w14:textId="77777777" w:rsidR="00110B92" w:rsidRDefault="00110B92" w:rsidP="00EA0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48309061"/>
      <w:docPartObj>
        <w:docPartGallery w:val="Page Numbers (Bottom of Page)"/>
        <w:docPartUnique/>
      </w:docPartObj>
    </w:sdtPr>
    <w:sdtContent>
      <w:p w14:paraId="40AED2BC" w14:textId="7353A221" w:rsidR="00EA0128" w:rsidRDefault="00EA0128" w:rsidP="007558A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14C6B">
          <w:rPr>
            <w:rStyle w:val="PageNumber"/>
            <w:noProof/>
          </w:rPr>
          <w:t>5</w:t>
        </w:r>
        <w:r>
          <w:rPr>
            <w:rStyle w:val="PageNumber"/>
          </w:rPr>
          <w:fldChar w:fldCharType="end"/>
        </w:r>
      </w:p>
    </w:sdtContent>
  </w:sdt>
  <w:p w14:paraId="4E4B7AB2" w14:textId="77777777" w:rsidR="00EA0128" w:rsidRDefault="00EA0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Fonts w:ascii="Garamond" w:hAnsi="Garamond"/>
      </w:rPr>
      <w:id w:val="-1406368158"/>
      <w:docPartObj>
        <w:docPartGallery w:val="Page Numbers (Bottom of Page)"/>
        <w:docPartUnique/>
      </w:docPartObj>
    </w:sdtPr>
    <w:sdtContent>
      <w:p w14:paraId="1B8E0761" w14:textId="138B97D1" w:rsidR="00EA0128" w:rsidRPr="00EA0128" w:rsidRDefault="00EA0128" w:rsidP="007558A3">
        <w:pPr>
          <w:pStyle w:val="Footer"/>
          <w:framePr w:wrap="none" w:vAnchor="text" w:hAnchor="margin" w:xAlign="center" w:y="1"/>
          <w:rPr>
            <w:rStyle w:val="PageNumber"/>
            <w:rFonts w:ascii="Garamond" w:hAnsi="Garamond"/>
          </w:rPr>
        </w:pPr>
        <w:r w:rsidRPr="00EA0128">
          <w:rPr>
            <w:rStyle w:val="PageNumber"/>
            <w:rFonts w:ascii="Garamond" w:hAnsi="Garamond"/>
          </w:rPr>
          <w:fldChar w:fldCharType="begin"/>
        </w:r>
        <w:r w:rsidRPr="00EA0128">
          <w:rPr>
            <w:rStyle w:val="PageNumber"/>
            <w:rFonts w:ascii="Garamond" w:hAnsi="Garamond"/>
          </w:rPr>
          <w:instrText xml:space="preserve"> PAGE </w:instrText>
        </w:r>
        <w:r w:rsidRPr="00EA0128">
          <w:rPr>
            <w:rStyle w:val="PageNumber"/>
            <w:rFonts w:ascii="Garamond" w:hAnsi="Garamond"/>
          </w:rPr>
          <w:fldChar w:fldCharType="separate"/>
        </w:r>
        <w:r w:rsidRPr="00EA0128">
          <w:rPr>
            <w:rStyle w:val="PageNumber"/>
            <w:rFonts w:ascii="Garamond" w:hAnsi="Garamond"/>
            <w:noProof/>
          </w:rPr>
          <w:t>1</w:t>
        </w:r>
        <w:r w:rsidRPr="00EA0128">
          <w:rPr>
            <w:rStyle w:val="PageNumber"/>
            <w:rFonts w:ascii="Garamond" w:hAnsi="Garamond"/>
          </w:rPr>
          <w:fldChar w:fldCharType="end"/>
        </w:r>
      </w:p>
    </w:sdtContent>
  </w:sdt>
  <w:p w14:paraId="0F43151F" w14:textId="77777777" w:rsidR="00EA0128" w:rsidRPr="00EA0128" w:rsidRDefault="00EA0128">
    <w:pPr>
      <w:pStyle w:val="Footer"/>
      <w:rPr>
        <w:rFonts w:ascii="Garamond" w:hAnsi="Garamon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0F6B6A2" w14:textId="77777777" w:rsidR="00110B92" w:rsidRDefault="00110B92" w:rsidP="00EA0128">
      <w:r>
        <w:separator/>
      </w:r>
    </w:p>
  </w:footnote>
  <w:footnote w:type="continuationSeparator" w:id="0">
    <w:p w14:paraId="245B2454" w14:textId="77777777" w:rsidR="00110B92" w:rsidRDefault="00110B92" w:rsidP="00EA0128">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34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1D6"/>
    <w:rsid w:val="00002869"/>
    <w:rsid w:val="000112C9"/>
    <w:rsid w:val="00011B69"/>
    <w:rsid w:val="00011FA4"/>
    <w:rsid w:val="00012547"/>
    <w:rsid w:val="000144E5"/>
    <w:rsid w:val="0001643E"/>
    <w:rsid w:val="0002168E"/>
    <w:rsid w:val="00025E44"/>
    <w:rsid w:val="0003270A"/>
    <w:rsid w:val="00033737"/>
    <w:rsid w:val="00034231"/>
    <w:rsid w:val="0003782A"/>
    <w:rsid w:val="00043993"/>
    <w:rsid w:val="00043F3E"/>
    <w:rsid w:val="0004674A"/>
    <w:rsid w:val="00052978"/>
    <w:rsid w:val="0006131A"/>
    <w:rsid w:val="0006764A"/>
    <w:rsid w:val="000709CC"/>
    <w:rsid w:val="00070B8A"/>
    <w:rsid w:val="000723E3"/>
    <w:rsid w:val="000802D8"/>
    <w:rsid w:val="00081204"/>
    <w:rsid w:val="00083A47"/>
    <w:rsid w:val="00091AD6"/>
    <w:rsid w:val="00091B76"/>
    <w:rsid w:val="00093345"/>
    <w:rsid w:val="00093C47"/>
    <w:rsid w:val="00094250"/>
    <w:rsid w:val="00095C4F"/>
    <w:rsid w:val="000975D9"/>
    <w:rsid w:val="000A0BB2"/>
    <w:rsid w:val="000B0EC0"/>
    <w:rsid w:val="000B2F37"/>
    <w:rsid w:val="000B507C"/>
    <w:rsid w:val="000B59A9"/>
    <w:rsid w:val="000B5D64"/>
    <w:rsid w:val="000C136D"/>
    <w:rsid w:val="000D25F4"/>
    <w:rsid w:val="000D3E8E"/>
    <w:rsid w:val="000D4BA2"/>
    <w:rsid w:val="000D6DEC"/>
    <w:rsid w:val="000D7C84"/>
    <w:rsid w:val="000E1004"/>
    <w:rsid w:val="000E26A5"/>
    <w:rsid w:val="000E6976"/>
    <w:rsid w:val="000E6D13"/>
    <w:rsid w:val="000F0336"/>
    <w:rsid w:val="000F1537"/>
    <w:rsid w:val="000F24CF"/>
    <w:rsid w:val="000F3C1B"/>
    <w:rsid w:val="000F4235"/>
    <w:rsid w:val="000F42BB"/>
    <w:rsid w:val="001003D4"/>
    <w:rsid w:val="001013B5"/>
    <w:rsid w:val="001015A5"/>
    <w:rsid w:val="00102703"/>
    <w:rsid w:val="0010597D"/>
    <w:rsid w:val="001105D7"/>
    <w:rsid w:val="00110B92"/>
    <w:rsid w:val="00111D30"/>
    <w:rsid w:val="0012741C"/>
    <w:rsid w:val="00137EBF"/>
    <w:rsid w:val="00142032"/>
    <w:rsid w:val="00144A37"/>
    <w:rsid w:val="001459EA"/>
    <w:rsid w:val="00152B83"/>
    <w:rsid w:val="00153884"/>
    <w:rsid w:val="00153CC7"/>
    <w:rsid w:val="001544EA"/>
    <w:rsid w:val="00162D44"/>
    <w:rsid w:val="00171133"/>
    <w:rsid w:val="001716A5"/>
    <w:rsid w:val="001719D6"/>
    <w:rsid w:val="00174854"/>
    <w:rsid w:val="001767CB"/>
    <w:rsid w:val="001814BA"/>
    <w:rsid w:val="001827B1"/>
    <w:rsid w:val="0018699D"/>
    <w:rsid w:val="001919C3"/>
    <w:rsid w:val="00192282"/>
    <w:rsid w:val="00194D7A"/>
    <w:rsid w:val="001954DD"/>
    <w:rsid w:val="001A1C62"/>
    <w:rsid w:val="001A4F81"/>
    <w:rsid w:val="001B3B9F"/>
    <w:rsid w:val="001B55D2"/>
    <w:rsid w:val="001B5A7D"/>
    <w:rsid w:val="001C1BC9"/>
    <w:rsid w:val="001C265D"/>
    <w:rsid w:val="001C42D0"/>
    <w:rsid w:val="001C4CA4"/>
    <w:rsid w:val="001C6A64"/>
    <w:rsid w:val="001C72BF"/>
    <w:rsid w:val="001C73CE"/>
    <w:rsid w:val="001C7AEB"/>
    <w:rsid w:val="001D08C9"/>
    <w:rsid w:val="001D1241"/>
    <w:rsid w:val="001D5E52"/>
    <w:rsid w:val="001D5F2D"/>
    <w:rsid w:val="001E6F6D"/>
    <w:rsid w:val="001F10FA"/>
    <w:rsid w:val="001F1F16"/>
    <w:rsid w:val="001F3A88"/>
    <w:rsid w:val="001F7962"/>
    <w:rsid w:val="001F7E83"/>
    <w:rsid w:val="00201BE6"/>
    <w:rsid w:val="00204895"/>
    <w:rsid w:val="00211E21"/>
    <w:rsid w:val="00215487"/>
    <w:rsid w:val="00220624"/>
    <w:rsid w:val="00220D89"/>
    <w:rsid w:val="00221F8D"/>
    <w:rsid w:val="00224B4B"/>
    <w:rsid w:val="00227CA3"/>
    <w:rsid w:val="00235002"/>
    <w:rsid w:val="00241104"/>
    <w:rsid w:val="00242F2D"/>
    <w:rsid w:val="0024479F"/>
    <w:rsid w:val="00256554"/>
    <w:rsid w:val="0026217F"/>
    <w:rsid w:val="002623E2"/>
    <w:rsid w:val="002630A5"/>
    <w:rsid w:val="00263A3B"/>
    <w:rsid w:val="00263D4B"/>
    <w:rsid w:val="002667DD"/>
    <w:rsid w:val="00271C03"/>
    <w:rsid w:val="0027326E"/>
    <w:rsid w:val="00273A4F"/>
    <w:rsid w:val="00273C33"/>
    <w:rsid w:val="00277CD4"/>
    <w:rsid w:val="002801BE"/>
    <w:rsid w:val="00290FC9"/>
    <w:rsid w:val="00291290"/>
    <w:rsid w:val="002929BE"/>
    <w:rsid w:val="002938EA"/>
    <w:rsid w:val="002978A9"/>
    <w:rsid w:val="002A0981"/>
    <w:rsid w:val="002A0E8E"/>
    <w:rsid w:val="002A57B8"/>
    <w:rsid w:val="002A701A"/>
    <w:rsid w:val="002B335D"/>
    <w:rsid w:val="002B69FD"/>
    <w:rsid w:val="002C1D4C"/>
    <w:rsid w:val="002C1E46"/>
    <w:rsid w:val="002D1481"/>
    <w:rsid w:val="002D3948"/>
    <w:rsid w:val="002D610D"/>
    <w:rsid w:val="002E6F1A"/>
    <w:rsid w:val="002F4471"/>
    <w:rsid w:val="002F4F26"/>
    <w:rsid w:val="002F6995"/>
    <w:rsid w:val="002F6A90"/>
    <w:rsid w:val="002F6FA8"/>
    <w:rsid w:val="003022E0"/>
    <w:rsid w:val="0030243A"/>
    <w:rsid w:val="00304894"/>
    <w:rsid w:val="00310354"/>
    <w:rsid w:val="00311A0D"/>
    <w:rsid w:val="0031684C"/>
    <w:rsid w:val="0032538E"/>
    <w:rsid w:val="00326B2D"/>
    <w:rsid w:val="00330842"/>
    <w:rsid w:val="00332AC3"/>
    <w:rsid w:val="00337A6A"/>
    <w:rsid w:val="0034109A"/>
    <w:rsid w:val="003412D7"/>
    <w:rsid w:val="00347591"/>
    <w:rsid w:val="003504A3"/>
    <w:rsid w:val="003525DA"/>
    <w:rsid w:val="00354D94"/>
    <w:rsid w:val="0035561F"/>
    <w:rsid w:val="003564F3"/>
    <w:rsid w:val="003567D2"/>
    <w:rsid w:val="00361214"/>
    <w:rsid w:val="0036367E"/>
    <w:rsid w:val="00373B99"/>
    <w:rsid w:val="00374E6A"/>
    <w:rsid w:val="003753D9"/>
    <w:rsid w:val="00381438"/>
    <w:rsid w:val="00383204"/>
    <w:rsid w:val="00383745"/>
    <w:rsid w:val="00383D2D"/>
    <w:rsid w:val="00384191"/>
    <w:rsid w:val="0038542A"/>
    <w:rsid w:val="00387F75"/>
    <w:rsid w:val="00390162"/>
    <w:rsid w:val="0039693A"/>
    <w:rsid w:val="003A096D"/>
    <w:rsid w:val="003A3E88"/>
    <w:rsid w:val="003A6E4C"/>
    <w:rsid w:val="003A7DA1"/>
    <w:rsid w:val="003A7DAA"/>
    <w:rsid w:val="003B0877"/>
    <w:rsid w:val="003B30E2"/>
    <w:rsid w:val="003B53BE"/>
    <w:rsid w:val="003B59C8"/>
    <w:rsid w:val="003C0382"/>
    <w:rsid w:val="003C0E94"/>
    <w:rsid w:val="003C12F0"/>
    <w:rsid w:val="003C1EC1"/>
    <w:rsid w:val="003C27DC"/>
    <w:rsid w:val="003C51B5"/>
    <w:rsid w:val="003C5ABC"/>
    <w:rsid w:val="003C6FC8"/>
    <w:rsid w:val="003C7478"/>
    <w:rsid w:val="003D08A9"/>
    <w:rsid w:val="003D4073"/>
    <w:rsid w:val="003D7B62"/>
    <w:rsid w:val="003E168D"/>
    <w:rsid w:val="003E2E23"/>
    <w:rsid w:val="003E60C3"/>
    <w:rsid w:val="003F20DE"/>
    <w:rsid w:val="003F6219"/>
    <w:rsid w:val="003F69E1"/>
    <w:rsid w:val="00400BD0"/>
    <w:rsid w:val="00400C8E"/>
    <w:rsid w:val="004031EE"/>
    <w:rsid w:val="004040F4"/>
    <w:rsid w:val="004050C4"/>
    <w:rsid w:val="00407670"/>
    <w:rsid w:val="00410510"/>
    <w:rsid w:val="00413E48"/>
    <w:rsid w:val="0041475A"/>
    <w:rsid w:val="00416958"/>
    <w:rsid w:val="00417EDA"/>
    <w:rsid w:val="00421A2B"/>
    <w:rsid w:val="00423A07"/>
    <w:rsid w:val="00425CA3"/>
    <w:rsid w:val="00426232"/>
    <w:rsid w:val="004262F7"/>
    <w:rsid w:val="004337FD"/>
    <w:rsid w:val="00433D93"/>
    <w:rsid w:val="00434F7B"/>
    <w:rsid w:val="00436C8A"/>
    <w:rsid w:val="0043724A"/>
    <w:rsid w:val="00441ECD"/>
    <w:rsid w:val="004432BF"/>
    <w:rsid w:val="00450ED4"/>
    <w:rsid w:val="00455192"/>
    <w:rsid w:val="004569AE"/>
    <w:rsid w:val="00462298"/>
    <w:rsid w:val="004622E0"/>
    <w:rsid w:val="00463652"/>
    <w:rsid w:val="004638A6"/>
    <w:rsid w:val="004657DA"/>
    <w:rsid w:val="00466CDB"/>
    <w:rsid w:val="00470A34"/>
    <w:rsid w:val="00470BC2"/>
    <w:rsid w:val="00480049"/>
    <w:rsid w:val="00480BAB"/>
    <w:rsid w:val="004811A7"/>
    <w:rsid w:val="0048434D"/>
    <w:rsid w:val="0048443C"/>
    <w:rsid w:val="00484BEB"/>
    <w:rsid w:val="0049261A"/>
    <w:rsid w:val="00496349"/>
    <w:rsid w:val="004A3413"/>
    <w:rsid w:val="004B00ED"/>
    <w:rsid w:val="004B0DCA"/>
    <w:rsid w:val="004B40F2"/>
    <w:rsid w:val="004B55A2"/>
    <w:rsid w:val="004C192A"/>
    <w:rsid w:val="004C3AD9"/>
    <w:rsid w:val="004C585F"/>
    <w:rsid w:val="004C6443"/>
    <w:rsid w:val="004C744A"/>
    <w:rsid w:val="004D2503"/>
    <w:rsid w:val="004D722D"/>
    <w:rsid w:val="004E45FB"/>
    <w:rsid w:val="004E6C39"/>
    <w:rsid w:val="004E7893"/>
    <w:rsid w:val="004F5393"/>
    <w:rsid w:val="004F664E"/>
    <w:rsid w:val="00501E4C"/>
    <w:rsid w:val="005030BC"/>
    <w:rsid w:val="005045C7"/>
    <w:rsid w:val="005104CB"/>
    <w:rsid w:val="005113A1"/>
    <w:rsid w:val="00513819"/>
    <w:rsid w:val="00514390"/>
    <w:rsid w:val="005150F9"/>
    <w:rsid w:val="005159F8"/>
    <w:rsid w:val="00515E68"/>
    <w:rsid w:val="00516EBC"/>
    <w:rsid w:val="00520AD7"/>
    <w:rsid w:val="00520D05"/>
    <w:rsid w:val="0052567B"/>
    <w:rsid w:val="00525E44"/>
    <w:rsid w:val="005340FA"/>
    <w:rsid w:val="00534F58"/>
    <w:rsid w:val="00537520"/>
    <w:rsid w:val="00540818"/>
    <w:rsid w:val="005441B6"/>
    <w:rsid w:val="0055317C"/>
    <w:rsid w:val="005551EB"/>
    <w:rsid w:val="00560F8A"/>
    <w:rsid w:val="00561BC3"/>
    <w:rsid w:val="00566E34"/>
    <w:rsid w:val="00567FC9"/>
    <w:rsid w:val="00572862"/>
    <w:rsid w:val="00573E08"/>
    <w:rsid w:val="00574312"/>
    <w:rsid w:val="005751DE"/>
    <w:rsid w:val="00576A1C"/>
    <w:rsid w:val="005957B7"/>
    <w:rsid w:val="005A28DD"/>
    <w:rsid w:val="005B04C9"/>
    <w:rsid w:val="005B0C8D"/>
    <w:rsid w:val="005B2831"/>
    <w:rsid w:val="005B4DAA"/>
    <w:rsid w:val="005B5B25"/>
    <w:rsid w:val="005B73E3"/>
    <w:rsid w:val="005C06C8"/>
    <w:rsid w:val="005C103D"/>
    <w:rsid w:val="005C1081"/>
    <w:rsid w:val="005C13F7"/>
    <w:rsid w:val="005C5479"/>
    <w:rsid w:val="005C54D2"/>
    <w:rsid w:val="005C644F"/>
    <w:rsid w:val="005E1D3F"/>
    <w:rsid w:val="005E6098"/>
    <w:rsid w:val="005F0F4F"/>
    <w:rsid w:val="005F123E"/>
    <w:rsid w:val="005F4A38"/>
    <w:rsid w:val="005F6499"/>
    <w:rsid w:val="005F7D59"/>
    <w:rsid w:val="00600DF6"/>
    <w:rsid w:val="00601432"/>
    <w:rsid w:val="0060342A"/>
    <w:rsid w:val="006061F6"/>
    <w:rsid w:val="006106FF"/>
    <w:rsid w:val="00617A2D"/>
    <w:rsid w:val="00617DF1"/>
    <w:rsid w:val="006366E9"/>
    <w:rsid w:val="00636D32"/>
    <w:rsid w:val="00642EF6"/>
    <w:rsid w:val="00643D5B"/>
    <w:rsid w:val="0064658B"/>
    <w:rsid w:val="006503E8"/>
    <w:rsid w:val="006507E5"/>
    <w:rsid w:val="00650BEB"/>
    <w:rsid w:val="00650E2D"/>
    <w:rsid w:val="00651EF9"/>
    <w:rsid w:val="00652CD2"/>
    <w:rsid w:val="00655DD4"/>
    <w:rsid w:val="00661F6D"/>
    <w:rsid w:val="006623DF"/>
    <w:rsid w:val="0066342D"/>
    <w:rsid w:val="00666271"/>
    <w:rsid w:val="006666D2"/>
    <w:rsid w:val="00667F8B"/>
    <w:rsid w:val="006706F6"/>
    <w:rsid w:val="00671990"/>
    <w:rsid w:val="00672C60"/>
    <w:rsid w:val="00685089"/>
    <w:rsid w:val="006856B1"/>
    <w:rsid w:val="006856EA"/>
    <w:rsid w:val="006860F9"/>
    <w:rsid w:val="006862B8"/>
    <w:rsid w:val="006913E0"/>
    <w:rsid w:val="006A5876"/>
    <w:rsid w:val="006B3EF9"/>
    <w:rsid w:val="006B7FB6"/>
    <w:rsid w:val="006D093A"/>
    <w:rsid w:val="006D0EB2"/>
    <w:rsid w:val="006D1B29"/>
    <w:rsid w:val="006D5321"/>
    <w:rsid w:val="006E51B0"/>
    <w:rsid w:val="006E6F5C"/>
    <w:rsid w:val="006E6FE3"/>
    <w:rsid w:val="006E7061"/>
    <w:rsid w:val="006E79BA"/>
    <w:rsid w:val="00701664"/>
    <w:rsid w:val="00702AF8"/>
    <w:rsid w:val="007033DB"/>
    <w:rsid w:val="0071136B"/>
    <w:rsid w:val="007125BB"/>
    <w:rsid w:val="007149B3"/>
    <w:rsid w:val="00715BEF"/>
    <w:rsid w:val="00716411"/>
    <w:rsid w:val="00720409"/>
    <w:rsid w:val="007224F9"/>
    <w:rsid w:val="00723669"/>
    <w:rsid w:val="00730196"/>
    <w:rsid w:val="00731998"/>
    <w:rsid w:val="00733140"/>
    <w:rsid w:val="007378B7"/>
    <w:rsid w:val="00741D24"/>
    <w:rsid w:val="007426E3"/>
    <w:rsid w:val="007437EC"/>
    <w:rsid w:val="00746CB4"/>
    <w:rsid w:val="0074758B"/>
    <w:rsid w:val="0075296A"/>
    <w:rsid w:val="00753069"/>
    <w:rsid w:val="0075546C"/>
    <w:rsid w:val="007608AB"/>
    <w:rsid w:val="007613BE"/>
    <w:rsid w:val="0076179B"/>
    <w:rsid w:val="00761FEE"/>
    <w:rsid w:val="00771089"/>
    <w:rsid w:val="00775726"/>
    <w:rsid w:val="00775769"/>
    <w:rsid w:val="00777A52"/>
    <w:rsid w:val="00780721"/>
    <w:rsid w:val="0078237D"/>
    <w:rsid w:val="00786448"/>
    <w:rsid w:val="00786D38"/>
    <w:rsid w:val="00787D06"/>
    <w:rsid w:val="00791782"/>
    <w:rsid w:val="00793F12"/>
    <w:rsid w:val="007A2B07"/>
    <w:rsid w:val="007A5163"/>
    <w:rsid w:val="007A6625"/>
    <w:rsid w:val="007B0608"/>
    <w:rsid w:val="007B273C"/>
    <w:rsid w:val="007B3AFE"/>
    <w:rsid w:val="007B72FB"/>
    <w:rsid w:val="007B799C"/>
    <w:rsid w:val="007B7C99"/>
    <w:rsid w:val="007B7CFE"/>
    <w:rsid w:val="007C02FA"/>
    <w:rsid w:val="007C302C"/>
    <w:rsid w:val="007D394D"/>
    <w:rsid w:val="007D4367"/>
    <w:rsid w:val="007D58D3"/>
    <w:rsid w:val="007D61CD"/>
    <w:rsid w:val="007E1188"/>
    <w:rsid w:val="007E14C7"/>
    <w:rsid w:val="007E437D"/>
    <w:rsid w:val="007F14A5"/>
    <w:rsid w:val="007F3E30"/>
    <w:rsid w:val="008002BD"/>
    <w:rsid w:val="008019E5"/>
    <w:rsid w:val="0080292A"/>
    <w:rsid w:val="008061F5"/>
    <w:rsid w:val="0080658E"/>
    <w:rsid w:val="008121BF"/>
    <w:rsid w:val="00812915"/>
    <w:rsid w:val="0081510C"/>
    <w:rsid w:val="00817213"/>
    <w:rsid w:val="00831DF9"/>
    <w:rsid w:val="0083249E"/>
    <w:rsid w:val="00832854"/>
    <w:rsid w:val="0083763C"/>
    <w:rsid w:val="00863530"/>
    <w:rsid w:val="00865A1F"/>
    <w:rsid w:val="0087058F"/>
    <w:rsid w:val="00870D87"/>
    <w:rsid w:val="008744E8"/>
    <w:rsid w:val="008769C8"/>
    <w:rsid w:val="00885232"/>
    <w:rsid w:val="00892B11"/>
    <w:rsid w:val="0089785F"/>
    <w:rsid w:val="008A74BE"/>
    <w:rsid w:val="008B0581"/>
    <w:rsid w:val="008B553A"/>
    <w:rsid w:val="008B68DC"/>
    <w:rsid w:val="008C041D"/>
    <w:rsid w:val="008C3960"/>
    <w:rsid w:val="008C6D94"/>
    <w:rsid w:val="008C7EE8"/>
    <w:rsid w:val="008D0541"/>
    <w:rsid w:val="008D09D5"/>
    <w:rsid w:val="008D0F8B"/>
    <w:rsid w:val="008D2710"/>
    <w:rsid w:val="008D2C19"/>
    <w:rsid w:val="008D3F3F"/>
    <w:rsid w:val="008D3FB3"/>
    <w:rsid w:val="008D55C0"/>
    <w:rsid w:val="008D6637"/>
    <w:rsid w:val="008E1801"/>
    <w:rsid w:val="008E1F44"/>
    <w:rsid w:val="008E2A59"/>
    <w:rsid w:val="008E5B78"/>
    <w:rsid w:val="008E723B"/>
    <w:rsid w:val="008F67A5"/>
    <w:rsid w:val="009016A7"/>
    <w:rsid w:val="00902ED0"/>
    <w:rsid w:val="0090390D"/>
    <w:rsid w:val="009116F5"/>
    <w:rsid w:val="00911EEB"/>
    <w:rsid w:val="009143C5"/>
    <w:rsid w:val="00914C6B"/>
    <w:rsid w:val="0091515B"/>
    <w:rsid w:val="0091523D"/>
    <w:rsid w:val="0092489C"/>
    <w:rsid w:val="00924D9D"/>
    <w:rsid w:val="009341F6"/>
    <w:rsid w:val="00935743"/>
    <w:rsid w:val="00935E62"/>
    <w:rsid w:val="00940F94"/>
    <w:rsid w:val="00943D51"/>
    <w:rsid w:val="009531FF"/>
    <w:rsid w:val="00953854"/>
    <w:rsid w:val="0095563D"/>
    <w:rsid w:val="00961276"/>
    <w:rsid w:val="00961AD5"/>
    <w:rsid w:val="009637D4"/>
    <w:rsid w:val="00965050"/>
    <w:rsid w:val="009652AE"/>
    <w:rsid w:val="0097026B"/>
    <w:rsid w:val="0097439C"/>
    <w:rsid w:val="009769DB"/>
    <w:rsid w:val="009842C4"/>
    <w:rsid w:val="00984463"/>
    <w:rsid w:val="00986498"/>
    <w:rsid w:val="00987C71"/>
    <w:rsid w:val="00990525"/>
    <w:rsid w:val="00991305"/>
    <w:rsid w:val="00993754"/>
    <w:rsid w:val="009A1664"/>
    <w:rsid w:val="009A3878"/>
    <w:rsid w:val="009A38A1"/>
    <w:rsid w:val="009A3A9F"/>
    <w:rsid w:val="009A51DC"/>
    <w:rsid w:val="009B0B02"/>
    <w:rsid w:val="009B22B3"/>
    <w:rsid w:val="009B34E8"/>
    <w:rsid w:val="009B4FA9"/>
    <w:rsid w:val="009C261C"/>
    <w:rsid w:val="009C6BCF"/>
    <w:rsid w:val="009C6BFC"/>
    <w:rsid w:val="009C7080"/>
    <w:rsid w:val="009D1737"/>
    <w:rsid w:val="009D1B9B"/>
    <w:rsid w:val="009D5902"/>
    <w:rsid w:val="009E546A"/>
    <w:rsid w:val="009F0C4E"/>
    <w:rsid w:val="009F0F13"/>
    <w:rsid w:val="009F22A0"/>
    <w:rsid w:val="00A00071"/>
    <w:rsid w:val="00A03122"/>
    <w:rsid w:val="00A1045F"/>
    <w:rsid w:val="00A122F5"/>
    <w:rsid w:val="00A12E4C"/>
    <w:rsid w:val="00A234CC"/>
    <w:rsid w:val="00A26475"/>
    <w:rsid w:val="00A2732C"/>
    <w:rsid w:val="00A30EAB"/>
    <w:rsid w:val="00A32DD0"/>
    <w:rsid w:val="00A34577"/>
    <w:rsid w:val="00A37936"/>
    <w:rsid w:val="00A43AE3"/>
    <w:rsid w:val="00A466FF"/>
    <w:rsid w:val="00A51C8B"/>
    <w:rsid w:val="00A52422"/>
    <w:rsid w:val="00A54759"/>
    <w:rsid w:val="00A5481F"/>
    <w:rsid w:val="00A54FB4"/>
    <w:rsid w:val="00A5686B"/>
    <w:rsid w:val="00A600D3"/>
    <w:rsid w:val="00A60106"/>
    <w:rsid w:val="00A65848"/>
    <w:rsid w:val="00A671D6"/>
    <w:rsid w:val="00A67979"/>
    <w:rsid w:val="00A7606B"/>
    <w:rsid w:val="00A76CCF"/>
    <w:rsid w:val="00A85BC7"/>
    <w:rsid w:val="00A86849"/>
    <w:rsid w:val="00A87DE0"/>
    <w:rsid w:val="00A93071"/>
    <w:rsid w:val="00A93356"/>
    <w:rsid w:val="00A97FB4"/>
    <w:rsid w:val="00AA1C98"/>
    <w:rsid w:val="00AA4845"/>
    <w:rsid w:val="00AA57BF"/>
    <w:rsid w:val="00AC1176"/>
    <w:rsid w:val="00AC1D97"/>
    <w:rsid w:val="00AC5F8D"/>
    <w:rsid w:val="00AD2DCA"/>
    <w:rsid w:val="00AD43A8"/>
    <w:rsid w:val="00AD6468"/>
    <w:rsid w:val="00AE31A9"/>
    <w:rsid w:val="00AE7365"/>
    <w:rsid w:val="00AF1C83"/>
    <w:rsid w:val="00AF2817"/>
    <w:rsid w:val="00AF40BF"/>
    <w:rsid w:val="00AF46AF"/>
    <w:rsid w:val="00B0174E"/>
    <w:rsid w:val="00B02419"/>
    <w:rsid w:val="00B02DF7"/>
    <w:rsid w:val="00B02F8D"/>
    <w:rsid w:val="00B076DB"/>
    <w:rsid w:val="00B119C5"/>
    <w:rsid w:val="00B1374A"/>
    <w:rsid w:val="00B174B2"/>
    <w:rsid w:val="00B23DC4"/>
    <w:rsid w:val="00B3292A"/>
    <w:rsid w:val="00B33290"/>
    <w:rsid w:val="00B34BAA"/>
    <w:rsid w:val="00B41092"/>
    <w:rsid w:val="00B42309"/>
    <w:rsid w:val="00B430EC"/>
    <w:rsid w:val="00B4708B"/>
    <w:rsid w:val="00B4783C"/>
    <w:rsid w:val="00B50843"/>
    <w:rsid w:val="00B5125A"/>
    <w:rsid w:val="00B62C47"/>
    <w:rsid w:val="00B62F3B"/>
    <w:rsid w:val="00B64479"/>
    <w:rsid w:val="00B705D7"/>
    <w:rsid w:val="00B719B7"/>
    <w:rsid w:val="00B72E70"/>
    <w:rsid w:val="00B74E77"/>
    <w:rsid w:val="00B81075"/>
    <w:rsid w:val="00B87699"/>
    <w:rsid w:val="00B9530E"/>
    <w:rsid w:val="00B95553"/>
    <w:rsid w:val="00BA0B68"/>
    <w:rsid w:val="00BA0CD3"/>
    <w:rsid w:val="00BA2595"/>
    <w:rsid w:val="00BA5A24"/>
    <w:rsid w:val="00BA5F23"/>
    <w:rsid w:val="00BA6DD1"/>
    <w:rsid w:val="00BB664B"/>
    <w:rsid w:val="00BC0E90"/>
    <w:rsid w:val="00BC1D35"/>
    <w:rsid w:val="00BD14C6"/>
    <w:rsid w:val="00BD1D74"/>
    <w:rsid w:val="00BD357A"/>
    <w:rsid w:val="00BD44C7"/>
    <w:rsid w:val="00BD6580"/>
    <w:rsid w:val="00BD7483"/>
    <w:rsid w:val="00BD76F6"/>
    <w:rsid w:val="00BE016D"/>
    <w:rsid w:val="00BE15BB"/>
    <w:rsid w:val="00BE1C03"/>
    <w:rsid w:val="00BE54F6"/>
    <w:rsid w:val="00BF17E6"/>
    <w:rsid w:val="00BF544F"/>
    <w:rsid w:val="00BF6761"/>
    <w:rsid w:val="00C0000A"/>
    <w:rsid w:val="00C01276"/>
    <w:rsid w:val="00C040E4"/>
    <w:rsid w:val="00C05DB7"/>
    <w:rsid w:val="00C13D70"/>
    <w:rsid w:val="00C14826"/>
    <w:rsid w:val="00C161E1"/>
    <w:rsid w:val="00C23CE0"/>
    <w:rsid w:val="00C26B50"/>
    <w:rsid w:val="00C2731A"/>
    <w:rsid w:val="00C33A15"/>
    <w:rsid w:val="00C36220"/>
    <w:rsid w:val="00C41861"/>
    <w:rsid w:val="00C424ED"/>
    <w:rsid w:val="00C42D4F"/>
    <w:rsid w:val="00C50F73"/>
    <w:rsid w:val="00C5106F"/>
    <w:rsid w:val="00C52A57"/>
    <w:rsid w:val="00C557DE"/>
    <w:rsid w:val="00C6038D"/>
    <w:rsid w:val="00C62B12"/>
    <w:rsid w:val="00C63DEA"/>
    <w:rsid w:val="00C65B1A"/>
    <w:rsid w:val="00C66511"/>
    <w:rsid w:val="00C66E10"/>
    <w:rsid w:val="00C7039B"/>
    <w:rsid w:val="00C71737"/>
    <w:rsid w:val="00C72211"/>
    <w:rsid w:val="00C7257B"/>
    <w:rsid w:val="00C7295F"/>
    <w:rsid w:val="00C72E7A"/>
    <w:rsid w:val="00C741BC"/>
    <w:rsid w:val="00C7707F"/>
    <w:rsid w:val="00C77A5E"/>
    <w:rsid w:val="00C833AF"/>
    <w:rsid w:val="00C83A1E"/>
    <w:rsid w:val="00C84706"/>
    <w:rsid w:val="00C86F7C"/>
    <w:rsid w:val="00C874D3"/>
    <w:rsid w:val="00C93839"/>
    <w:rsid w:val="00CA0523"/>
    <w:rsid w:val="00CA1617"/>
    <w:rsid w:val="00CB0306"/>
    <w:rsid w:val="00CB602E"/>
    <w:rsid w:val="00CB6CC4"/>
    <w:rsid w:val="00CC3687"/>
    <w:rsid w:val="00CC36C8"/>
    <w:rsid w:val="00CC3C7F"/>
    <w:rsid w:val="00CC4C26"/>
    <w:rsid w:val="00CC5C7E"/>
    <w:rsid w:val="00CC69EC"/>
    <w:rsid w:val="00CC7112"/>
    <w:rsid w:val="00CC789A"/>
    <w:rsid w:val="00CD4DF5"/>
    <w:rsid w:val="00CE0D27"/>
    <w:rsid w:val="00CE1228"/>
    <w:rsid w:val="00CE1C87"/>
    <w:rsid w:val="00CE4C61"/>
    <w:rsid w:val="00CE606C"/>
    <w:rsid w:val="00CE7A5A"/>
    <w:rsid w:val="00CF429C"/>
    <w:rsid w:val="00CF494C"/>
    <w:rsid w:val="00CF7103"/>
    <w:rsid w:val="00CF7A21"/>
    <w:rsid w:val="00CF7AAE"/>
    <w:rsid w:val="00CF7D75"/>
    <w:rsid w:val="00D01834"/>
    <w:rsid w:val="00D0201F"/>
    <w:rsid w:val="00D04081"/>
    <w:rsid w:val="00D137F7"/>
    <w:rsid w:val="00D16975"/>
    <w:rsid w:val="00D301B8"/>
    <w:rsid w:val="00D30254"/>
    <w:rsid w:val="00D33F34"/>
    <w:rsid w:val="00D36528"/>
    <w:rsid w:val="00D44D55"/>
    <w:rsid w:val="00D46092"/>
    <w:rsid w:val="00D51A17"/>
    <w:rsid w:val="00D51C20"/>
    <w:rsid w:val="00D61BD4"/>
    <w:rsid w:val="00D63F0E"/>
    <w:rsid w:val="00D66D0F"/>
    <w:rsid w:val="00D73313"/>
    <w:rsid w:val="00D74C40"/>
    <w:rsid w:val="00D80F3D"/>
    <w:rsid w:val="00D814FC"/>
    <w:rsid w:val="00D8180E"/>
    <w:rsid w:val="00D9457E"/>
    <w:rsid w:val="00DA3385"/>
    <w:rsid w:val="00DA4A28"/>
    <w:rsid w:val="00DA5C6F"/>
    <w:rsid w:val="00DA6890"/>
    <w:rsid w:val="00DA7AF4"/>
    <w:rsid w:val="00DC53DC"/>
    <w:rsid w:val="00DC6A2D"/>
    <w:rsid w:val="00DD4F2D"/>
    <w:rsid w:val="00DD5F91"/>
    <w:rsid w:val="00DE0057"/>
    <w:rsid w:val="00DE76B7"/>
    <w:rsid w:val="00DF0AF3"/>
    <w:rsid w:val="00DF11F7"/>
    <w:rsid w:val="00DF3486"/>
    <w:rsid w:val="00DF5577"/>
    <w:rsid w:val="00E039A1"/>
    <w:rsid w:val="00E10AD9"/>
    <w:rsid w:val="00E1462E"/>
    <w:rsid w:val="00E1485D"/>
    <w:rsid w:val="00E15B6F"/>
    <w:rsid w:val="00E17CC8"/>
    <w:rsid w:val="00E26274"/>
    <w:rsid w:val="00E3289B"/>
    <w:rsid w:val="00E34C67"/>
    <w:rsid w:val="00E370AA"/>
    <w:rsid w:val="00E44C22"/>
    <w:rsid w:val="00E44E80"/>
    <w:rsid w:val="00E46A2C"/>
    <w:rsid w:val="00E50256"/>
    <w:rsid w:val="00E50977"/>
    <w:rsid w:val="00E50D6E"/>
    <w:rsid w:val="00E50EA7"/>
    <w:rsid w:val="00E5469E"/>
    <w:rsid w:val="00E57AED"/>
    <w:rsid w:val="00E60017"/>
    <w:rsid w:val="00E643C2"/>
    <w:rsid w:val="00E650A7"/>
    <w:rsid w:val="00E65606"/>
    <w:rsid w:val="00E70074"/>
    <w:rsid w:val="00E7126C"/>
    <w:rsid w:val="00E76C68"/>
    <w:rsid w:val="00E7713F"/>
    <w:rsid w:val="00E8221B"/>
    <w:rsid w:val="00E827A5"/>
    <w:rsid w:val="00E905B8"/>
    <w:rsid w:val="00E9122C"/>
    <w:rsid w:val="00E912AE"/>
    <w:rsid w:val="00E91F4D"/>
    <w:rsid w:val="00E9290C"/>
    <w:rsid w:val="00E92CA8"/>
    <w:rsid w:val="00E971B1"/>
    <w:rsid w:val="00E97B86"/>
    <w:rsid w:val="00EA0128"/>
    <w:rsid w:val="00EA18FE"/>
    <w:rsid w:val="00EA384C"/>
    <w:rsid w:val="00EA5B60"/>
    <w:rsid w:val="00EA5FD1"/>
    <w:rsid w:val="00EB42A6"/>
    <w:rsid w:val="00EB4506"/>
    <w:rsid w:val="00EC082A"/>
    <w:rsid w:val="00EC51CC"/>
    <w:rsid w:val="00ED1BA7"/>
    <w:rsid w:val="00ED20FC"/>
    <w:rsid w:val="00ED216E"/>
    <w:rsid w:val="00ED35ED"/>
    <w:rsid w:val="00ED3769"/>
    <w:rsid w:val="00ED3ECD"/>
    <w:rsid w:val="00ED462F"/>
    <w:rsid w:val="00ED4811"/>
    <w:rsid w:val="00ED51F5"/>
    <w:rsid w:val="00ED5BEE"/>
    <w:rsid w:val="00ED7C3D"/>
    <w:rsid w:val="00ED7E96"/>
    <w:rsid w:val="00EE0AB9"/>
    <w:rsid w:val="00EE284F"/>
    <w:rsid w:val="00EE3DAA"/>
    <w:rsid w:val="00EE5062"/>
    <w:rsid w:val="00EF0EAC"/>
    <w:rsid w:val="00EF6521"/>
    <w:rsid w:val="00EF6C1B"/>
    <w:rsid w:val="00F00BB3"/>
    <w:rsid w:val="00F01686"/>
    <w:rsid w:val="00F0220C"/>
    <w:rsid w:val="00F06416"/>
    <w:rsid w:val="00F1047C"/>
    <w:rsid w:val="00F110CA"/>
    <w:rsid w:val="00F12AEF"/>
    <w:rsid w:val="00F15CD7"/>
    <w:rsid w:val="00F1730F"/>
    <w:rsid w:val="00F21B9C"/>
    <w:rsid w:val="00F256E8"/>
    <w:rsid w:val="00F31356"/>
    <w:rsid w:val="00F34613"/>
    <w:rsid w:val="00F37A48"/>
    <w:rsid w:val="00F40207"/>
    <w:rsid w:val="00F40934"/>
    <w:rsid w:val="00F47093"/>
    <w:rsid w:val="00F5177D"/>
    <w:rsid w:val="00F51AA6"/>
    <w:rsid w:val="00F545FE"/>
    <w:rsid w:val="00F559B7"/>
    <w:rsid w:val="00F55D85"/>
    <w:rsid w:val="00F56574"/>
    <w:rsid w:val="00F56C25"/>
    <w:rsid w:val="00F57129"/>
    <w:rsid w:val="00F57AF1"/>
    <w:rsid w:val="00F6005B"/>
    <w:rsid w:val="00F62E16"/>
    <w:rsid w:val="00F64664"/>
    <w:rsid w:val="00F671ED"/>
    <w:rsid w:val="00F72AD2"/>
    <w:rsid w:val="00F81E39"/>
    <w:rsid w:val="00F82714"/>
    <w:rsid w:val="00F848D3"/>
    <w:rsid w:val="00F84F27"/>
    <w:rsid w:val="00F85830"/>
    <w:rsid w:val="00F900CB"/>
    <w:rsid w:val="00F908A1"/>
    <w:rsid w:val="00F91B1B"/>
    <w:rsid w:val="00F930D2"/>
    <w:rsid w:val="00F97A70"/>
    <w:rsid w:val="00FA5299"/>
    <w:rsid w:val="00FB1456"/>
    <w:rsid w:val="00FB2BFD"/>
    <w:rsid w:val="00FB2E18"/>
    <w:rsid w:val="00FB6ED3"/>
    <w:rsid w:val="00FC1590"/>
    <w:rsid w:val="00FC293E"/>
    <w:rsid w:val="00FC5912"/>
    <w:rsid w:val="00FD4FCC"/>
    <w:rsid w:val="00FD5A6B"/>
    <w:rsid w:val="00FD6D02"/>
    <w:rsid w:val="00FE092E"/>
    <w:rsid w:val="00FE7FCB"/>
    <w:rsid w:val="00FF0112"/>
    <w:rsid w:val="00FF2835"/>
    <w:rsid w:val="00FF7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8EE5833"/>
  <w15:chartTrackingRefBased/>
  <w15:docId w15:val="{DC89DB07-8E49-0C4D-8FD2-58F2012BC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1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A0128"/>
    <w:pPr>
      <w:tabs>
        <w:tab w:val="center" w:pos="4680"/>
        <w:tab w:val="right" w:pos="9360"/>
      </w:tabs>
    </w:pPr>
  </w:style>
  <w:style w:type="character" w:customStyle="1" w:styleId="FooterChar">
    <w:name w:val="Footer Char"/>
    <w:basedOn w:val="DefaultParagraphFont"/>
    <w:link w:val="Footer"/>
    <w:uiPriority w:val="99"/>
    <w:rsid w:val="00EA0128"/>
  </w:style>
  <w:style w:type="character" w:styleId="PageNumber">
    <w:name w:val="page number"/>
    <w:basedOn w:val="DefaultParagraphFont"/>
    <w:uiPriority w:val="99"/>
    <w:semiHidden/>
    <w:unhideWhenUsed/>
    <w:rsid w:val="00EA0128"/>
  </w:style>
  <w:style w:type="paragraph" w:styleId="Header">
    <w:name w:val="header"/>
    <w:basedOn w:val="Normal"/>
    <w:link w:val="HeaderChar"/>
    <w:uiPriority w:val="99"/>
    <w:unhideWhenUsed/>
    <w:rsid w:val="00EA0128"/>
    <w:pPr>
      <w:tabs>
        <w:tab w:val="center" w:pos="4680"/>
        <w:tab w:val="right" w:pos="9360"/>
      </w:tabs>
    </w:pPr>
  </w:style>
  <w:style w:type="character" w:customStyle="1" w:styleId="HeaderChar">
    <w:name w:val="Header Char"/>
    <w:basedOn w:val="DefaultParagraphFont"/>
    <w:link w:val="Header"/>
    <w:uiPriority w:val="99"/>
    <w:rsid w:val="00EA0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0554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480</TotalTime>
  <Pages>4</Pages>
  <Words>1561</Words>
  <Characters>8899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Gomez</dc:creator>
  <cp:keywords/>
  <dc:description/>
  <cp:lastModifiedBy>Tomas Gomez</cp:lastModifiedBy>
  <cp:revision>830</cp:revision>
  <cp:lastPrinted>2024-07-07T03:33:00Z</cp:lastPrinted>
  <dcterms:created xsi:type="dcterms:W3CDTF">2021-10-07T20:26:00Z</dcterms:created>
  <dcterms:modified xsi:type="dcterms:W3CDTF">2026-08-21T04:40:00Z</dcterms:modified>
</cp:coreProperties>
</file>