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64D2D" w14:textId="5BF8D190" w:rsidR="00303C7E" w:rsidRDefault="0035623F" w:rsidP="00F63C5F">
      <w:pPr>
        <w:jc w:val="center"/>
        <w:rPr>
          <w:rFonts w:ascii="Garamond" w:hAnsi="Garamond"/>
          <w:b/>
          <w:color w:val="000000" w:themeColor="text1"/>
        </w:rPr>
      </w:pPr>
      <w:r w:rsidRPr="002D6508">
        <w:rPr>
          <w:rFonts w:ascii="Garamond" w:hAnsi="Garamond"/>
          <w:b/>
          <w:color w:val="000000" w:themeColor="text1"/>
        </w:rPr>
        <w:t>Compulsory Joinder Analysis</w:t>
      </w:r>
    </w:p>
    <w:p w14:paraId="6EFF9B9C" w14:textId="29D801ED" w:rsidR="000E7C76" w:rsidRPr="000E7C76" w:rsidRDefault="000E7C76" w:rsidP="00F63C5F">
      <w:pPr>
        <w:jc w:val="center"/>
        <w:rPr>
          <w:rFonts w:ascii="Garamond" w:hAnsi="Garamond"/>
          <w:bCs/>
          <w:color w:val="000000" w:themeColor="text1"/>
        </w:rPr>
      </w:pPr>
      <w:r w:rsidRPr="000E7C76">
        <w:rPr>
          <w:rFonts w:ascii="Garamond" w:hAnsi="Garamond"/>
          <w:bCs/>
          <w:color w:val="000000" w:themeColor="text1"/>
        </w:rPr>
        <w:t>Civil Procedure—Gómez-Arostegui Fall 202</w:t>
      </w:r>
      <w:r w:rsidR="00F264F5">
        <w:rPr>
          <w:rFonts w:ascii="Garamond" w:hAnsi="Garamond"/>
          <w:bCs/>
          <w:color w:val="000000" w:themeColor="text1"/>
        </w:rPr>
        <w:t>5</w:t>
      </w:r>
    </w:p>
    <w:p w14:paraId="378B6E7F" w14:textId="77777777" w:rsidR="0035623F" w:rsidRPr="002D6508" w:rsidRDefault="0035623F">
      <w:pPr>
        <w:rPr>
          <w:rFonts w:ascii="Garamond" w:hAnsi="Garamond"/>
          <w:color w:val="000000" w:themeColor="text1"/>
        </w:rPr>
      </w:pPr>
    </w:p>
    <w:p w14:paraId="7B1ACBFC" w14:textId="492CF1A5" w:rsidR="0035623F" w:rsidRPr="00CB1620" w:rsidRDefault="0035623F" w:rsidP="0035623F">
      <w:pPr>
        <w:ind w:left="360" w:hanging="360"/>
        <w:rPr>
          <w:rFonts w:ascii="Garamond" w:hAnsi="Garamond"/>
          <w:color w:val="7F7F7F" w:themeColor="text1" w:themeTint="80"/>
        </w:rPr>
      </w:pPr>
      <w:r w:rsidRPr="002D6508">
        <w:rPr>
          <w:rFonts w:ascii="Garamond" w:hAnsi="Garamond"/>
          <w:color w:val="000000" w:themeColor="text1"/>
        </w:rPr>
        <w:t>1.</w:t>
      </w:r>
      <w:r w:rsidRPr="002D6508">
        <w:rPr>
          <w:rFonts w:ascii="Garamond" w:hAnsi="Garamond"/>
          <w:color w:val="000000" w:themeColor="text1"/>
        </w:rPr>
        <w:tab/>
        <w:t>Is the person</w:t>
      </w:r>
      <w:r w:rsidR="000D0899">
        <w:rPr>
          <w:rFonts w:ascii="Garamond" w:hAnsi="Garamond"/>
          <w:color w:val="000000" w:themeColor="text1"/>
        </w:rPr>
        <w:t xml:space="preserve"> or entity</w:t>
      </w:r>
      <w:r w:rsidRPr="002D6508">
        <w:rPr>
          <w:rFonts w:ascii="Garamond" w:hAnsi="Garamond"/>
          <w:color w:val="000000" w:themeColor="text1"/>
        </w:rPr>
        <w:t xml:space="preserve"> a </w:t>
      </w:r>
      <w:r w:rsidR="00AF218C" w:rsidRPr="002D6508">
        <w:rPr>
          <w:rFonts w:ascii="Garamond" w:hAnsi="Garamond"/>
          <w:color w:val="000000" w:themeColor="text1"/>
        </w:rPr>
        <w:t xml:space="preserve">“necessary” </w:t>
      </w:r>
      <w:r w:rsidRPr="002D6508">
        <w:rPr>
          <w:rFonts w:ascii="Garamond" w:hAnsi="Garamond"/>
          <w:color w:val="000000" w:themeColor="text1"/>
        </w:rPr>
        <w:t>party</w:t>
      </w:r>
      <w:r w:rsidR="005314E8" w:rsidRPr="002D6508">
        <w:rPr>
          <w:rFonts w:ascii="Garamond" w:hAnsi="Garamond"/>
          <w:color w:val="000000" w:themeColor="text1"/>
        </w:rPr>
        <w:t xml:space="preserve"> under Rule 19(a)</w:t>
      </w:r>
      <w:r w:rsidRPr="002D6508">
        <w:rPr>
          <w:rFonts w:ascii="Garamond" w:hAnsi="Garamond"/>
          <w:color w:val="000000" w:themeColor="text1"/>
        </w:rPr>
        <w:t xml:space="preserve">? </w:t>
      </w:r>
      <w:r w:rsidRPr="00CB1620">
        <w:rPr>
          <w:rFonts w:ascii="Garamond" w:hAnsi="Garamond"/>
          <w:color w:val="7F7F7F" w:themeColor="text1" w:themeTint="80"/>
        </w:rPr>
        <w:t>Determine the answer by considering if:</w:t>
      </w:r>
    </w:p>
    <w:p w14:paraId="4E10782F" w14:textId="77777777" w:rsidR="0035623F" w:rsidRPr="00CB1620" w:rsidRDefault="0035623F" w:rsidP="0035623F">
      <w:pPr>
        <w:ind w:left="360" w:hanging="360"/>
        <w:rPr>
          <w:rFonts w:ascii="Garamond" w:hAnsi="Garamond"/>
          <w:color w:val="7F7F7F" w:themeColor="text1" w:themeTint="80"/>
        </w:rPr>
      </w:pPr>
    </w:p>
    <w:p w14:paraId="68DF83CE" w14:textId="77777777" w:rsidR="0035623F" w:rsidRPr="00CB1620" w:rsidRDefault="0035623F" w:rsidP="0035623F">
      <w:pPr>
        <w:ind w:left="720" w:hanging="360"/>
        <w:rPr>
          <w:rFonts w:ascii="Garamond" w:hAnsi="Garamond"/>
          <w:color w:val="7F7F7F" w:themeColor="text1" w:themeTint="80"/>
        </w:rPr>
      </w:pPr>
      <w:r w:rsidRPr="00CB1620">
        <w:rPr>
          <w:rFonts w:ascii="Garamond" w:hAnsi="Garamond"/>
          <w:color w:val="7F7F7F" w:themeColor="text1" w:themeTint="80"/>
        </w:rPr>
        <w:t>(A) in that person’s absence, the court cannot accord complete relief among existing parties; or</w:t>
      </w:r>
    </w:p>
    <w:p w14:paraId="61D062C8" w14:textId="77777777" w:rsidR="0035623F" w:rsidRPr="00CB1620" w:rsidRDefault="0035623F" w:rsidP="0035623F">
      <w:pPr>
        <w:ind w:left="720" w:hanging="360"/>
        <w:rPr>
          <w:rFonts w:ascii="Garamond" w:hAnsi="Garamond"/>
          <w:color w:val="7F7F7F" w:themeColor="text1" w:themeTint="80"/>
        </w:rPr>
      </w:pPr>
    </w:p>
    <w:p w14:paraId="126A708B" w14:textId="77777777" w:rsidR="0035623F" w:rsidRPr="00CB1620" w:rsidRDefault="0035623F" w:rsidP="0035623F">
      <w:pPr>
        <w:ind w:left="720" w:hanging="360"/>
        <w:rPr>
          <w:rFonts w:ascii="Garamond" w:hAnsi="Garamond"/>
          <w:color w:val="7F7F7F" w:themeColor="text1" w:themeTint="80"/>
        </w:rPr>
      </w:pPr>
      <w:r w:rsidRPr="00CB1620">
        <w:rPr>
          <w:rFonts w:ascii="Garamond" w:hAnsi="Garamond"/>
          <w:color w:val="7F7F7F" w:themeColor="text1" w:themeTint="80"/>
        </w:rPr>
        <w:t>(B) that person claims an interest relating to the subject of the action and is so situated that disposing of the action in the person’s absence may:</w:t>
      </w:r>
    </w:p>
    <w:p w14:paraId="186C4ED4" w14:textId="77777777" w:rsidR="0035623F" w:rsidRPr="00CB1620" w:rsidRDefault="0035623F" w:rsidP="0035623F">
      <w:pPr>
        <w:ind w:left="720"/>
        <w:rPr>
          <w:rFonts w:ascii="Garamond" w:hAnsi="Garamond"/>
          <w:color w:val="7F7F7F" w:themeColor="text1" w:themeTint="80"/>
        </w:rPr>
      </w:pPr>
    </w:p>
    <w:p w14:paraId="0E18D5B0" w14:textId="77777777" w:rsidR="0035623F" w:rsidRPr="00CB1620" w:rsidRDefault="0035623F" w:rsidP="0035623F">
      <w:pPr>
        <w:ind w:left="720"/>
        <w:rPr>
          <w:rFonts w:ascii="Garamond" w:hAnsi="Garamond"/>
          <w:color w:val="7F7F7F" w:themeColor="text1" w:themeTint="80"/>
        </w:rPr>
      </w:pPr>
      <w:r w:rsidRPr="00CB1620">
        <w:rPr>
          <w:rFonts w:ascii="Garamond" w:hAnsi="Garamond"/>
          <w:color w:val="7F7F7F" w:themeColor="text1" w:themeTint="80"/>
        </w:rPr>
        <w:t>(</w:t>
      </w:r>
      <w:proofErr w:type="spellStart"/>
      <w:r w:rsidRPr="00CB1620">
        <w:rPr>
          <w:rFonts w:ascii="Garamond" w:hAnsi="Garamond"/>
          <w:color w:val="7F7F7F" w:themeColor="text1" w:themeTint="80"/>
        </w:rPr>
        <w:t>i</w:t>
      </w:r>
      <w:proofErr w:type="spellEnd"/>
      <w:r w:rsidRPr="00CB1620">
        <w:rPr>
          <w:rFonts w:ascii="Garamond" w:hAnsi="Garamond"/>
          <w:color w:val="7F7F7F" w:themeColor="text1" w:themeTint="80"/>
        </w:rPr>
        <w:t>) as a practical matter impair or impede the person’s ability to protect the interest; or</w:t>
      </w:r>
    </w:p>
    <w:p w14:paraId="69CA7D07" w14:textId="77777777" w:rsidR="0035623F" w:rsidRPr="00CB1620" w:rsidRDefault="0035623F" w:rsidP="0035623F">
      <w:pPr>
        <w:ind w:left="720"/>
        <w:rPr>
          <w:rFonts w:ascii="Garamond" w:hAnsi="Garamond"/>
          <w:color w:val="7F7F7F" w:themeColor="text1" w:themeTint="80"/>
        </w:rPr>
      </w:pPr>
    </w:p>
    <w:p w14:paraId="182B694F" w14:textId="77777777" w:rsidR="0035623F" w:rsidRPr="00CB1620" w:rsidRDefault="0035623F" w:rsidP="0035623F">
      <w:pPr>
        <w:ind w:left="720"/>
        <w:rPr>
          <w:rFonts w:ascii="Garamond" w:hAnsi="Garamond"/>
          <w:color w:val="7F7F7F" w:themeColor="text1" w:themeTint="80"/>
        </w:rPr>
      </w:pPr>
      <w:r w:rsidRPr="00CB1620">
        <w:rPr>
          <w:rFonts w:ascii="Garamond" w:hAnsi="Garamond"/>
          <w:color w:val="7F7F7F" w:themeColor="text1" w:themeTint="80"/>
        </w:rPr>
        <w:t>(ii) leave an existing party subject to a substantial risk of incurring double, multiple, or otherwise inconsistent obligations because of the interest.</w:t>
      </w:r>
    </w:p>
    <w:p w14:paraId="5473C787" w14:textId="77777777" w:rsidR="0035623F" w:rsidRPr="002D6508" w:rsidRDefault="0035623F" w:rsidP="0035623F">
      <w:pPr>
        <w:rPr>
          <w:rFonts w:ascii="Garamond" w:hAnsi="Garamond"/>
          <w:color w:val="000000" w:themeColor="text1"/>
        </w:rPr>
      </w:pPr>
    </w:p>
    <w:p w14:paraId="78BA58FC" w14:textId="5779C57E" w:rsidR="0035623F" w:rsidRPr="002D6508" w:rsidRDefault="0035623F" w:rsidP="0035623F">
      <w:pPr>
        <w:ind w:left="360" w:hanging="360"/>
        <w:rPr>
          <w:rFonts w:ascii="Garamond" w:hAnsi="Garamond"/>
          <w:color w:val="000000" w:themeColor="text1"/>
        </w:rPr>
      </w:pPr>
      <w:r w:rsidRPr="002D6508">
        <w:rPr>
          <w:rFonts w:ascii="Garamond" w:hAnsi="Garamond"/>
          <w:color w:val="000000" w:themeColor="text1"/>
        </w:rPr>
        <w:t>2.</w:t>
      </w:r>
      <w:r w:rsidRPr="002D6508">
        <w:rPr>
          <w:rFonts w:ascii="Garamond" w:hAnsi="Garamond"/>
          <w:color w:val="000000" w:themeColor="text1"/>
        </w:rPr>
        <w:tab/>
        <w:t xml:space="preserve">If the person is </w:t>
      </w:r>
      <w:r w:rsidR="006B50A2" w:rsidRPr="002D6508">
        <w:rPr>
          <w:rFonts w:ascii="Garamond" w:hAnsi="Garamond"/>
          <w:color w:val="000000" w:themeColor="text1"/>
          <w:u w:val="single"/>
        </w:rPr>
        <w:t>not</w:t>
      </w:r>
      <w:r w:rsidR="006B50A2" w:rsidRPr="002D6508">
        <w:rPr>
          <w:rFonts w:ascii="Garamond" w:hAnsi="Garamond"/>
          <w:color w:val="000000" w:themeColor="text1"/>
        </w:rPr>
        <w:t xml:space="preserve"> a necessary party, then </w:t>
      </w:r>
      <w:r w:rsidR="009601D7" w:rsidRPr="002D6508">
        <w:rPr>
          <w:rFonts w:ascii="Garamond" w:hAnsi="Garamond"/>
          <w:color w:val="000000" w:themeColor="text1"/>
        </w:rPr>
        <w:t>they</w:t>
      </w:r>
      <w:r w:rsidR="006B50A2" w:rsidRPr="002D6508">
        <w:rPr>
          <w:rFonts w:ascii="Garamond" w:hAnsi="Garamond"/>
          <w:color w:val="000000" w:themeColor="text1"/>
        </w:rPr>
        <w:t xml:space="preserve"> don’t need to be joined</w:t>
      </w:r>
      <w:r w:rsidR="009601D7" w:rsidRPr="002D6508">
        <w:rPr>
          <w:rFonts w:ascii="Garamond" w:hAnsi="Garamond"/>
          <w:color w:val="000000" w:themeColor="text1"/>
        </w:rPr>
        <w:t xml:space="preserve"> </w:t>
      </w:r>
      <w:r w:rsidR="009D72A3" w:rsidRPr="002D6508">
        <w:rPr>
          <w:rFonts w:ascii="Garamond" w:hAnsi="Garamond"/>
          <w:color w:val="000000" w:themeColor="text1"/>
        </w:rPr>
        <w:t>(</w:t>
      </w:r>
      <w:r w:rsidR="009D72A3" w:rsidRPr="002D6508">
        <w:rPr>
          <w:rFonts w:ascii="Garamond" w:hAnsi="Garamond"/>
          <w:i/>
          <w:iCs/>
          <w:color w:val="000000" w:themeColor="text1"/>
        </w:rPr>
        <w:t>i.e.</w:t>
      </w:r>
      <w:r w:rsidR="009D72A3" w:rsidRPr="002D6508">
        <w:rPr>
          <w:rFonts w:ascii="Garamond" w:hAnsi="Garamond"/>
          <w:color w:val="000000" w:themeColor="text1"/>
        </w:rPr>
        <w:t xml:space="preserve">, included) </w:t>
      </w:r>
      <w:r w:rsidR="009601D7" w:rsidRPr="002D6508">
        <w:rPr>
          <w:rFonts w:ascii="Garamond" w:hAnsi="Garamond"/>
          <w:color w:val="000000" w:themeColor="text1"/>
        </w:rPr>
        <w:t>in the lawsuit</w:t>
      </w:r>
      <w:r w:rsidR="006B50A2" w:rsidRPr="002D6508">
        <w:rPr>
          <w:rFonts w:ascii="Garamond" w:hAnsi="Garamond"/>
          <w:color w:val="000000" w:themeColor="text1"/>
        </w:rPr>
        <w:t xml:space="preserve">. But if </w:t>
      </w:r>
      <w:r w:rsidR="00A27E2B" w:rsidRPr="002D6508">
        <w:rPr>
          <w:rFonts w:ascii="Garamond" w:hAnsi="Garamond"/>
          <w:color w:val="000000" w:themeColor="text1"/>
        </w:rPr>
        <w:t xml:space="preserve">a person </w:t>
      </w:r>
      <w:r w:rsidR="00A27E2B" w:rsidRPr="002D6508">
        <w:rPr>
          <w:rFonts w:ascii="Garamond" w:hAnsi="Garamond"/>
          <w:color w:val="000000" w:themeColor="text1"/>
          <w:u w:val="single"/>
        </w:rPr>
        <w:t>is</w:t>
      </w:r>
      <w:r w:rsidR="00A27E2B" w:rsidRPr="002D6508">
        <w:rPr>
          <w:rFonts w:ascii="Garamond" w:hAnsi="Garamond"/>
          <w:color w:val="000000" w:themeColor="text1"/>
        </w:rPr>
        <w:t xml:space="preserve"> </w:t>
      </w:r>
      <w:r w:rsidR="006B50A2" w:rsidRPr="002D6508">
        <w:rPr>
          <w:rFonts w:ascii="Garamond" w:hAnsi="Garamond"/>
          <w:color w:val="000000" w:themeColor="text1"/>
        </w:rPr>
        <w:t xml:space="preserve">a </w:t>
      </w:r>
      <w:r w:rsidRPr="002D6508">
        <w:rPr>
          <w:rFonts w:ascii="Garamond" w:hAnsi="Garamond"/>
          <w:color w:val="000000" w:themeColor="text1"/>
        </w:rPr>
        <w:t xml:space="preserve">necessary party, </w:t>
      </w:r>
      <w:r w:rsidR="002F053E" w:rsidRPr="002D6508">
        <w:rPr>
          <w:rFonts w:ascii="Garamond" w:hAnsi="Garamond"/>
          <w:color w:val="000000" w:themeColor="text1"/>
        </w:rPr>
        <w:t xml:space="preserve">then </w:t>
      </w:r>
      <w:r w:rsidRPr="002D6508">
        <w:rPr>
          <w:rFonts w:ascii="Garamond" w:hAnsi="Garamond"/>
          <w:color w:val="000000" w:themeColor="text1"/>
        </w:rPr>
        <w:t xml:space="preserve">they must </w:t>
      </w:r>
      <w:r w:rsidR="00C65866" w:rsidRPr="002D6508">
        <w:rPr>
          <w:rFonts w:ascii="Garamond" w:hAnsi="Garamond"/>
          <w:color w:val="000000" w:themeColor="text1"/>
        </w:rPr>
        <w:t xml:space="preserve">ordinarily </w:t>
      </w:r>
      <w:r w:rsidRPr="002D6508">
        <w:rPr>
          <w:rFonts w:ascii="Garamond" w:hAnsi="Garamond"/>
          <w:color w:val="000000" w:themeColor="text1"/>
        </w:rPr>
        <w:t xml:space="preserve">be </w:t>
      </w:r>
      <w:r w:rsidR="00D770AA" w:rsidRPr="002D6508">
        <w:rPr>
          <w:rFonts w:ascii="Garamond" w:hAnsi="Garamond"/>
          <w:color w:val="000000" w:themeColor="text1"/>
        </w:rPr>
        <w:t>joined</w:t>
      </w:r>
      <w:r w:rsidRPr="002D6508">
        <w:rPr>
          <w:rFonts w:ascii="Garamond" w:hAnsi="Garamond"/>
          <w:color w:val="000000" w:themeColor="text1"/>
        </w:rPr>
        <w:t xml:space="preserve"> in the lawsuit</w:t>
      </w:r>
      <w:r w:rsidR="00C65866" w:rsidRPr="002D6508">
        <w:rPr>
          <w:rFonts w:ascii="Garamond" w:hAnsi="Garamond"/>
          <w:color w:val="000000" w:themeColor="text1"/>
        </w:rPr>
        <w:t xml:space="preserve"> and will be </w:t>
      </w:r>
      <w:r w:rsidR="00D770AA" w:rsidRPr="002D6508">
        <w:rPr>
          <w:rFonts w:ascii="Garamond" w:hAnsi="Garamond"/>
          <w:color w:val="000000" w:themeColor="text1"/>
        </w:rPr>
        <w:t>joined</w:t>
      </w:r>
      <w:r w:rsidR="00C65866" w:rsidRPr="002D6508">
        <w:rPr>
          <w:rFonts w:ascii="Garamond" w:hAnsi="Garamond"/>
          <w:color w:val="000000" w:themeColor="text1"/>
        </w:rPr>
        <w:t>, including by court order</w:t>
      </w:r>
      <w:r w:rsidR="009601D7" w:rsidRPr="002D6508">
        <w:rPr>
          <w:rFonts w:ascii="Garamond" w:hAnsi="Garamond"/>
          <w:color w:val="000000" w:themeColor="text1"/>
        </w:rPr>
        <w:t xml:space="preserve"> if necessary</w:t>
      </w:r>
      <w:r w:rsidR="00C65866" w:rsidRPr="002D6508">
        <w:rPr>
          <w:rFonts w:ascii="Garamond" w:hAnsi="Garamond"/>
          <w:color w:val="000000" w:themeColor="text1"/>
        </w:rPr>
        <w:t xml:space="preserve">, unless the court determines that </w:t>
      </w:r>
      <w:r w:rsidR="009601D7" w:rsidRPr="002D6508">
        <w:rPr>
          <w:rFonts w:ascii="Garamond" w:hAnsi="Garamond"/>
          <w:color w:val="000000" w:themeColor="text1"/>
        </w:rPr>
        <w:t xml:space="preserve">including </w:t>
      </w:r>
      <w:r w:rsidR="00C65866" w:rsidRPr="002D6508">
        <w:rPr>
          <w:rFonts w:ascii="Garamond" w:hAnsi="Garamond"/>
          <w:color w:val="000000" w:themeColor="text1"/>
        </w:rPr>
        <w:t xml:space="preserve">them is not “feasible.” The following renders </w:t>
      </w:r>
      <w:r w:rsidR="00B45EE1" w:rsidRPr="002D6508">
        <w:rPr>
          <w:rFonts w:ascii="Garamond" w:hAnsi="Garamond"/>
          <w:color w:val="000000" w:themeColor="text1"/>
        </w:rPr>
        <w:t xml:space="preserve">joining </w:t>
      </w:r>
      <w:r w:rsidR="009601D7" w:rsidRPr="002D6508">
        <w:rPr>
          <w:rFonts w:ascii="Garamond" w:hAnsi="Garamond"/>
          <w:color w:val="000000" w:themeColor="text1"/>
        </w:rPr>
        <w:t xml:space="preserve">a </w:t>
      </w:r>
      <w:r w:rsidR="0095753F" w:rsidRPr="002D6508">
        <w:rPr>
          <w:rFonts w:ascii="Garamond" w:hAnsi="Garamond"/>
          <w:color w:val="000000" w:themeColor="text1"/>
        </w:rPr>
        <w:t xml:space="preserve">person as a </w:t>
      </w:r>
      <w:r w:rsidR="00C65866" w:rsidRPr="002D6508">
        <w:rPr>
          <w:rFonts w:ascii="Garamond" w:hAnsi="Garamond"/>
          <w:color w:val="000000" w:themeColor="text1"/>
        </w:rPr>
        <w:t xml:space="preserve">party </w:t>
      </w:r>
      <w:r w:rsidR="00C11DF2" w:rsidRPr="002D6508">
        <w:rPr>
          <w:rFonts w:ascii="Garamond" w:hAnsi="Garamond"/>
          <w:color w:val="000000" w:themeColor="text1"/>
        </w:rPr>
        <w:t>in</w:t>
      </w:r>
      <w:r w:rsidR="00C65866" w:rsidRPr="002D6508">
        <w:rPr>
          <w:rFonts w:ascii="Garamond" w:hAnsi="Garamond"/>
          <w:color w:val="000000" w:themeColor="text1"/>
        </w:rPr>
        <w:t>feasible:</w:t>
      </w:r>
    </w:p>
    <w:p w14:paraId="1FF4BEAC" w14:textId="77777777" w:rsidR="00C65866" w:rsidRPr="002D6508" w:rsidRDefault="00C65866" w:rsidP="0035623F">
      <w:pPr>
        <w:ind w:left="360" w:hanging="360"/>
        <w:rPr>
          <w:rFonts w:ascii="Garamond" w:hAnsi="Garamond"/>
          <w:color w:val="000000" w:themeColor="text1"/>
        </w:rPr>
      </w:pPr>
    </w:p>
    <w:p w14:paraId="0B43A188" w14:textId="26F9EF1A" w:rsidR="00C65866" w:rsidRPr="002D6508" w:rsidRDefault="00870492" w:rsidP="00C65866">
      <w:pPr>
        <w:ind w:left="720" w:hanging="360"/>
        <w:rPr>
          <w:rFonts w:ascii="Garamond" w:hAnsi="Garamond"/>
          <w:color w:val="000000" w:themeColor="text1"/>
        </w:rPr>
      </w:pPr>
      <w:r w:rsidRPr="002D6508">
        <w:rPr>
          <w:rFonts w:ascii="Garamond" w:hAnsi="Garamond"/>
          <w:color w:val="000000" w:themeColor="text1"/>
        </w:rPr>
        <w:t>a</w:t>
      </w:r>
      <w:r w:rsidR="00C65866" w:rsidRPr="002D6508">
        <w:rPr>
          <w:rFonts w:ascii="Garamond" w:hAnsi="Garamond"/>
          <w:color w:val="000000" w:themeColor="text1"/>
        </w:rPr>
        <w:t>.</w:t>
      </w:r>
      <w:r w:rsidR="00C65866" w:rsidRPr="002D6508">
        <w:rPr>
          <w:rFonts w:ascii="Garamond" w:hAnsi="Garamond"/>
          <w:color w:val="000000" w:themeColor="text1"/>
        </w:rPr>
        <w:tab/>
      </w:r>
      <w:r w:rsidR="00F525BB" w:rsidRPr="002D6508">
        <w:rPr>
          <w:rFonts w:ascii="Garamond" w:hAnsi="Garamond"/>
          <w:color w:val="000000" w:themeColor="text1"/>
        </w:rPr>
        <w:t xml:space="preserve">Joining </w:t>
      </w:r>
      <w:r w:rsidR="00C65866" w:rsidRPr="002D6508">
        <w:rPr>
          <w:rFonts w:ascii="Garamond" w:hAnsi="Garamond"/>
          <w:color w:val="000000" w:themeColor="text1"/>
        </w:rPr>
        <w:t>the person as a party would deprive the court of subject-matter jurisdiction, namely by destroying diversity jurisdiction</w:t>
      </w:r>
      <w:r w:rsidR="006C1BB2" w:rsidRPr="002D6508">
        <w:rPr>
          <w:rFonts w:ascii="Garamond" w:hAnsi="Garamond"/>
          <w:color w:val="000000" w:themeColor="text1"/>
        </w:rPr>
        <w:t>; or</w:t>
      </w:r>
    </w:p>
    <w:p w14:paraId="3C98981A" w14:textId="77777777" w:rsidR="00C65866" w:rsidRPr="002D6508" w:rsidRDefault="00C65866" w:rsidP="00C65866">
      <w:pPr>
        <w:ind w:left="720" w:hanging="360"/>
        <w:rPr>
          <w:rFonts w:ascii="Garamond" w:hAnsi="Garamond"/>
          <w:color w:val="000000" w:themeColor="text1"/>
        </w:rPr>
      </w:pPr>
    </w:p>
    <w:p w14:paraId="450FF20A" w14:textId="65480D47" w:rsidR="00C65866" w:rsidRPr="002D6508" w:rsidRDefault="00870492" w:rsidP="00C65866">
      <w:pPr>
        <w:ind w:left="720" w:hanging="360"/>
        <w:rPr>
          <w:rFonts w:ascii="Garamond" w:hAnsi="Garamond"/>
          <w:color w:val="000000" w:themeColor="text1"/>
        </w:rPr>
      </w:pPr>
      <w:r w:rsidRPr="002D6508">
        <w:rPr>
          <w:rFonts w:ascii="Garamond" w:hAnsi="Garamond"/>
          <w:color w:val="000000" w:themeColor="text1"/>
        </w:rPr>
        <w:t>b</w:t>
      </w:r>
      <w:r w:rsidR="00C65866" w:rsidRPr="002D6508">
        <w:rPr>
          <w:rFonts w:ascii="Garamond" w:hAnsi="Garamond"/>
          <w:color w:val="000000" w:themeColor="text1"/>
        </w:rPr>
        <w:t>.</w:t>
      </w:r>
      <w:r w:rsidR="00C65866" w:rsidRPr="002D6508">
        <w:rPr>
          <w:rFonts w:ascii="Garamond" w:hAnsi="Garamond"/>
          <w:color w:val="000000" w:themeColor="text1"/>
        </w:rPr>
        <w:tab/>
        <w:t xml:space="preserve">The court </w:t>
      </w:r>
      <w:r w:rsidR="001C200E" w:rsidRPr="002D6508">
        <w:rPr>
          <w:rFonts w:ascii="Garamond" w:hAnsi="Garamond"/>
          <w:color w:val="000000" w:themeColor="text1"/>
        </w:rPr>
        <w:t xml:space="preserve">would </w:t>
      </w:r>
      <w:r w:rsidR="00C65866" w:rsidRPr="002D6508">
        <w:rPr>
          <w:rFonts w:ascii="Garamond" w:hAnsi="Garamond"/>
          <w:color w:val="000000" w:themeColor="text1"/>
        </w:rPr>
        <w:t xml:space="preserve">not have personal jurisdiction over the person proposed to be </w:t>
      </w:r>
      <w:r w:rsidR="00401682" w:rsidRPr="002D6508">
        <w:rPr>
          <w:rFonts w:ascii="Garamond" w:hAnsi="Garamond"/>
          <w:color w:val="000000" w:themeColor="text1"/>
        </w:rPr>
        <w:t xml:space="preserve">joined </w:t>
      </w:r>
      <w:r w:rsidR="00C65866" w:rsidRPr="002D6508">
        <w:rPr>
          <w:rFonts w:ascii="Garamond" w:hAnsi="Garamond"/>
          <w:color w:val="000000" w:themeColor="text1"/>
        </w:rPr>
        <w:t>as a party</w:t>
      </w:r>
      <w:r w:rsidR="00C056A1">
        <w:rPr>
          <w:rFonts w:ascii="Garamond" w:hAnsi="Garamond"/>
          <w:color w:val="000000" w:themeColor="text1"/>
        </w:rPr>
        <w:t xml:space="preserve"> and that person objects to personal jurisdiction</w:t>
      </w:r>
      <w:r w:rsidR="006C1BB2" w:rsidRPr="002D6508">
        <w:rPr>
          <w:rFonts w:ascii="Garamond" w:hAnsi="Garamond"/>
          <w:color w:val="000000" w:themeColor="text1"/>
        </w:rPr>
        <w:t>; or</w:t>
      </w:r>
    </w:p>
    <w:p w14:paraId="0FC5463F" w14:textId="77777777" w:rsidR="00C65866" w:rsidRPr="002D6508" w:rsidRDefault="00C65866" w:rsidP="00C65866">
      <w:pPr>
        <w:ind w:left="720" w:hanging="360"/>
        <w:rPr>
          <w:rFonts w:ascii="Garamond" w:hAnsi="Garamond"/>
          <w:color w:val="000000" w:themeColor="text1"/>
        </w:rPr>
      </w:pPr>
    </w:p>
    <w:p w14:paraId="1E24A5D9" w14:textId="25825CA9" w:rsidR="00C65866" w:rsidRPr="00CB1620" w:rsidRDefault="00870492" w:rsidP="00C65866">
      <w:pPr>
        <w:ind w:left="720" w:hanging="360"/>
        <w:rPr>
          <w:rFonts w:ascii="Garamond" w:hAnsi="Garamond"/>
          <w:color w:val="7F7F7F" w:themeColor="text1" w:themeTint="80"/>
        </w:rPr>
      </w:pPr>
      <w:r w:rsidRPr="00CB1620">
        <w:rPr>
          <w:rFonts w:ascii="Garamond" w:hAnsi="Garamond"/>
          <w:color w:val="7F7F7F" w:themeColor="text1" w:themeTint="80"/>
        </w:rPr>
        <w:t>c</w:t>
      </w:r>
      <w:r w:rsidR="00C65866" w:rsidRPr="00CB1620">
        <w:rPr>
          <w:rFonts w:ascii="Garamond" w:hAnsi="Garamond"/>
          <w:color w:val="7F7F7F" w:themeColor="text1" w:themeTint="80"/>
        </w:rPr>
        <w:t>.</w:t>
      </w:r>
      <w:r w:rsidR="00C65866" w:rsidRPr="00CB1620">
        <w:rPr>
          <w:rFonts w:ascii="Garamond" w:hAnsi="Garamond"/>
          <w:color w:val="7F7F7F" w:themeColor="text1" w:themeTint="80"/>
        </w:rPr>
        <w:tab/>
        <w:t xml:space="preserve">The person proposed to be </w:t>
      </w:r>
      <w:r w:rsidR="00BE2ECC" w:rsidRPr="00CB1620">
        <w:rPr>
          <w:rFonts w:ascii="Garamond" w:hAnsi="Garamond"/>
          <w:color w:val="7F7F7F" w:themeColor="text1" w:themeTint="80"/>
        </w:rPr>
        <w:t xml:space="preserve">joined </w:t>
      </w:r>
      <w:r w:rsidR="00C65866" w:rsidRPr="00CB1620">
        <w:rPr>
          <w:rFonts w:ascii="Garamond" w:hAnsi="Garamond"/>
          <w:color w:val="7F7F7F" w:themeColor="text1" w:themeTint="80"/>
        </w:rPr>
        <w:t xml:space="preserve">as a party is immune to </w:t>
      </w:r>
      <w:r w:rsidR="001C2474" w:rsidRPr="00CB1620">
        <w:rPr>
          <w:rFonts w:ascii="Garamond" w:hAnsi="Garamond"/>
          <w:color w:val="7F7F7F" w:themeColor="text1" w:themeTint="80"/>
        </w:rPr>
        <w:t>the claims brought against them</w:t>
      </w:r>
      <w:r w:rsidR="00F36C91" w:rsidRPr="00CB1620">
        <w:rPr>
          <w:rFonts w:ascii="Garamond" w:hAnsi="Garamond"/>
          <w:color w:val="7F7F7F" w:themeColor="text1" w:themeTint="80"/>
        </w:rPr>
        <w:t xml:space="preserve"> and the </w:t>
      </w:r>
      <w:r w:rsidR="00CB1774" w:rsidRPr="00CB1620">
        <w:rPr>
          <w:rFonts w:ascii="Garamond" w:hAnsi="Garamond"/>
          <w:color w:val="7F7F7F" w:themeColor="text1" w:themeTint="80"/>
        </w:rPr>
        <w:t xml:space="preserve">person </w:t>
      </w:r>
      <w:r w:rsidR="00F36C91" w:rsidRPr="00CB1620">
        <w:rPr>
          <w:rFonts w:ascii="Garamond" w:hAnsi="Garamond"/>
          <w:color w:val="7F7F7F" w:themeColor="text1" w:themeTint="80"/>
        </w:rPr>
        <w:t xml:space="preserve">does not consent to </w:t>
      </w:r>
      <w:r w:rsidR="008C640F" w:rsidRPr="00CB1620">
        <w:rPr>
          <w:rFonts w:ascii="Garamond" w:hAnsi="Garamond"/>
          <w:color w:val="7F7F7F" w:themeColor="text1" w:themeTint="80"/>
        </w:rPr>
        <w:t>being sued</w:t>
      </w:r>
      <w:r w:rsidR="006C1BB2" w:rsidRPr="00CB1620">
        <w:rPr>
          <w:rFonts w:ascii="Garamond" w:hAnsi="Garamond"/>
          <w:color w:val="7F7F7F" w:themeColor="text1" w:themeTint="80"/>
        </w:rPr>
        <w:t>; or</w:t>
      </w:r>
    </w:p>
    <w:p w14:paraId="7EFB29D4" w14:textId="77777777" w:rsidR="00C65866" w:rsidRPr="002D6508" w:rsidRDefault="00C65866" w:rsidP="00C65866">
      <w:pPr>
        <w:ind w:left="720" w:hanging="360"/>
        <w:rPr>
          <w:rFonts w:ascii="Garamond" w:hAnsi="Garamond"/>
          <w:color w:val="000000" w:themeColor="text1"/>
        </w:rPr>
      </w:pPr>
    </w:p>
    <w:p w14:paraId="54C97FA3" w14:textId="485FEB83" w:rsidR="003C6650" w:rsidRPr="002D6508" w:rsidRDefault="00870492" w:rsidP="003C6650">
      <w:pPr>
        <w:ind w:left="720" w:hanging="360"/>
        <w:rPr>
          <w:rFonts w:ascii="Garamond" w:hAnsi="Garamond"/>
          <w:color w:val="000000" w:themeColor="text1"/>
        </w:rPr>
      </w:pPr>
      <w:r w:rsidRPr="002D6508">
        <w:rPr>
          <w:rFonts w:ascii="Garamond" w:hAnsi="Garamond"/>
          <w:color w:val="000000" w:themeColor="text1"/>
        </w:rPr>
        <w:t>d</w:t>
      </w:r>
      <w:r w:rsidR="00C65866" w:rsidRPr="002D6508">
        <w:rPr>
          <w:rFonts w:ascii="Garamond" w:hAnsi="Garamond"/>
          <w:color w:val="000000" w:themeColor="text1"/>
        </w:rPr>
        <w:t>.</w:t>
      </w:r>
      <w:r w:rsidR="00C65866" w:rsidRPr="002D6508">
        <w:rPr>
          <w:rFonts w:ascii="Garamond" w:hAnsi="Garamond"/>
          <w:color w:val="000000" w:themeColor="text1"/>
        </w:rPr>
        <w:tab/>
        <w:t xml:space="preserve">The person proposed to be </w:t>
      </w:r>
      <w:r w:rsidR="00FB51E6" w:rsidRPr="002D6508">
        <w:rPr>
          <w:rFonts w:ascii="Garamond" w:hAnsi="Garamond"/>
          <w:color w:val="000000" w:themeColor="text1"/>
        </w:rPr>
        <w:t>joined</w:t>
      </w:r>
      <w:r w:rsidR="00C65866" w:rsidRPr="002D6508">
        <w:rPr>
          <w:rFonts w:ascii="Garamond" w:hAnsi="Garamond"/>
          <w:color w:val="000000" w:themeColor="text1"/>
        </w:rPr>
        <w:t xml:space="preserve"> as a party objects to venue and </w:t>
      </w:r>
      <w:r w:rsidR="003A3CED" w:rsidRPr="002D6508">
        <w:rPr>
          <w:rFonts w:ascii="Garamond" w:hAnsi="Garamond"/>
          <w:color w:val="000000" w:themeColor="text1"/>
        </w:rPr>
        <w:t>including</w:t>
      </w:r>
      <w:r w:rsidR="001C2474" w:rsidRPr="002D6508">
        <w:rPr>
          <w:rFonts w:ascii="Garamond" w:hAnsi="Garamond"/>
          <w:color w:val="000000" w:themeColor="text1"/>
        </w:rPr>
        <w:t xml:space="preserve"> </w:t>
      </w:r>
      <w:r w:rsidR="00C65866" w:rsidRPr="002D6508">
        <w:rPr>
          <w:rFonts w:ascii="Garamond" w:hAnsi="Garamond"/>
          <w:color w:val="000000" w:themeColor="text1"/>
        </w:rPr>
        <w:t>them would make venue improper.</w:t>
      </w:r>
    </w:p>
    <w:p w14:paraId="57653436" w14:textId="77777777" w:rsidR="00B96464" w:rsidRPr="002D6508" w:rsidRDefault="00B96464" w:rsidP="00C65866">
      <w:pPr>
        <w:ind w:left="720" w:hanging="360"/>
        <w:rPr>
          <w:rFonts w:ascii="Garamond" w:hAnsi="Garamond"/>
          <w:color w:val="000000" w:themeColor="text1"/>
        </w:rPr>
      </w:pPr>
    </w:p>
    <w:p w14:paraId="6090D36E" w14:textId="1A639229" w:rsidR="00B96464" w:rsidRPr="00CB1620" w:rsidRDefault="00B96464" w:rsidP="00B96464">
      <w:pPr>
        <w:ind w:left="360" w:hanging="360"/>
        <w:rPr>
          <w:rFonts w:ascii="Garamond" w:hAnsi="Garamond"/>
          <w:color w:val="7F7F7F" w:themeColor="text1" w:themeTint="80"/>
        </w:rPr>
      </w:pPr>
      <w:r w:rsidRPr="002D6508">
        <w:rPr>
          <w:rFonts w:ascii="Garamond" w:hAnsi="Garamond"/>
          <w:color w:val="000000" w:themeColor="text1"/>
        </w:rPr>
        <w:t>3.</w:t>
      </w:r>
      <w:r w:rsidRPr="002D6508">
        <w:rPr>
          <w:rFonts w:ascii="Garamond" w:hAnsi="Garamond"/>
          <w:color w:val="000000" w:themeColor="text1"/>
        </w:rPr>
        <w:tab/>
        <w:t xml:space="preserve">If </w:t>
      </w:r>
      <w:r w:rsidR="000005AF" w:rsidRPr="002D6508">
        <w:rPr>
          <w:rFonts w:ascii="Garamond" w:hAnsi="Garamond"/>
          <w:color w:val="000000" w:themeColor="text1"/>
        </w:rPr>
        <w:t xml:space="preserve">joining </w:t>
      </w:r>
      <w:r w:rsidR="00982751" w:rsidRPr="002D6508">
        <w:rPr>
          <w:rFonts w:ascii="Garamond" w:hAnsi="Garamond"/>
          <w:color w:val="000000" w:themeColor="text1"/>
        </w:rPr>
        <w:t xml:space="preserve">a </w:t>
      </w:r>
      <w:r w:rsidRPr="002D6508">
        <w:rPr>
          <w:rFonts w:ascii="Garamond" w:hAnsi="Garamond"/>
          <w:color w:val="000000" w:themeColor="text1"/>
        </w:rPr>
        <w:t xml:space="preserve">necessary </w:t>
      </w:r>
      <w:r w:rsidR="00982751" w:rsidRPr="002D6508">
        <w:rPr>
          <w:rFonts w:ascii="Garamond" w:hAnsi="Garamond"/>
          <w:color w:val="000000" w:themeColor="text1"/>
        </w:rPr>
        <w:t xml:space="preserve">party </w:t>
      </w:r>
      <w:r w:rsidRPr="002D6508">
        <w:rPr>
          <w:rFonts w:ascii="Garamond" w:hAnsi="Garamond"/>
          <w:color w:val="000000" w:themeColor="text1"/>
        </w:rPr>
        <w:t xml:space="preserve">is </w:t>
      </w:r>
      <w:r w:rsidR="00982751" w:rsidRPr="002D6508">
        <w:rPr>
          <w:rFonts w:ascii="Garamond" w:hAnsi="Garamond"/>
          <w:color w:val="000000" w:themeColor="text1"/>
          <w:u w:val="single"/>
        </w:rPr>
        <w:t>not</w:t>
      </w:r>
      <w:r w:rsidR="00982751" w:rsidRPr="002D6508">
        <w:rPr>
          <w:rFonts w:ascii="Garamond" w:hAnsi="Garamond"/>
          <w:color w:val="000000" w:themeColor="text1"/>
        </w:rPr>
        <w:t xml:space="preserve"> </w:t>
      </w:r>
      <w:r w:rsidRPr="002D6508">
        <w:rPr>
          <w:rFonts w:ascii="Garamond" w:hAnsi="Garamond"/>
          <w:color w:val="000000" w:themeColor="text1"/>
        </w:rPr>
        <w:t>feasible, the court must determine whether that necessary party is indispensable.</w:t>
      </w:r>
      <w:r w:rsidR="00A95D4D">
        <w:rPr>
          <w:rFonts w:ascii="Garamond" w:hAnsi="Garamond"/>
          <w:color w:val="000000" w:themeColor="text1"/>
        </w:rPr>
        <w:t xml:space="preserve"> (The rule doesn’t use the word “indispensable” any more, </w:t>
      </w:r>
      <w:r w:rsidR="00767849">
        <w:rPr>
          <w:rFonts w:ascii="Garamond" w:hAnsi="Garamond"/>
          <w:color w:val="000000" w:themeColor="text1"/>
        </w:rPr>
        <w:t xml:space="preserve">it was removed in 2007 for “clarity,” </w:t>
      </w:r>
      <w:r w:rsidR="00A95D4D">
        <w:rPr>
          <w:rFonts w:ascii="Garamond" w:hAnsi="Garamond"/>
          <w:color w:val="000000" w:themeColor="text1"/>
        </w:rPr>
        <w:t xml:space="preserve">but I think it helps to continue to use </w:t>
      </w:r>
      <w:r w:rsidR="00822E6E">
        <w:rPr>
          <w:rFonts w:ascii="Garamond" w:hAnsi="Garamond"/>
          <w:color w:val="000000" w:themeColor="text1"/>
        </w:rPr>
        <w:t>it</w:t>
      </w:r>
      <w:r w:rsidR="00A95D4D">
        <w:rPr>
          <w:rFonts w:ascii="Garamond" w:hAnsi="Garamond"/>
          <w:color w:val="000000" w:themeColor="text1"/>
        </w:rPr>
        <w:t>.)</w:t>
      </w:r>
      <w:r w:rsidRPr="002D6508">
        <w:rPr>
          <w:rFonts w:ascii="Garamond" w:hAnsi="Garamond"/>
          <w:color w:val="000000" w:themeColor="text1"/>
        </w:rPr>
        <w:t xml:space="preserve"> If </w:t>
      </w:r>
      <w:r w:rsidR="00582EEA" w:rsidRPr="002D6508">
        <w:rPr>
          <w:rFonts w:ascii="Garamond" w:hAnsi="Garamond"/>
          <w:color w:val="000000" w:themeColor="text1"/>
        </w:rPr>
        <w:t xml:space="preserve">the party </w:t>
      </w:r>
      <w:r w:rsidR="00582EEA" w:rsidRPr="002D6508">
        <w:rPr>
          <w:rFonts w:ascii="Garamond" w:hAnsi="Garamond"/>
          <w:color w:val="000000" w:themeColor="text1"/>
          <w:u w:val="single"/>
        </w:rPr>
        <w:t>is</w:t>
      </w:r>
      <w:r w:rsidR="00582EEA" w:rsidRPr="002D6508">
        <w:rPr>
          <w:rFonts w:ascii="Garamond" w:hAnsi="Garamond"/>
          <w:color w:val="000000" w:themeColor="text1"/>
        </w:rPr>
        <w:t xml:space="preserve"> </w:t>
      </w:r>
      <w:r w:rsidRPr="002D6508">
        <w:rPr>
          <w:rFonts w:ascii="Garamond" w:hAnsi="Garamond"/>
          <w:color w:val="000000" w:themeColor="text1"/>
        </w:rPr>
        <w:t xml:space="preserve">indispensable, then the court will dismiss the </w:t>
      </w:r>
      <w:r w:rsidR="006B50A2" w:rsidRPr="002D6508">
        <w:rPr>
          <w:rFonts w:ascii="Garamond" w:hAnsi="Garamond"/>
          <w:color w:val="000000" w:themeColor="text1"/>
        </w:rPr>
        <w:t xml:space="preserve">entire </w:t>
      </w:r>
      <w:r w:rsidRPr="002D6508">
        <w:rPr>
          <w:rFonts w:ascii="Garamond" w:hAnsi="Garamond"/>
          <w:color w:val="000000" w:themeColor="text1"/>
        </w:rPr>
        <w:t>action</w:t>
      </w:r>
      <w:r w:rsidR="005056C8" w:rsidRPr="002D6508">
        <w:rPr>
          <w:rFonts w:ascii="Garamond" w:hAnsi="Garamond"/>
          <w:color w:val="000000" w:themeColor="text1"/>
        </w:rPr>
        <w:t xml:space="preserve"> under </w:t>
      </w:r>
      <w:r w:rsidR="00C93D18" w:rsidRPr="002D6508">
        <w:rPr>
          <w:rFonts w:ascii="Garamond" w:hAnsi="Garamond"/>
          <w:color w:val="000000" w:themeColor="text1"/>
        </w:rPr>
        <w:t xml:space="preserve">Rule </w:t>
      </w:r>
      <w:r w:rsidR="005056C8" w:rsidRPr="002D6508">
        <w:rPr>
          <w:rFonts w:ascii="Garamond" w:hAnsi="Garamond"/>
          <w:color w:val="000000" w:themeColor="text1"/>
        </w:rPr>
        <w:t>12(b)(7)</w:t>
      </w:r>
      <w:r w:rsidR="00982751" w:rsidRPr="002D6508">
        <w:rPr>
          <w:rFonts w:ascii="Garamond" w:hAnsi="Garamond"/>
          <w:color w:val="000000" w:themeColor="text1"/>
        </w:rPr>
        <w:t xml:space="preserve">; </w:t>
      </w:r>
      <w:r w:rsidR="006531B1" w:rsidRPr="002D6508">
        <w:rPr>
          <w:rFonts w:ascii="Garamond" w:hAnsi="Garamond"/>
          <w:color w:val="000000" w:themeColor="text1"/>
        </w:rPr>
        <w:t xml:space="preserve">the </w:t>
      </w:r>
      <w:r w:rsidR="00552A67" w:rsidRPr="002D6508">
        <w:rPr>
          <w:rFonts w:ascii="Garamond" w:hAnsi="Garamond"/>
          <w:color w:val="000000" w:themeColor="text1"/>
        </w:rPr>
        <w:t>action</w:t>
      </w:r>
      <w:r w:rsidR="00982751" w:rsidRPr="002D6508">
        <w:rPr>
          <w:rFonts w:ascii="Garamond" w:hAnsi="Garamond"/>
          <w:color w:val="000000" w:themeColor="text1"/>
        </w:rPr>
        <w:t xml:space="preserve"> cannot proceed without the indispensable party</w:t>
      </w:r>
      <w:r w:rsidRPr="002D6508">
        <w:rPr>
          <w:rFonts w:ascii="Garamond" w:hAnsi="Garamond"/>
          <w:color w:val="000000" w:themeColor="text1"/>
        </w:rPr>
        <w:t xml:space="preserve">. If </w:t>
      </w:r>
      <w:r w:rsidR="00982751" w:rsidRPr="002D6508">
        <w:rPr>
          <w:rFonts w:ascii="Garamond" w:hAnsi="Garamond"/>
          <w:color w:val="000000" w:themeColor="text1"/>
        </w:rPr>
        <w:t xml:space="preserve">the “necessary” party is </w:t>
      </w:r>
      <w:r w:rsidR="00982751" w:rsidRPr="002D6508">
        <w:rPr>
          <w:rFonts w:ascii="Garamond" w:hAnsi="Garamond"/>
          <w:color w:val="000000" w:themeColor="text1"/>
          <w:u w:val="single"/>
        </w:rPr>
        <w:t>not</w:t>
      </w:r>
      <w:r w:rsidR="00982751" w:rsidRPr="002D6508">
        <w:rPr>
          <w:rFonts w:ascii="Garamond" w:hAnsi="Garamond"/>
          <w:color w:val="000000" w:themeColor="text1"/>
        </w:rPr>
        <w:t xml:space="preserve"> </w:t>
      </w:r>
      <w:r w:rsidRPr="002D6508">
        <w:rPr>
          <w:rFonts w:ascii="Garamond" w:hAnsi="Garamond"/>
          <w:color w:val="000000" w:themeColor="text1"/>
        </w:rPr>
        <w:t>indispensable, then the court will allow the action to proceed without them</w:t>
      </w:r>
      <w:r w:rsidR="00C27404">
        <w:rPr>
          <w:rFonts w:ascii="Garamond" w:hAnsi="Garamond"/>
          <w:color w:val="000000" w:themeColor="text1"/>
        </w:rPr>
        <w:t>—w</w:t>
      </w:r>
      <w:r w:rsidR="007F7D96" w:rsidRPr="002D6508">
        <w:rPr>
          <w:rFonts w:ascii="Garamond" w:hAnsi="Garamond"/>
          <w:color w:val="000000" w:themeColor="text1"/>
        </w:rPr>
        <w:t xml:space="preserve">e don’t </w:t>
      </w:r>
      <w:r w:rsidR="007F7D96" w:rsidRPr="002D6508">
        <w:rPr>
          <w:rFonts w:ascii="Garamond" w:hAnsi="Garamond"/>
          <w:i/>
          <w:iCs/>
          <w:color w:val="000000" w:themeColor="text1"/>
        </w:rPr>
        <w:t>really</w:t>
      </w:r>
      <w:r w:rsidR="007F7D96" w:rsidRPr="002D6508">
        <w:rPr>
          <w:rFonts w:ascii="Garamond" w:hAnsi="Garamond"/>
          <w:color w:val="000000" w:themeColor="text1"/>
        </w:rPr>
        <w:t xml:space="preserve"> need them. </w:t>
      </w:r>
      <w:r w:rsidR="005B6B28" w:rsidRPr="00CB1620">
        <w:rPr>
          <w:rFonts w:ascii="Garamond" w:hAnsi="Garamond"/>
          <w:color w:val="7F7F7F" w:themeColor="text1" w:themeTint="80"/>
        </w:rPr>
        <w:t>To</w:t>
      </w:r>
      <w:r w:rsidRPr="00CB1620">
        <w:rPr>
          <w:rFonts w:ascii="Garamond" w:hAnsi="Garamond"/>
          <w:color w:val="7F7F7F" w:themeColor="text1" w:themeTint="80"/>
        </w:rPr>
        <w:t xml:space="preserve"> determine whether someone is indispensable </w:t>
      </w:r>
      <w:r w:rsidR="005B6B28" w:rsidRPr="00CB1620">
        <w:rPr>
          <w:rFonts w:ascii="Garamond" w:hAnsi="Garamond"/>
          <w:color w:val="7F7F7F" w:themeColor="text1" w:themeTint="80"/>
        </w:rPr>
        <w:t xml:space="preserve">under 19(b), consider </w:t>
      </w:r>
      <w:r w:rsidRPr="00CB1620">
        <w:rPr>
          <w:rFonts w:ascii="Garamond" w:hAnsi="Garamond"/>
          <w:color w:val="7F7F7F" w:themeColor="text1" w:themeTint="80"/>
        </w:rPr>
        <w:t xml:space="preserve">the following </w:t>
      </w:r>
      <w:r w:rsidR="00C903ED" w:rsidRPr="00CB1620">
        <w:rPr>
          <w:rFonts w:ascii="Garamond" w:hAnsi="Garamond"/>
          <w:color w:val="7F7F7F" w:themeColor="text1" w:themeTint="80"/>
        </w:rPr>
        <w:t xml:space="preserve">non-exclusive </w:t>
      </w:r>
      <w:r w:rsidRPr="00CB1620">
        <w:rPr>
          <w:rFonts w:ascii="Garamond" w:hAnsi="Garamond"/>
          <w:color w:val="7F7F7F" w:themeColor="text1" w:themeTint="80"/>
        </w:rPr>
        <w:t>factors</w:t>
      </w:r>
      <w:r w:rsidR="00C27404" w:rsidRPr="00CB1620">
        <w:rPr>
          <w:rFonts w:ascii="Garamond" w:hAnsi="Garamond"/>
          <w:color w:val="7F7F7F" w:themeColor="text1" w:themeTint="80"/>
        </w:rPr>
        <w:t xml:space="preserve"> (all with a view to determining whether equity and good conscience calls for the case to proceed)</w:t>
      </w:r>
      <w:r w:rsidRPr="00CB1620">
        <w:rPr>
          <w:rFonts w:ascii="Garamond" w:hAnsi="Garamond"/>
          <w:color w:val="7F7F7F" w:themeColor="text1" w:themeTint="80"/>
        </w:rPr>
        <w:t>:</w:t>
      </w:r>
    </w:p>
    <w:p w14:paraId="2F0C1EAB" w14:textId="77777777" w:rsidR="00B96464" w:rsidRPr="00CB1620" w:rsidRDefault="00B96464" w:rsidP="00B96464">
      <w:pPr>
        <w:ind w:left="360" w:hanging="360"/>
        <w:rPr>
          <w:rFonts w:ascii="Garamond" w:hAnsi="Garamond"/>
          <w:color w:val="7F7F7F" w:themeColor="text1" w:themeTint="80"/>
        </w:rPr>
      </w:pPr>
    </w:p>
    <w:p w14:paraId="7F015BB0" w14:textId="6EB4D05B" w:rsidR="00B96464" w:rsidRPr="00CB1620" w:rsidRDefault="00B96464" w:rsidP="00B96464">
      <w:pPr>
        <w:ind w:left="720" w:hanging="360"/>
        <w:rPr>
          <w:rFonts w:ascii="Garamond" w:hAnsi="Garamond"/>
          <w:color w:val="7F7F7F" w:themeColor="text1" w:themeTint="80"/>
        </w:rPr>
      </w:pPr>
      <w:r w:rsidRPr="00CB1620">
        <w:rPr>
          <w:rFonts w:ascii="Garamond" w:hAnsi="Garamond"/>
          <w:color w:val="7F7F7F" w:themeColor="text1" w:themeTint="80"/>
        </w:rPr>
        <w:t xml:space="preserve">(1) </w:t>
      </w:r>
      <w:r w:rsidR="00E33B1C" w:rsidRPr="00CB1620">
        <w:rPr>
          <w:rFonts w:ascii="Garamond" w:hAnsi="Garamond"/>
          <w:color w:val="7F7F7F" w:themeColor="text1" w:themeTint="80"/>
        </w:rPr>
        <w:tab/>
      </w:r>
      <w:r w:rsidRPr="00CB1620">
        <w:rPr>
          <w:rFonts w:ascii="Garamond" w:hAnsi="Garamond"/>
          <w:color w:val="7F7F7F" w:themeColor="text1" w:themeTint="80"/>
        </w:rPr>
        <w:t>the extent to which a judgment rendered in the person</w:t>
      </w:r>
      <w:r w:rsidR="000E345C" w:rsidRPr="00CB1620">
        <w:rPr>
          <w:rFonts w:ascii="Garamond" w:hAnsi="Garamond"/>
          <w:color w:val="7F7F7F" w:themeColor="text1" w:themeTint="80"/>
        </w:rPr>
        <w:t>’</w:t>
      </w:r>
      <w:r w:rsidRPr="00CB1620">
        <w:rPr>
          <w:rFonts w:ascii="Garamond" w:hAnsi="Garamond"/>
          <w:color w:val="7F7F7F" w:themeColor="text1" w:themeTint="80"/>
        </w:rPr>
        <w:t>s absence might prejudice that person or the existing parties;</w:t>
      </w:r>
    </w:p>
    <w:p w14:paraId="72275968" w14:textId="77777777" w:rsidR="00B96464" w:rsidRPr="00CB1620" w:rsidRDefault="00B96464" w:rsidP="00B96464">
      <w:pPr>
        <w:ind w:left="720" w:hanging="360"/>
        <w:rPr>
          <w:rFonts w:ascii="Garamond" w:hAnsi="Garamond"/>
          <w:color w:val="7F7F7F" w:themeColor="text1" w:themeTint="80"/>
        </w:rPr>
      </w:pPr>
    </w:p>
    <w:p w14:paraId="6A9DEF54" w14:textId="77777777" w:rsidR="00B96464" w:rsidRPr="00CB1620" w:rsidRDefault="00B96464" w:rsidP="00B96464">
      <w:pPr>
        <w:ind w:left="720" w:hanging="360"/>
        <w:rPr>
          <w:rFonts w:ascii="Garamond" w:hAnsi="Garamond"/>
          <w:color w:val="7F7F7F" w:themeColor="text1" w:themeTint="80"/>
        </w:rPr>
      </w:pPr>
      <w:r w:rsidRPr="00CB1620">
        <w:rPr>
          <w:rFonts w:ascii="Garamond" w:hAnsi="Garamond"/>
          <w:color w:val="7F7F7F" w:themeColor="text1" w:themeTint="80"/>
        </w:rPr>
        <w:t xml:space="preserve">(2) </w:t>
      </w:r>
      <w:r w:rsidR="00E33B1C" w:rsidRPr="00CB1620">
        <w:rPr>
          <w:rFonts w:ascii="Garamond" w:hAnsi="Garamond"/>
          <w:color w:val="7F7F7F" w:themeColor="text1" w:themeTint="80"/>
        </w:rPr>
        <w:tab/>
      </w:r>
      <w:r w:rsidRPr="00CB1620">
        <w:rPr>
          <w:rFonts w:ascii="Garamond" w:hAnsi="Garamond"/>
          <w:color w:val="7F7F7F" w:themeColor="text1" w:themeTint="80"/>
        </w:rPr>
        <w:t>the extent to which any prejudice could be lessened or avoided by:</w:t>
      </w:r>
    </w:p>
    <w:p w14:paraId="47F34FCB" w14:textId="77777777" w:rsidR="00B96464" w:rsidRPr="00CB1620" w:rsidRDefault="00B96464" w:rsidP="00B96464">
      <w:pPr>
        <w:ind w:left="720" w:hanging="360"/>
        <w:rPr>
          <w:rFonts w:ascii="Garamond" w:hAnsi="Garamond"/>
          <w:color w:val="7F7F7F" w:themeColor="text1" w:themeTint="80"/>
        </w:rPr>
      </w:pPr>
    </w:p>
    <w:p w14:paraId="5C48F643" w14:textId="77777777" w:rsidR="00B96464" w:rsidRPr="00CB1620" w:rsidRDefault="00B96464" w:rsidP="00B96464">
      <w:pPr>
        <w:ind w:left="720"/>
        <w:rPr>
          <w:rFonts w:ascii="Garamond" w:hAnsi="Garamond"/>
          <w:color w:val="7F7F7F" w:themeColor="text1" w:themeTint="80"/>
        </w:rPr>
      </w:pPr>
      <w:r w:rsidRPr="00CB1620">
        <w:rPr>
          <w:rFonts w:ascii="Garamond" w:hAnsi="Garamond"/>
          <w:color w:val="7F7F7F" w:themeColor="text1" w:themeTint="80"/>
        </w:rPr>
        <w:t>(A) protective provisions in the judgment;</w:t>
      </w:r>
    </w:p>
    <w:p w14:paraId="761C482C" w14:textId="77777777" w:rsidR="00B96464" w:rsidRPr="00CB1620" w:rsidRDefault="00B96464" w:rsidP="00B96464">
      <w:pPr>
        <w:ind w:left="720"/>
        <w:rPr>
          <w:rFonts w:ascii="Garamond" w:hAnsi="Garamond"/>
          <w:color w:val="7F7F7F" w:themeColor="text1" w:themeTint="80"/>
        </w:rPr>
      </w:pPr>
      <w:r w:rsidRPr="00CB1620">
        <w:rPr>
          <w:rFonts w:ascii="Garamond" w:hAnsi="Garamond"/>
          <w:color w:val="7F7F7F" w:themeColor="text1" w:themeTint="80"/>
        </w:rPr>
        <w:t>(B) shaping the relief; or</w:t>
      </w:r>
    </w:p>
    <w:p w14:paraId="3609A60A" w14:textId="77777777" w:rsidR="00B96464" w:rsidRPr="00CB1620" w:rsidRDefault="00B96464" w:rsidP="00B96464">
      <w:pPr>
        <w:ind w:left="720"/>
        <w:rPr>
          <w:rFonts w:ascii="Garamond" w:hAnsi="Garamond"/>
          <w:color w:val="7F7F7F" w:themeColor="text1" w:themeTint="80"/>
        </w:rPr>
      </w:pPr>
      <w:r w:rsidRPr="00CB1620">
        <w:rPr>
          <w:rFonts w:ascii="Garamond" w:hAnsi="Garamond"/>
          <w:color w:val="7F7F7F" w:themeColor="text1" w:themeTint="80"/>
        </w:rPr>
        <w:t>(C) other measures;</w:t>
      </w:r>
    </w:p>
    <w:p w14:paraId="2B339065" w14:textId="77777777" w:rsidR="00B96464" w:rsidRPr="00CB1620" w:rsidRDefault="00B96464" w:rsidP="00B96464">
      <w:pPr>
        <w:ind w:left="720"/>
        <w:rPr>
          <w:rFonts w:ascii="Garamond" w:hAnsi="Garamond"/>
          <w:color w:val="7F7F7F" w:themeColor="text1" w:themeTint="80"/>
        </w:rPr>
      </w:pPr>
    </w:p>
    <w:p w14:paraId="74374675" w14:textId="3E002721" w:rsidR="00B96464" w:rsidRPr="00CB1620" w:rsidRDefault="00B96464" w:rsidP="00B96464">
      <w:pPr>
        <w:ind w:left="720" w:hanging="360"/>
        <w:rPr>
          <w:rFonts w:ascii="Garamond" w:hAnsi="Garamond"/>
          <w:color w:val="7F7F7F" w:themeColor="text1" w:themeTint="80"/>
        </w:rPr>
      </w:pPr>
      <w:r w:rsidRPr="00CB1620">
        <w:rPr>
          <w:rFonts w:ascii="Garamond" w:hAnsi="Garamond"/>
          <w:color w:val="7F7F7F" w:themeColor="text1" w:themeTint="80"/>
        </w:rPr>
        <w:t xml:space="preserve">(3) </w:t>
      </w:r>
      <w:r w:rsidR="00E33B1C" w:rsidRPr="00CB1620">
        <w:rPr>
          <w:rFonts w:ascii="Garamond" w:hAnsi="Garamond"/>
          <w:color w:val="7F7F7F" w:themeColor="text1" w:themeTint="80"/>
        </w:rPr>
        <w:tab/>
      </w:r>
      <w:r w:rsidRPr="00CB1620">
        <w:rPr>
          <w:rFonts w:ascii="Garamond" w:hAnsi="Garamond"/>
          <w:color w:val="7F7F7F" w:themeColor="text1" w:themeTint="80"/>
        </w:rPr>
        <w:t>whether a judgment rendered in the person</w:t>
      </w:r>
      <w:r w:rsidR="00BF03C0" w:rsidRPr="00CB1620">
        <w:rPr>
          <w:rFonts w:ascii="Garamond" w:hAnsi="Garamond"/>
          <w:color w:val="7F7F7F" w:themeColor="text1" w:themeTint="80"/>
        </w:rPr>
        <w:t>’</w:t>
      </w:r>
      <w:r w:rsidRPr="00CB1620">
        <w:rPr>
          <w:rFonts w:ascii="Garamond" w:hAnsi="Garamond"/>
          <w:color w:val="7F7F7F" w:themeColor="text1" w:themeTint="80"/>
        </w:rPr>
        <w:t>s absence would be adequate; and</w:t>
      </w:r>
    </w:p>
    <w:p w14:paraId="0796F98F" w14:textId="77777777" w:rsidR="00B96464" w:rsidRPr="00CB1620" w:rsidRDefault="00B96464" w:rsidP="00B96464">
      <w:pPr>
        <w:ind w:left="720" w:hanging="360"/>
        <w:rPr>
          <w:rFonts w:ascii="Garamond" w:hAnsi="Garamond"/>
          <w:color w:val="7F7F7F" w:themeColor="text1" w:themeTint="80"/>
        </w:rPr>
      </w:pPr>
    </w:p>
    <w:p w14:paraId="45F08A96" w14:textId="77777777" w:rsidR="00B96464" w:rsidRPr="00CB1620" w:rsidRDefault="00B96464" w:rsidP="00B96464">
      <w:pPr>
        <w:ind w:left="720" w:hanging="360"/>
        <w:rPr>
          <w:rFonts w:ascii="Garamond" w:hAnsi="Garamond"/>
          <w:color w:val="7F7F7F" w:themeColor="text1" w:themeTint="80"/>
        </w:rPr>
      </w:pPr>
      <w:r w:rsidRPr="00CB1620">
        <w:rPr>
          <w:rFonts w:ascii="Garamond" w:hAnsi="Garamond"/>
          <w:color w:val="7F7F7F" w:themeColor="text1" w:themeTint="80"/>
        </w:rPr>
        <w:t xml:space="preserve">(4) </w:t>
      </w:r>
      <w:r w:rsidR="00E33B1C" w:rsidRPr="00CB1620">
        <w:rPr>
          <w:rFonts w:ascii="Garamond" w:hAnsi="Garamond"/>
          <w:color w:val="7F7F7F" w:themeColor="text1" w:themeTint="80"/>
        </w:rPr>
        <w:tab/>
      </w:r>
      <w:r w:rsidRPr="00CB1620">
        <w:rPr>
          <w:rFonts w:ascii="Garamond" w:hAnsi="Garamond"/>
          <w:color w:val="7F7F7F" w:themeColor="text1" w:themeTint="80"/>
        </w:rPr>
        <w:t>whether the plaintiff would have an adequate remedy if the action were dismissed for nonjoinder.</w:t>
      </w:r>
    </w:p>
    <w:sectPr w:rsidR="00B96464" w:rsidRPr="00CB1620" w:rsidSect="005D4ED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3710B" w14:textId="77777777" w:rsidR="000168F8" w:rsidRDefault="000168F8" w:rsidP="001D4518">
      <w:r>
        <w:separator/>
      </w:r>
    </w:p>
  </w:endnote>
  <w:endnote w:type="continuationSeparator" w:id="0">
    <w:p w14:paraId="0AC89AFB" w14:textId="77777777" w:rsidR="000168F8" w:rsidRDefault="000168F8" w:rsidP="001D4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9DD9B" w14:textId="77777777" w:rsidR="000168F8" w:rsidRDefault="000168F8" w:rsidP="001D4518">
      <w:r>
        <w:separator/>
      </w:r>
    </w:p>
  </w:footnote>
  <w:footnote w:type="continuationSeparator" w:id="0">
    <w:p w14:paraId="34AE34AE" w14:textId="77777777" w:rsidR="000168F8" w:rsidRDefault="000168F8" w:rsidP="001D45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23F"/>
    <w:rsid w:val="000005AF"/>
    <w:rsid w:val="00013E4F"/>
    <w:rsid w:val="00016485"/>
    <w:rsid w:val="000168F8"/>
    <w:rsid w:val="000604B6"/>
    <w:rsid w:val="00076ADA"/>
    <w:rsid w:val="000D0899"/>
    <w:rsid w:val="000E345C"/>
    <w:rsid w:val="000E7C76"/>
    <w:rsid w:val="000F7AF5"/>
    <w:rsid w:val="0013322A"/>
    <w:rsid w:val="00157E34"/>
    <w:rsid w:val="00194C80"/>
    <w:rsid w:val="001C200E"/>
    <w:rsid w:val="001C2474"/>
    <w:rsid w:val="001D4518"/>
    <w:rsid w:val="0027326E"/>
    <w:rsid w:val="00287192"/>
    <w:rsid w:val="002D6508"/>
    <w:rsid w:val="002F053E"/>
    <w:rsid w:val="00303C7E"/>
    <w:rsid w:val="0032604E"/>
    <w:rsid w:val="00350E60"/>
    <w:rsid w:val="0035623F"/>
    <w:rsid w:val="003A3CED"/>
    <w:rsid w:val="003C6650"/>
    <w:rsid w:val="00401682"/>
    <w:rsid w:val="004C3756"/>
    <w:rsid w:val="005056C8"/>
    <w:rsid w:val="00512042"/>
    <w:rsid w:val="005314E8"/>
    <w:rsid w:val="00544F4C"/>
    <w:rsid w:val="00552A67"/>
    <w:rsid w:val="00582EEA"/>
    <w:rsid w:val="005A1001"/>
    <w:rsid w:val="005B6B28"/>
    <w:rsid w:val="005D4ED5"/>
    <w:rsid w:val="005E096A"/>
    <w:rsid w:val="006531B1"/>
    <w:rsid w:val="006B50A2"/>
    <w:rsid w:val="006C1BB2"/>
    <w:rsid w:val="006D0DD1"/>
    <w:rsid w:val="00734933"/>
    <w:rsid w:val="00737CFA"/>
    <w:rsid w:val="00743295"/>
    <w:rsid w:val="00767849"/>
    <w:rsid w:val="007D65D2"/>
    <w:rsid w:val="007F7D96"/>
    <w:rsid w:val="00822E6E"/>
    <w:rsid w:val="00823697"/>
    <w:rsid w:val="00870492"/>
    <w:rsid w:val="008C640F"/>
    <w:rsid w:val="008E6F2A"/>
    <w:rsid w:val="00913FEB"/>
    <w:rsid w:val="00920B46"/>
    <w:rsid w:val="00946361"/>
    <w:rsid w:val="00952FC9"/>
    <w:rsid w:val="00955D7C"/>
    <w:rsid w:val="0095753F"/>
    <w:rsid w:val="009601D7"/>
    <w:rsid w:val="00971C4D"/>
    <w:rsid w:val="00982751"/>
    <w:rsid w:val="009A494C"/>
    <w:rsid w:val="009C0377"/>
    <w:rsid w:val="009D72A3"/>
    <w:rsid w:val="00A27E2B"/>
    <w:rsid w:val="00A450B3"/>
    <w:rsid w:val="00A95D4D"/>
    <w:rsid w:val="00AD2054"/>
    <w:rsid w:val="00AF218C"/>
    <w:rsid w:val="00B119C5"/>
    <w:rsid w:val="00B40B7E"/>
    <w:rsid w:val="00B45EE1"/>
    <w:rsid w:val="00B96464"/>
    <w:rsid w:val="00BE2ECC"/>
    <w:rsid w:val="00BF03C0"/>
    <w:rsid w:val="00C056A1"/>
    <w:rsid w:val="00C11DF2"/>
    <w:rsid w:val="00C1418A"/>
    <w:rsid w:val="00C27404"/>
    <w:rsid w:val="00C65866"/>
    <w:rsid w:val="00C903ED"/>
    <w:rsid w:val="00C93D18"/>
    <w:rsid w:val="00CB1620"/>
    <w:rsid w:val="00CB1774"/>
    <w:rsid w:val="00CB1D9C"/>
    <w:rsid w:val="00CC7735"/>
    <w:rsid w:val="00CD277B"/>
    <w:rsid w:val="00D41AE0"/>
    <w:rsid w:val="00D65A56"/>
    <w:rsid w:val="00D770AA"/>
    <w:rsid w:val="00D86066"/>
    <w:rsid w:val="00DD641B"/>
    <w:rsid w:val="00E33B1C"/>
    <w:rsid w:val="00EB07BD"/>
    <w:rsid w:val="00EC4F36"/>
    <w:rsid w:val="00EE248A"/>
    <w:rsid w:val="00EF0658"/>
    <w:rsid w:val="00F264F5"/>
    <w:rsid w:val="00F36C91"/>
    <w:rsid w:val="00F525BB"/>
    <w:rsid w:val="00F53139"/>
    <w:rsid w:val="00F63C5F"/>
    <w:rsid w:val="00F63E0E"/>
    <w:rsid w:val="00F65BC3"/>
    <w:rsid w:val="00FB5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A6C6BC"/>
  <w14:defaultImageDpi w14:val="32767"/>
  <w15:chartTrackingRefBased/>
  <w15:docId w15:val="{7B627C5F-B4B0-EB47-8FDE-CAB02D8AC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tutory-body-2em">
    <w:name w:val="statutory-body-2em"/>
    <w:basedOn w:val="Normal"/>
    <w:rsid w:val="0035623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statutory-body-3em">
    <w:name w:val="statutory-body-3em"/>
    <w:basedOn w:val="Normal"/>
    <w:rsid w:val="0035623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statutory-body">
    <w:name w:val="statutory-body"/>
    <w:basedOn w:val="Normal"/>
    <w:rsid w:val="00B9646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statutory-body-1em">
    <w:name w:val="statutory-body-1em"/>
    <w:basedOn w:val="Normal"/>
    <w:rsid w:val="00B9646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D451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D451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D45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0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Tomas Gomez</cp:lastModifiedBy>
  <cp:revision>89</cp:revision>
  <cp:lastPrinted>2018-10-26T04:30:00Z</cp:lastPrinted>
  <dcterms:created xsi:type="dcterms:W3CDTF">2018-10-26T03:19:00Z</dcterms:created>
  <dcterms:modified xsi:type="dcterms:W3CDTF">2025-08-11T23:33:00Z</dcterms:modified>
</cp:coreProperties>
</file>