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3C75A4" w14:textId="058D42D2" w:rsidR="00CE26EA" w:rsidRPr="00F96D2C" w:rsidRDefault="00000000">
      <w:pPr>
        <w:spacing w:line="275" w:lineRule="atLeast"/>
        <w:jc w:val="center"/>
        <w:rPr>
          <w:rFonts w:ascii="Garamond" w:hAnsi="Garamond"/>
          <w:color w:val="000000" w:themeColor="text1"/>
        </w:rPr>
      </w:pPr>
      <w:r w:rsidRPr="00F96D2C">
        <w:rPr>
          <w:rFonts w:ascii="Garamond" w:hAnsi="Garamond"/>
          <w:color w:val="000000" w:themeColor="text1"/>
        </w:rPr>
        <w:t>143 S.</w:t>
      </w:r>
      <w:r w:rsidR="00E44E64" w:rsidRPr="00F96D2C">
        <w:rPr>
          <w:rFonts w:ascii="Garamond" w:hAnsi="Garamond"/>
          <w:color w:val="000000" w:themeColor="text1"/>
        </w:rPr>
        <w:t xml:space="preserve"> </w:t>
      </w:r>
      <w:r w:rsidRPr="00F96D2C">
        <w:rPr>
          <w:rFonts w:ascii="Garamond" w:hAnsi="Garamond"/>
          <w:color w:val="000000" w:themeColor="text1"/>
        </w:rPr>
        <w:t>Ct. 2028</w:t>
      </w:r>
    </w:p>
    <w:p w14:paraId="0579C92F" w14:textId="77777777" w:rsidR="00CE26EA" w:rsidRPr="00F96D2C" w:rsidRDefault="00000000">
      <w:pPr>
        <w:spacing w:line="275" w:lineRule="atLeast"/>
        <w:jc w:val="center"/>
        <w:rPr>
          <w:rFonts w:ascii="Garamond" w:hAnsi="Garamond"/>
          <w:color w:val="000000" w:themeColor="text1"/>
        </w:rPr>
      </w:pPr>
      <w:r w:rsidRPr="00F96D2C">
        <w:rPr>
          <w:rFonts w:ascii="Garamond" w:hAnsi="Garamond"/>
          <w:color w:val="000000" w:themeColor="text1"/>
        </w:rPr>
        <w:t>Supreme Court of the United States.</w:t>
      </w:r>
    </w:p>
    <w:p w14:paraId="2C27B0D2" w14:textId="77777777" w:rsidR="00CE26EA" w:rsidRPr="00F96D2C" w:rsidRDefault="00000000">
      <w:pPr>
        <w:spacing w:before="200" w:line="300" w:lineRule="atLeast"/>
        <w:ind w:left="100" w:right="100"/>
        <w:jc w:val="center"/>
        <w:rPr>
          <w:rFonts w:ascii="Garamond" w:hAnsi="Garamond"/>
          <w:color w:val="000000" w:themeColor="text1"/>
        </w:rPr>
      </w:pPr>
      <w:r w:rsidRPr="00F96D2C">
        <w:rPr>
          <w:rFonts w:ascii="Garamond" w:hAnsi="Garamond"/>
          <w:color w:val="000000" w:themeColor="text1"/>
        </w:rPr>
        <w:t>Robert MALLORY, Petitioner</w:t>
      </w:r>
    </w:p>
    <w:p w14:paraId="09B72A3B" w14:textId="77777777" w:rsidR="00CE26EA" w:rsidRPr="00F96D2C" w:rsidRDefault="00000000">
      <w:pPr>
        <w:spacing w:line="300" w:lineRule="atLeast"/>
        <w:ind w:left="100" w:right="100"/>
        <w:jc w:val="center"/>
        <w:rPr>
          <w:rFonts w:ascii="Garamond" w:hAnsi="Garamond"/>
          <w:color w:val="000000" w:themeColor="text1"/>
        </w:rPr>
      </w:pPr>
      <w:r w:rsidRPr="00F96D2C">
        <w:rPr>
          <w:rFonts w:ascii="Garamond" w:hAnsi="Garamond"/>
          <w:color w:val="000000" w:themeColor="text1"/>
        </w:rPr>
        <w:t>v.</w:t>
      </w:r>
    </w:p>
    <w:p w14:paraId="52DBC6EA" w14:textId="77777777" w:rsidR="00CE26EA" w:rsidRPr="00F96D2C" w:rsidRDefault="00000000">
      <w:pPr>
        <w:spacing w:line="300" w:lineRule="atLeast"/>
        <w:ind w:left="100" w:right="100"/>
        <w:jc w:val="center"/>
        <w:rPr>
          <w:rFonts w:ascii="Garamond" w:hAnsi="Garamond"/>
          <w:color w:val="000000" w:themeColor="text1"/>
        </w:rPr>
      </w:pPr>
      <w:r w:rsidRPr="00F96D2C">
        <w:rPr>
          <w:rFonts w:ascii="Garamond" w:hAnsi="Garamond"/>
          <w:color w:val="000000" w:themeColor="text1"/>
        </w:rPr>
        <w:t>NORFOLK SOUTHERN RAILWAY CO.</w:t>
      </w:r>
    </w:p>
    <w:p w14:paraId="7ABD5429" w14:textId="77777777" w:rsidR="004D1748" w:rsidRPr="00F96D2C" w:rsidRDefault="004D1748">
      <w:pPr>
        <w:pBdr>
          <w:left w:val="none" w:sz="0" w:space="8" w:color="auto"/>
        </w:pBdr>
        <w:spacing w:line="275" w:lineRule="atLeast"/>
        <w:ind w:left="150"/>
        <w:jc w:val="center"/>
        <w:rPr>
          <w:rFonts w:ascii="Garamond" w:hAnsi="Garamond"/>
          <w:color w:val="000000" w:themeColor="text1"/>
        </w:rPr>
      </w:pPr>
    </w:p>
    <w:p w14:paraId="4CBCDC45" w14:textId="227B9985" w:rsidR="00CE26EA" w:rsidRPr="00F96D2C" w:rsidRDefault="00000000">
      <w:pPr>
        <w:pBdr>
          <w:left w:val="none" w:sz="0" w:space="8" w:color="auto"/>
        </w:pBdr>
        <w:spacing w:line="275" w:lineRule="atLeast"/>
        <w:ind w:left="150"/>
        <w:jc w:val="center"/>
        <w:rPr>
          <w:rFonts w:ascii="Garamond" w:hAnsi="Garamond"/>
          <w:color w:val="000000" w:themeColor="text1"/>
        </w:rPr>
      </w:pPr>
      <w:r w:rsidRPr="00F96D2C">
        <w:rPr>
          <w:rFonts w:ascii="Garamond" w:hAnsi="Garamond"/>
          <w:color w:val="000000" w:themeColor="text1"/>
        </w:rPr>
        <w:t>Decided June 27, 2023</w:t>
      </w:r>
    </w:p>
    <w:p w14:paraId="277DF779" w14:textId="77777777" w:rsidR="00CE26EA" w:rsidRPr="00F96D2C" w:rsidRDefault="00000000">
      <w:pPr>
        <w:keepNext/>
        <w:keepLines/>
        <w:spacing w:before="200" w:line="275" w:lineRule="atLeast"/>
        <w:jc w:val="both"/>
        <w:rPr>
          <w:rFonts w:ascii="Garamond" w:hAnsi="Garamond"/>
          <w:color w:val="000000" w:themeColor="text1"/>
        </w:rPr>
      </w:pPr>
      <w:bookmarkStart w:id="0" w:name="co_opinion_1"/>
      <w:r w:rsidRPr="00F96D2C">
        <w:rPr>
          <w:rFonts w:ascii="Garamond" w:hAnsi="Garamond"/>
          <w:b/>
          <w:color w:val="000000" w:themeColor="text1"/>
        </w:rPr>
        <w:t>Opinion</w:t>
      </w:r>
    </w:p>
    <w:p w14:paraId="268BA4D1" w14:textId="15921A88" w:rsidR="00CE26EA" w:rsidRPr="00F96D2C" w:rsidRDefault="00000000">
      <w:pPr>
        <w:spacing w:before="200" w:line="275" w:lineRule="atLeast"/>
        <w:jc w:val="both"/>
        <w:rPr>
          <w:rFonts w:ascii="Garamond" w:hAnsi="Garamond"/>
          <w:color w:val="000000" w:themeColor="text1"/>
        </w:rPr>
      </w:pPr>
      <w:bookmarkStart w:id="1" w:name="co_anchor_Iba0825a2307f11eeb5b7c8ccde3d"/>
      <w:bookmarkEnd w:id="0"/>
      <w:r w:rsidRPr="00F96D2C">
        <w:rPr>
          <w:rFonts w:ascii="Garamond" w:hAnsi="Garamond"/>
          <w:color w:val="000000" w:themeColor="text1"/>
        </w:rPr>
        <w:t>Justice GORSUCH announced the judgment of the Court and delivered the opinion of the Court with respect to Parts I and III–B, and an opinion with respect to Parts II, III–A, and IV, in which Justice THOMAS, Justice SOTOMAYOR, and Justice JACKSON join.</w:t>
      </w:r>
    </w:p>
    <w:p w14:paraId="563EA0D2" w14:textId="7A3DD54B" w:rsidR="00CE26EA" w:rsidRPr="00F96D2C" w:rsidRDefault="00000000">
      <w:pPr>
        <w:spacing w:before="200" w:line="275" w:lineRule="atLeast"/>
        <w:jc w:val="both"/>
        <w:rPr>
          <w:rFonts w:ascii="Garamond" w:hAnsi="Garamond"/>
          <w:color w:val="000000" w:themeColor="text1"/>
        </w:rPr>
      </w:pPr>
      <w:bookmarkStart w:id="2" w:name="co_anchor_Iba306e25307f11eeb5b7c8ccde3d"/>
      <w:bookmarkEnd w:id="1"/>
      <w:r w:rsidRPr="00F96D2C">
        <w:rPr>
          <w:rFonts w:ascii="Garamond" w:hAnsi="Garamond"/>
          <w:color w:val="000000" w:themeColor="text1"/>
        </w:rPr>
        <w:t>Imagine a lawsuit based on recent events. A few months ago, a Norfolk Southern train derailed in Ohio near the Pennsylvania border. Its cargo? Hazardous chemicals. Some poured into a nearby creek; some burst into flames. In the aftermath, many residents reported unusual symptoms. Sup</w:t>
      </w:r>
      <w:r w:rsidR="00BE6770">
        <w:rPr>
          <w:rFonts w:ascii="Garamond" w:hAnsi="Garamond"/>
          <w:color w:val="000000" w:themeColor="text1"/>
        </w:rPr>
        <w:softHyphen/>
      </w:r>
      <w:r w:rsidRPr="00F96D2C">
        <w:rPr>
          <w:rFonts w:ascii="Garamond" w:hAnsi="Garamond"/>
          <w:color w:val="000000" w:themeColor="text1"/>
        </w:rPr>
        <w:t>pose an Ohio resident sued the train conductor seeking compensation for an illness attributed to the accident. Suppose, too, that the plaintiff served his complaint on the conductor across the border in Pennsylvania. Everyone before us agrees a Penn</w:t>
      </w:r>
      <w:r w:rsidR="00BE6770">
        <w:rPr>
          <w:rFonts w:ascii="Garamond" w:hAnsi="Garamond"/>
          <w:color w:val="000000" w:themeColor="text1"/>
        </w:rPr>
        <w:softHyphen/>
      </w:r>
      <w:r w:rsidRPr="00F96D2C">
        <w:rPr>
          <w:rFonts w:ascii="Garamond" w:hAnsi="Garamond"/>
          <w:color w:val="000000" w:themeColor="text1"/>
        </w:rPr>
        <w:t>sylvania court could hear that lawsuit consistent with the Due Process Clause of the Fourteenth Amendment. The court could do so even if the conductor was a Virginia resident who just happened to be passing through Pennsylvania when the process server caught up with him.</w:t>
      </w:r>
    </w:p>
    <w:bookmarkEnd w:id="2"/>
    <w:p w14:paraId="3BAC694A"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77A6B6AF" w14:textId="14189DF2" w:rsidR="00CE26EA" w:rsidRDefault="00000000">
      <w:pPr>
        <w:spacing w:line="275" w:lineRule="atLeast"/>
        <w:jc w:val="both"/>
        <w:rPr>
          <w:rFonts w:ascii="Garamond" w:hAnsi="Garamond"/>
          <w:color w:val="000000" w:themeColor="text1"/>
        </w:rPr>
      </w:pPr>
      <w:r w:rsidRPr="00F96D2C">
        <w:rPr>
          <w:rFonts w:ascii="Garamond" w:hAnsi="Garamond"/>
          <w:color w:val="000000" w:themeColor="text1"/>
        </w:rPr>
        <w:t>Now, change the hypothetical slightly. Imagine the same Ohio resident brought the same suit in the same Pennsylvania state court, but this time against Norfolk Southern. Assume, too, the company has filed paperwork consenting to appear in Pennsyl</w:t>
      </w:r>
      <w:r w:rsidR="00BE6770">
        <w:rPr>
          <w:rFonts w:ascii="Garamond" w:hAnsi="Garamond"/>
          <w:color w:val="000000" w:themeColor="text1"/>
        </w:rPr>
        <w:softHyphen/>
      </w:r>
      <w:r w:rsidRPr="00F96D2C">
        <w:rPr>
          <w:rFonts w:ascii="Garamond" w:hAnsi="Garamond"/>
          <w:color w:val="000000" w:themeColor="text1"/>
        </w:rPr>
        <w:t>vania courts as a condition of registering to do business in the Commonwealth. Could a Pennsyl</w:t>
      </w:r>
      <w:r w:rsidR="00BE6770">
        <w:rPr>
          <w:rFonts w:ascii="Garamond" w:hAnsi="Garamond"/>
          <w:color w:val="000000" w:themeColor="text1"/>
        </w:rPr>
        <w:softHyphen/>
      </w:r>
      <w:r w:rsidRPr="00F96D2C">
        <w:rPr>
          <w:rFonts w:ascii="Garamond" w:hAnsi="Garamond"/>
          <w:color w:val="000000" w:themeColor="text1"/>
        </w:rPr>
        <w:t xml:space="preserve">vania court hear that case too? You might think so. But today, Norfolk Southern argues that the Due Process Clause entitles it to a more favorable rule, one shielding it from suits even its employees must </w:t>
      </w:r>
      <w:r w:rsidRPr="00F96D2C">
        <w:rPr>
          <w:rFonts w:ascii="Garamond" w:hAnsi="Garamond"/>
          <w:color w:val="000000" w:themeColor="text1"/>
        </w:rPr>
        <w:t>answer. We reject the company</w:t>
      </w:r>
      <w:r w:rsidR="005C058E">
        <w:rPr>
          <w:rFonts w:ascii="Garamond" w:hAnsi="Garamond"/>
          <w:color w:val="000000" w:themeColor="text1"/>
        </w:rPr>
        <w:t>’</w:t>
      </w:r>
      <w:r w:rsidRPr="00F96D2C">
        <w:rPr>
          <w:rFonts w:ascii="Garamond" w:hAnsi="Garamond"/>
          <w:color w:val="000000" w:themeColor="text1"/>
        </w:rPr>
        <w:t>s argument. Nothing in the Due Process Clause requires such an incongruous result.</w:t>
      </w:r>
    </w:p>
    <w:p w14:paraId="2964133E" w14:textId="77777777" w:rsidR="00B54F6F" w:rsidRPr="00F96D2C" w:rsidRDefault="00B54F6F">
      <w:pPr>
        <w:spacing w:line="275" w:lineRule="atLeast"/>
        <w:jc w:val="both"/>
        <w:rPr>
          <w:rFonts w:ascii="Garamond" w:hAnsi="Garamond"/>
          <w:color w:val="000000" w:themeColor="text1"/>
        </w:rPr>
      </w:pPr>
    </w:p>
    <w:p w14:paraId="51BB4651" w14:textId="77777777" w:rsidR="00CE26EA" w:rsidRPr="00F96D2C" w:rsidRDefault="00000000" w:rsidP="00B54F6F">
      <w:pPr>
        <w:spacing w:line="275" w:lineRule="atLeast"/>
        <w:jc w:val="center"/>
        <w:rPr>
          <w:rFonts w:ascii="Garamond" w:hAnsi="Garamond"/>
          <w:color w:val="000000" w:themeColor="text1"/>
        </w:rPr>
      </w:pPr>
      <w:bookmarkStart w:id="3" w:name="co_anchor_Iba31cdb1307f11eeb5b7c8ccde3d"/>
      <w:r w:rsidRPr="00F96D2C">
        <w:rPr>
          <w:rFonts w:ascii="Garamond" w:hAnsi="Garamond"/>
          <w:color w:val="000000" w:themeColor="text1"/>
        </w:rPr>
        <w:t>I</w:t>
      </w:r>
    </w:p>
    <w:bookmarkEnd w:id="3"/>
    <w:p w14:paraId="18857D40" w14:textId="6BD7DF57" w:rsidR="00CE26EA" w:rsidRPr="00F96D2C" w:rsidRDefault="00000000">
      <w:pPr>
        <w:spacing w:before="200" w:line="275" w:lineRule="atLeast"/>
        <w:jc w:val="both"/>
        <w:rPr>
          <w:rFonts w:ascii="Garamond" w:hAnsi="Garamond"/>
          <w:color w:val="000000" w:themeColor="text1"/>
        </w:rPr>
      </w:pPr>
      <w:r w:rsidRPr="00F96D2C">
        <w:rPr>
          <w:rFonts w:ascii="Garamond" w:hAnsi="Garamond"/>
          <w:color w:val="000000" w:themeColor="text1"/>
        </w:rPr>
        <w:t>Robert Mallory worked for Norfolk Southern as a freight-car mechanic for nearly 20 years, first in Ohio, then in Virginia. During his time with the company, Mr. Mallory contends, he was responsible for spraying boxcar pipes with asbestos and handling chemicals in the railroad</w:t>
      </w:r>
      <w:r w:rsidR="005C058E">
        <w:rPr>
          <w:rFonts w:ascii="Garamond" w:hAnsi="Garamond"/>
          <w:color w:val="000000" w:themeColor="text1"/>
        </w:rPr>
        <w:t>’</w:t>
      </w:r>
      <w:r w:rsidRPr="00F96D2C">
        <w:rPr>
          <w:rFonts w:ascii="Garamond" w:hAnsi="Garamond"/>
          <w:color w:val="000000" w:themeColor="text1"/>
        </w:rPr>
        <w:t>s paint shop. He also demolished car interiors that, he alleges, contained carcinogens.</w:t>
      </w:r>
      <w:r w:rsidR="0049116D" w:rsidRPr="00F96D2C">
        <w:rPr>
          <w:rFonts w:ascii="Garamond" w:hAnsi="Garamond"/>
          <w:color w:val="000000" w:themeColor="text1"/>
        </w:rPr>
        <w:t xml:space="preserve"> [He filed suit against Norfolk Southern in Pennsylvania</w:t>
      </w:r>
      <w:r w:rsidR="00994C21" w:rsidRPr="00F96D2C">
        <w:rPr>
          <w:rFonts w:ascii="Garamond" w:hAnsi="Garamond"/>
          <w:color w:val="000000" w:themeColor="text1"/>
        </w:rPr>
        <w:t xml:space="preserve"> </w:t>
      </w:r>
      <w:r w:rsidR="009525BD">
        <w:rPr>
          <w:rFonts w:ascii="Garamond" w:hAnsi="Garamond"/>
          <w:color w:val="000000" w:themeColor="text1"/>
        </w:rPr>
        <w:t xml:space="preserve">state court </w:t>
      </w:r>
      <w:r w:rsidR="00994C21" w:rsidRPr="00F96D2C">
        <w:rPr>
          <w:rFonts w:ascii="Garamond" w:hAnsi="Garamond"/>
          <w:color w:val="000000" w:themeColor="text1"/>
        </w:rPr>
        <w:t>for violating federal law</w:t>
      </w:r>
      <w:r w:rsidR="0049116D" w:rsidRPr="00F96D2C">
        <w:rPr>
          <w:rFonts w:ascii="Garamond" w:hAnsi="Garamond"/>
          <w:color w:val="000000" w:themeColor="text1"/>
        </w:rPr>
        <w:t>.]</w:t>
      </w:r>
    </w:p>
    <w:p w14:paraId="087A6695" w14:textId="77777777" w:rsidR="00B61810" w:rsidRDefault="00994C21">
      <w:pPr>
        <w:spacing w:line="275" w:lineRule="atLeast"/>
        <w:jc w:val="both"/>
        <w:rPr>
          <w:rFonts w:ascii="Garamond" w:hAnsi="Garamond"/>
          <w:color w:val="000000" w:themeColor="text1"/>
        </w:rPr>
      </w:pPr>
      <w:r w:rsidRPr="00F96D2C">
        <w:rPr>
          <w:rFonts w:ascii="Garamond" w:hAnsi="Garamond"/>
          <w:color w:val="000000" w:themeColor="text1"/>
        </w:rPr>
        <w:t>. . .</w:t>
      </w:r>
      <w:bookmarkStart w:id="4" w:name="co_anchor_B12075406916_1"/>
      <w:bookmarkEnd w:id="4"/>
    </w:p>
    <w:p w14:paraId="6DB3D345" w14:textId="4AC87D44"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57184C07" w14:textId="6AEFE624" w:rsidR="00CE26EA" w:rsidRDefault="00000000">
      <w:pPr>
        <w:spacing w:line="275" w:lineRule="atLeast"/>
        <w:jc w:val="both"/>
        <w:rPr>
          <w:rFonts w:ascii="Garamond" w:hAnsi="Garamond"/>
          <w:color w:val="000000" w:themeColor="text1"/>
        </w:rPr>
      </w:pPr>
      <w:r w:rsidRPr="00F96D2C">
        <w:rPr>
          <w:rFonts w:ascii="Garamond" w:hAnsi="Garamond"/>
          <w:color w:val="000000" w:themeColor="text1"/>
        </w:rPr>
        <w:t>Ultimately, the Pennsylvania Supreme Court sided with Norfolk Southern. Yes, Mr. Mallory correctly read Pennsylvania law. It requires an out-of-state firm to answer any suits against it in exchange for status as a registered foreign corporation and the benefits that entails. But, no, the court held, Mr. Mallory could not invoke that law because it violates the Due Process Clause.</w:t>
      </w:r>
      <w:r w:rsidR="00233725" w:rsidRPr="00F96D2C">
        <w:rPr>
          <w:rFonts w:ascii="Garamond" w:hAnsi="Garamond"/>
          <w:color w:val="000000" w:themeColor="text1"/>
        </w:rPr>
        <w:t xml:space="preserve"> . . .</w:t>
      </w:r>
    </w:p>
    <w:p w14:paraId="6245CCF1" w14:textId="77777777" w:rsidR="00FC58F4" w:rsidRPr="00F96D2C" w:rsidRDefault="00FC58F4">
      <w:pPr>
        <w:spacing w:line="275" w:lineRule="atLeast"/>
        <w:jc w:val="both"/>
        <w:rPr>
          <w:rFonts w:ascii="Garamond" w:hAnsi="Garamond"/>
          <w:color w:val="000000" w:themeColor="text1"/>
        </w:rPr>
      </w:pPr>
    </w:p>
    <w:p w14:paraId="5A297C9C" w14:textId="77777777" w:rsidR="00CE26EA" w:rsidRPr="00F96D2C" w:rsidRDefault="00000000" w:rsidP="00FC58F4">
      <w:pPr>
        <w:spacing w:line="275" w:lineRule="atLeast"/>
        <w:jc w:val="center"/>
        <w:rPr>
          <w:rFonts w:ascii="Garamond" w:hAnsi="Garamond"/>
          <w:color w:val="000000" w:themeColor="text1"/>
        </w:rPr>
      </w:pPr>
      <w:bookmarkStart w:id="5" w:name="co_anchor_Iba35c551307f11eeb5b7c8ccde3d"/>
      <w:r w:rsidRPr="00F96D2C">
        <w:rPr>
          <w:rFonts w:ascii="Garamond" w:hAnsi="Garamond"/>
          <w:color w:val="000000" w:themeColor="text1"/>
        </w:rPr>
        <w:t>II</w:t>
      </w:r>
    </w:p>
    <w:bookmarkEnd w:id="5"/>
    <w:p w14:paraId="791F4970" w14:textId="063D0EE5" w:rsidR="00CE26EA" w:rsidRPr="00F96D2C" w:rsidRDefault="00000000" w:rsidP="00E93862">
      <w:pPr>
        <w:spacing w:before="200" w:line="275" w:lineRule="atLeast"/>
        <w:jc w:val="both"/>
        <w:rPr>
          <w:rFonts w:ascii="Garamond" w:hAnsi="Garamond"/>
          <w:color w:val="000000" w:themeColor="text1"/>
        </w:rPr>
      </w:pPr>
      <w:r w:rsidRPr="00F96D2C">
        <w:rPr>
          <w:rFonts w:ascii="Garamond" w:hAnsi="Garamond"/>
          <w:color w:val="000000" w:themeColor="text1"/>
        </w:rPr>
        <w:t xml:space="preserve">The question before us is not a new one. In truth, it is a very old question—and one this Court resolved in </w:t>
      </w:r>
      <w:r w:rsidRPr="00F96D2C">
        <w:rPr>
          <w:rFonts w:ascii="Garamond" w:hAnsi="Garamond"/>
          <w:i/>
          <w:color w:val="000000" w:themeColor="text1"/>
        </w:rPr>
        <w:t>Pennsylvania Fire Ins. Co. of Philadelphia v. Gold Issue Mining &amp; Milling Co.</w:t>
      </w:r>
      <w:r w:rsidRPr="00F96D2C">
        <w:rPr>
          <w:rFonts w:ascii="Garamond" w:hAnsi="Garamond"/>
          <w:color w:val="000000" w:themeColor="text1"/>
        </w:rPr>
        <w:t xml:space="preserve"> (1917). There, the Court unanimously held that laws like Pennsylvania</w:t>
      </w:r>
      <w:r w:rsidR="005C058E">
        <w:rPr>
          <w:rFonts w:ascii="Garamond" w:hAnsi="Garamond"/>
          <w:color w:val="000000" w:themeColor="text1"/>
        </w:rPr>
        <w:t>’</w:t>
      </w:r>
      <w:r w:rsidRPr="00F96D2C">
        <w:rPr>
          <w:rFonts w:ascii="Garamond" w:hAnsi="Garamond"/>
          <w:color w:val="000000" w:themeColor="text1"/>
        </w:rPr>
        <w:t xml:space="preserve">s comport with the Due Process Clause. </w:t>
      </w:r>
      <w:r w:rsidR="00E44E64" w:rsidRPr="00F96D2C">
        <w:rPr>
          <w:rFonts w:ascii="Garamond" w:hAnsi="Garamond"/>
          <w:color w:val="000000" w:themeColor="text1"/>
        </w:rPr>
        <w:t xml:space="preserve">. . . </w:t>
      </w:r>
    </w:p>
    <w:p w14:paraId="65CC0D0C" w14:textId="77777777" w:rsidR="00127360" w:rsidRDefault="00127360" w:rsidP="00127360">
      <w:pPr>
        <w:spacing w:line="275" w:lineRule="atLeast"/>
        <w:jc w:val="center"/>
        <w:rPr>
          <w:rFonts w:ascii="Garamond" w:hAnsi="Garamond"/>
          <w:color w:val="000000" w:themeColor="text1"/>
        </w:rPr>
      </w:pPr>
      <w:bookmarkStart w:id="6" w:name="co_anchor_Iba3e9ef1307f11eeb5b7c8ccde3d"/>
    </w:p>
    <w:p w14:paraId="40513889" w14:textId="15B1EC89" w:rsidR="00CE26EA" w:rsidRPr="00F96D2C" w:rsidRDefault="00000000" w:rsidP="00127360">
      <w:pPr>
        <w:spacing w:line="275" w:lineRule="atLeast"/>
        <w:jc w:val="center"/>
        <w:rPr>
          <w:rFonts w:ascii="Garamond" w:hAnsi="Garamond"/>
          <w:color w:val="000000" w:themeColor="text1"/>
        </w:rPr>
      </w:pPr>
      <w:r w:rsidRPr="00F96D2C">
        <w:rPr>
          <w:rFonts w:ascii="Garamond" w:hAnsi="Garamond"/>
          <w:color w:val="000000" w:themeColor="text1"/>
        </w:rPr>
        <w:t>III</w:t>
      </w:r>
    </w:p>
    <w:bookmarkEnd w:id="6"/>
    <w:p w14:paraId="6C19C569" w14:textId="009FEC44" w:rsidR="00CE26EA" w:rsidRPr="00F96D2C" w:rsidRDefault="00E44E64" w:rsidP="00127360">
      <w:pPr>
        <w:spacing w:line="275" w:lineRule="atLeast"/>
        <w:jc w:val="both"/>
        <w:rPr>
          <w:rFonts w:ascii="Garamond" w:hAnsi="Garamond"/>
          <w:color w:val="000000" w:themeColor="text1"/>
        </w:rPr>
      </w:pPr>
      <w:r w:rsidRPr="00F96D2C">
        <w:rPr>
          <w:rFonts w:ascii="Garamond" w:hAnsi="Garamond"/>
          <w:color w:val="000000" w:themeColor="text1"/>
        </w:rPr>
        <w:t>. . .</w:t>
      </w:r>
    </w:p>
    <w:p w14:paraId="33B74E2C" w14:textId="77777777" w:rsidR="00CE26EA" w:rsidRPr="00F96D2C" w:rsidRDefault="00000000" w:rsidP="00127360">
      <w:pPr>
        <w:spacing w:line="275" w:lineRule="atLeast"/>
        <w:jc w:val="center"/>
        <w:rPr>
          <w:rFonts w:ascii="Garamond" w:hAnsi="Garamond"/>
          <w:color w:val="000000" w:themeColor="text1"/>
        </w:rPr>
      </w:pPr>
      <w:bookmarkStart w:id="7" w:name="co_anchor_Iba441d31307f11eeb5b7c8ccde3d"/>
      <w:r w:rsidRPr="00F96D2C">
        <w:rPr>
          <w:rFonts w:ascii="Garamond" w:hAnsi="Garamond"/>
          <w:color w:val="000000" w:themeColor="text1"/>
        </w:rPr>
        <w:t>B</w:t>
      </w:r>
    </w:p>
    <w:p w14:paraId="1A3EBFBC" w14:textId="28B62E81" w:rsidR="00CE26EA" w:rsidRPr="00F96D2C" w:rsidRDefault="00000000">
      <w:pPr>
        <w:spacing w:before="200" w:line="275" w:lineRule="atLeast"/>
        <w:jc w:val="both"/>
        <w:rPr>
          <w:rFonts w:ascii="Garamond" w:hAnsi="Garamond"/>
          <w:color w:val="000000" w:themeColor="text1"/>
        </w:rPr>
      </w:pPr>
      <w:bookmarkStart w:id="8" w:name="co_anchor_B22075406916_1"/>
      <w:bookmarkStart w:id="9" w:name="co_anchor_B32075406916_1"/>
      <w:bookmarkStart w:id="10" w:name="co_anchor_B42075406916_1"/>
      <w:bookmarkStart w:id="11" w:name="co_anchor_B52075406916_1"/>
      <w:bookmarkEnd w:id="7"/>
      <w:bookmarkEnd w:id="8"/>
      <w:bookmarkEnd w:id="9"/>
      <w:bookmarkEnd w:id="10"/>
      <w:bookmarkEnd w:id="11"/>
      <w:r w:rsidRPr="00F96D2C">
        <w:rPr>
          <w:rFonts w:ascii="Garamond" w:hAnsi="Garamond"/>
          <w:i/>
          <w:color w:val="000000" w:themeColor="text1"/>
        </w:rPr>
        <w:t>Pennsylvania Fire</w:t>
      </w:r>
      <w:r w:rsidRPr="00F96D2C">
        <w:rPr>
          <w:rFonts w:ascii="Garamond" w:hAnsi="Garamond"/>
          <w:color w:val="000000" w:themeColor="text1"/>
        </w:rPr>
        <w:t xml:space="preserve"> controls this case. Much like the Missouri law at issue there, the Pennsylvania law at issue here provides that an out-of-state corporation “may not do business in this Commonwealth until it registers with” the Department of State. As part of the registration process, a corporation must identify an “office” it will “continuously maintain” in the Commonwealth. Upon completing these require</w:t>
      </w:r>
      <w:r w:rsidR="00343BBB">
        <w:rPr>
          <w:rFonts w:ascii="Garamond" w:hAnsi="Garamond"/>
          <w:color w:val="000000" w:themeColor="text1"/>
        </w:rPr>
        <w:softHyphen/>
      </w:r>
      <w:r w:rsidRPr="00F96D2C">
        <w:rPr>
          <w:rFonts w:ascii="Garamond" w:hAnsi="Garamond"/>
          <w:color w:val="000000" w:themeColor="text1"/>
        </w:rPr>
        <w:lastRenderedPageBreak/>
        <w:t>ments, the corporation “shall enjoy the same rights and privileges as a domestic entity and shall be subject to the same liabilities, restrictions, duties and penalties ... imposed on domestic entities.” Among other things, Pennsylvania law is explicit that “quali</w:t>
      </w:r>
      <w:r w:rsidR="00BD6FB7">
        <w:rPr>
          <w:rFonts w:ascii="Garamond" w:hAnsi="Garamond"/>
          <w:color w:val="000000" w:themeColor="text1"/>
        </w:rPr>
        <w:softHyphen/>
      </w:r>
      <w:r w:rsidRPr="00F96D2C">
        <w:rPr>
          <w:rFonts w:ascii="Garamond" w:hAnsi="Garamond"/>
          <w:color w:val="000000" w:themeColor="text1"/>
        </w:rPr>
        <w:t>fication as a foreign corporation” shall permit state courts to “exercise general personal jurisdiction” over a registered foreign corporation, just as they can over domestic corporations.</w:t>
      </w:r>
    </w:p>
    <w:p w14:paraId="7A5E8C59" w14:textId="68C9D362" w:rsidR="00CE26EA" w:rsidRPr="00F96D2C" w:rsidRDefault="003F4979">
      <w:pPr>
        <w:spacing w:line="275" w:lineRule="atLeast"/>
        <w:jc w:val="both"/>
        <w:rPr>
          <w:rFonts w:ascii="Garamond" w:hAnsi="Garamond"/>
          <w:color w:val="000000" w:themeColor="text1"/>
        </w:rPr>
      </w:pPr>
      <w:r>
        <w:rPr>
          <w:rFonts w:ascii="Garamond" w:hAnsi="Garamond"/>
          <w:color w:val="000000" w:themeColor="text1"/>
        </w:rPr>
        <w:t>. . .</w:t>
      </w:r>
    </w:p>
    <w:p w14:paraId="183B24E6"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7490E297" w14:textId="0A51530A" w:rsidR="00CE26EA" w:rsidRPr="00F96D2C" w:rsidRDefault="00000000">
      <w:pPr>
        <w:spacing w:line="275" w:lineRule="atLeast"/>
        <w:jc w:val="both"/>
        <w:rPr>
          <w:rFonts w:ascii="Garamond" w:hAnsi="Garamond"/>
          <w:color w:val="000000" w:themeColor="text1"/>
        </w:rPr>
      </w:pPr>
      <w:r w:rsidRPr="00F96D2C">
        <w:rPr>
          <w:rFonts w:ascii="Garamond" w:hAnsi="Garamond"/>
          <w:i/>
          <w:color w:val="000000" w:themeColor="text1"/>
        </w:rPr>
        <w:t>Pennsylvania Fire</w:t>
      </w:r>
      <w:r w:rsidRPr="00F96D2C">
        <w:rPr>
          <w:rFonts w:ascii="Garamond" w:hAnsi="Garamond"/>
          <w:color w:val="000000" w:themeColor="text1"/>
        </w:rPr>
        <w:t xml:space="preserve"> held that suits premised on these grounds do not deny a defendant due process of law. Even Norfolk Southern does not seriously dispute that much. It concedes that it registered to do business in Pennsylvania, that it established an office there to receive service of process, and that in doing so it understood it would be amenable to suit on any claim.</w:t>
      </w:r>
      <w:r w:rsidRPr="00F96D2C">
        <w:rPr>
          <w:rFonts w:ascii="Garamond" w:hAnsi="Garamond"/>
          <w:bCs/>
          <w:color w:val="000000" w:themeColor="text1"/>
        </w:rPr>
        <w:t xml:space="preserve"> </w:t>
      </w:r>
      <w:r w:rsidR="00E44E64" w:rsidRPr="00F96D2C">
        <w:rPr>
          <w:rFonts w:ascii="Garamond" w:hAnsi="Garamond"/>
          <w:bCs/>
          <w:color w:val="000000" w:themeColor="text1"/>
        </w:rPr>
        <w:t>. . .</w:t>
      </w:r>
      <w:bookmarkStart w:id="12" w:name="co_anchor_B62075406916_1"/>
      <w:bookmarkStart w:id="13" w:name="co_anchor_B72075406916_1"/>
      <w:bookmarkStart w:id="14" w:name="co_anchor_B82075406916_1"/>
      <w:bookmarkStart w:id="15" w:name="co_anchor_B92075406916_1"/>
      <w:bookmarkEnd w:id="12"/>
      <w:bookmarkEnd w:id="13"/>
      <w:bookmarkEnd w:id="14"/>
      <w:bookmarkEnd w:id="15"/>
    </w:p>
    <w:p w14:paraId="0A22DF53" w14:textId="12BAC358" w:rsidR="00B47FBD" w:rsidRPr="00F96D2C" w:rsidRDefault="00B47FBD">
      <w:pPr>
        <w:spacing w:line="275" w:lineRule="atLeast"/>
        <w:jc w:val="both"/>
        <w:rPr>
          <w:rFonts w:ascii="Garamond" w:hAnsi="Garamond"/>
          <w:color w:val="000000" w:themeColor="text1"/>
        </w:rPr>
      </w:pPr>
      <w:r w:rsidRPr="00F96D2C">
        <w:rPr>
          <w:rFonts w:ascii="Garamond" w:hAnsi="Garamond"/>
          <w:color w:val="000000" w:themeColor="text1"/>
        </w:rPr>
        <w:t xml:space="preserve">. . . </w:t>
      </w:r>
    </w:p>
    <w:p w14:paraId="7551A03B" w14:textId="77777777" w:rsidR="00CE26EA" w:rsidRPr="00F96D2C" w:rsidRDefault="00000000" w:rsidP="00776520">
      <w:pPr>
        <w:spacing w:line="275" w:lineRule="atLeast"/>
        <w:jc w:val="center"/>
        <w:rPr>
          <w:rFonts w:ascii="Garamond" w:hAnsi="Garamond"/>
          <w:color w:val="000000" w:themeColor="text1"/>
        </w:rPr>
      </w:pPr>
      <w:bookmarkStart w:id="16" w:name="co_anchor_Iba4a37b1307f11eeb5b7c8ccde3d"/>
      <w:r w:rsidRPr="00F96D2C">
        <w:rPr>
          <w:rFonts w:ascii="Garamond" w:hAnsi="Garamond"/>
          <w:color w:val="000000" w:themeColor="text1"/>
        </w:rPr>
        <w:t>IV</w:t>
      </w:r>
    </w:p>
    <w:bookmarkEnd w:id="16"/>
    <w:p w14:paraId="6ED649BD" w14:textId="3174D538" w:rsidR="00CE26EA" w:rsidRPr="00F96D2C" w:rsidRDefault="00000000" w:rsidP="00E93862">
      <w:pPr>
        <w:spacing w:before="200" w:line="275" w:lineRule="atLeast"/>
        <w:jc w:val="both"/>
        <w:rPr>
          <w:rFonts w:ascii="Garamond" w:hAnsi="Garamond"/>
          <w:color w:val="000000" w:themeColor="text1"/>
        </w:rPr>
      </w:pPr>
      <w:r w:rsidRPr="00F96D2C">
        <w:rPr>
          <w:rFonts w:ascii="Garamond" w:hAnsi="Garamond"/>
          <w:color w:val="000000" w:themeColor="text1"/>
        </w:rPr>
        <w:t xml:space="preserve">Now before us, Norfolk Southern candidly asks us to do what the Pennsylvania Supreme Court could not—overrule </w:t>
      </w:r>
      <w:r w:rsidRPr="00F96D2C">
        <w:rPr>
          <w:rFonts w:ascii="Garamond" w:hAnsi="Garamond"/>
          <w:i/>
          <w:color w:val="000000" w:themeColor="text1"/>
        </w:rPr>
        <w:t>Pennsylvania Fire</w:t>
      </w:r>
      <w:r w:rsidRPr="00F96D2C">
        <w:rPr>
          <w:rFonts w:ascii="Garamond" w:hAnsi="Garamond"/>
          <w:color w:val="000000" w:themeColor="text1"/>
        </w:rPr>
        <w:t>. To smooth the way, Norfolk Southern suggests that this Court</w:t>
      </w:r>
      <w:r w:rsidR="005C058E">
        <w:rPr>
          <w:rFonts w:ascii="Garamond" w:hAnsi="Garamond"/>
          <w:color w:val="000000" w:themeColor="text1"/>
        </w:rPr>
        <w:t>’</w:t>
      </w:r>
      <w:r w:rsidRPr="00F96D2C">
        <w:rPr>
          <w:rFonts w:ascii="Garamond" w:hAnsi="Garamond"/>
          <w:color w:val="000000" w:themeColor="text1"/>
        </w:rPr>
        <w:t xml:space="preserve">s decision in </w:t>
      </w:r>
      <w:r w:rsidRPr="00F96D2C">
        <w:rPr>
          <w:rFonts w:ascii="Garamond" w:hAnsi="Garamond"/>
          <w:i/>
          <w:color w:val="000000" w:themeColor="text1"/>
        </w:rPr>
        <w:t>International Shoe Co. v. Washington</w:t>
      </w:r>
      <w:r w:rsidRPr="00F96D2C">
        <w:rPr>
          <w:rFonts w:ascii="Garamond" w:hAnsi="Garamond"/>
          <w:color w:val="000000" w:themeColor="text1"/>
        </w:rPr>
        <w:t xml:space="preserve"> (1945), has already done much of the hard work for us. That decision, the company insists, seriously undermined </w:t>
      </w:r>
      <w:r w:rsidRPr="00F96D2C">
        <w:rPr>
          <w:rFonts w:ascii="Garamond" w:hAnsi="Garamond"/>
          <w:i/>
          <w:color w:val="000000" w:themeColor="text1"/>
        </w:rPr>
        <w:t>Pennsylvania Fire</w:t>
      </w:r>
      <w:r w:rsidR="005C058E">
        <w:rPr>
          <w:rFonts w:ascii="Garamond" w:hAnsi="Garamond"/>
          <w:color w:val="000000" w:themeColor="text1"/>
        </w:rPr>
        <w:t>’</w:t>
      </w:r>
      <w:r w:rsidRPr="00F96D2C">
        <w:rPr>
          <w:rFonts w:ascii="Garamond" w:hAnsi="Garamond"/>
          <w:color w:val="000000" w:themeColor="text1"/>
        </w:rPr>
        <w:t>s foundations. We disagree. The two precedents sit comfortably side by side.</w:t>
      </w:r>
    </w:p>
    <w:p w14:paraId="3016418A" w14:textId="77777777" w:rsidR="00D909C2" w:rsidRDefault="00D909C2" w:rsidP="00776520">
      <w:pPr>
        <w:spacing w:line="275" w:lineRule="atLeast"/>
        <w:jc w:val="center"/>
        <w:rPr>
          <w:rFonts w:ascii="Garamond" w:hAnsi="Garamond"/>
          <w:color w:val="000000" w:themeColor="text1"/>
        </w:rPr>
      </w:pPr>
      <w:bookmarkStart w:id="17" w:name="co_anchor_Iba4b4921307f11eeb5b7c8ccde3d"/>
    </w:p>
    <w:p w14:paraId="2DD7BC11" w14:textId="111A114C" w:rsidR="00CE26EA" w:rsidRPr="00F96D2C" w:rsidRDefault="00000000" w:rsidP="00776520">
      <w:pPr>
        <w:spacing w:line="275" w:lineRule="atLeast"/>
        <w:jc w:val="center"/>
        <w:rPr>
          <w:rFonts w:ascii="Garamond" w:hAnsi="Garamond"/>
          <w:color w:val="000000" w:themeColor="text1"/>
        </w:rPr>
      </w:pPr>
      <w:r w:rsidRPr="00F96D2C">
        <w:rPr>
          <w:rFonts w:ascii="Garamond" w:hAnsi="Garamond"/>
          <w:color w:val="000000" w:themeColor="text1"/>
        </w:rPr>
        <w:t>A</w:t>
      </w:r>
    </w:p>
    <w:bookmarkEnd w:id="17"/>
    <w:p w14:paraId="48569AF0" w14:textId="47AEA4BF" w:rsidR="00CE26EA" w:rsidRPr="00F96D2C" w:rsidRDefault="00000000">
      <w:pPr>
        <w:spacing w:before="200" w:line="275" w:lineRule="atLeast"/>
        <w:jc w:val="both"/>
        <w:rPr>
          <w:rFonts w:ascii="Garamond" w:hAnsi="Garamond"/>
          <w:color w:val="000000" w:themeColor="text1"/>
        </w:rPr>
      </w:pPr>
      <w:r w:rsidRPr="00F96D2C">
        <w:rPr>
          <w:rFonts w:ascii="Garamond" w:hAnsi="Garamond"/>
          <w:color w:val="000000" w:themeColor="text1"/>
        </w:rPr>
        <w:t>Start with how Norfolk Southern sees things. On the company</w:t>
      </w:r>
      <w:r w:rsidR="005C058E">
        <w:rPr>
          <w:rFonts w:ascii="Garamond" w:hAnsi="Garamond"/>
          <w:color w:val="000000" w:themeColor="text1"/>
        </w:rPr>
        <w:t>’</w:t>
      </w:r>
      <w:r w:rsidRPr="00F96D2C">
        <w:rPr>
          <w:rFonts w:ascii="Garamond" w:hAnsi="Garamond"/>
          <w:color w:val="000000" w:themeColor="text1"/>
        </w:rPr>
        <w:t xml:space="preserve">s telling, echoed by the dissent, </w:t>
      </w:r>
      <w:r w:rsidRPr="00F96D2C">
        <w:rPr>
          <w:rFonts w:ascii="Garamond" w:hAnsi="Garamond"/>
          <w:i/>
          <w:color w:val="000000" w:themeColor="text1"/>
        </w:rPr>
        <w:t>Interna</w:t>
      </w:r>
      <w:r w:rsidR="00072C44">
        <w:rPr>
          <w:rFonts w:ascii="Garamond" w:hAnsi="Garamond"/>
          <w:i/>
          <w:color w:val="000000" w:themeColor="text1"/>
        </w:rPr>
        <w:softHyphen/>
      </w:r>
      <w:r w:rsidRPr="00F96D2C">
        <w:rPr>
          <w:rFonts w:ascii="Garamond" w:hAnsi="Garamond"/>
          <w:i/>
          <w:color w:val="000000" w:themeColor="text1"/>
        </w:rPr>
        <w:t xml:space="preserve">tional Shoe </w:t>
      </w:r>
      <w:r w:rsidRPr="00F96D2C">
        <w:rPr>
          <w:rFonts w:ascii="Garamond" w:hAnsi="Garamond"/>
          <w:color w:val="000000" w:themeColor="text1"/>
        </w:rPr>
        <w:t>held that the Due Process Clause tolerates two (and only two) types of personal jurisdiction over a corporate defendant. First, “specific jurisdic</w:t>
      </w:r>
      <w:r w:rsidR="00072C44">
        <w:rPr>
          <w:rFonts w:ascii="Garamond" w:hAnsi="Garamond"/>
          <w:color w:val="000000" w:themeColor="text1"/>
        </w:rPr>
        <w:softHyphen/>
      </w:r>
      <w:r w:rsidRPr="00F96D2C">
        <w:rPr>
          <w:rFonts w:ascii="Garamond" w:hAnsi="Garamond"/>
          <w:color w:val="000000" w:themeColor="text1"/>
        </w:rPr>
        <w:t>tion” permits suits that “</w:t>
      </w:r>
      <w:r w:rsidR="005C058E">
        <w:rPr>
          <w:rFonts w:ascii="Garamond" w:hAnsi="Garamond"/>
          <w:color w:val="000000" w:themeColor="text1"/>
        </w:rPr>
        <w:t>‘</w:t>
      </w:r>
      <w:r w:rsidRPr="00F96D2C">
        <w:rPr>
          <w:rFonts w:ascii="Garamond" w:hAnsi="Garamond"/>
          <w:color w:val="000000" w:themeColor="text1"/>
        </w:rPr>
        <w:t>arise out of or relate to</w:t>
      </w:r>
      <w:r w:rsidR="005C058E">
        <w:rPr>
          <w:rFonts w:ascii="Garamond" w:hAnsi="Garamond"/>
          <w:color w:val="000000" w:themeColor="text1"/>
        </w:rPr>
        <w:t>’</w:t>
      </w:r>
      <w:r w:rsidRPr="00F96D2C">
        <w:rPr>
          <w:rFonts w:ascii="Garamond" w:hAnsi="Garamond"/>
          <w:color w:val="000000" w:themeColor="text1"/>
        </w:rPr>
        <w:t>” a corporate defendant</w:t>
      </w:r>
      <w:r w:rsidR="005C058E">
        <w:rPr>
          <w:rFonts w:ascii="Garamond" w:hAnsi="Garamond"/>
          <w:color w:val="000000" w:themeColor="text1"/>
        </w:rPr>
        <w:t>’</w:t>
      </w:r>
      <w:r w:rsidRPr="00F96D2C">
        <w:rPr>
          <w:rFonts w:ascii="Garamond" w:hAnsi="Garamond"/>
          <w:color w:val="000000" w:themeColor="text1"/>
        </w:rPr>
        <w:t xml:space="preserve">s activities in the forum State. Second, “general jurisdiction” allows all kinds of suits against a corporation, but only in States where the corporation is incorporated or has its “principal place of business.” After </w:t>
      </w:r>
      <w:r w:rsidRPr="00F96D2C">
        <w:rPr>
          <w:rFonts w:ascii="Garamond" w:hAnsi="Garamond"/>
          <w:i/>
          <w:color w:val="000000" w:themeColor="text1"/>
        </w:rPr>
        <w:t>International Shoe</w:t>
      </w:r>
      <w:r w:rsidRPr="00F96D2C">
        <w:rPr>
          <w:rFonts w:ascii="Garamond" w:hAnsi="Garamond"/>
          <w:color w:val="000000" w:themeColor="text1"/>
        </w:rPr>
        <w:t>, Norfolk Southern insists, no other bases for personal juris</w:t>
      </w:r>
      <w:r w:rsidR="001F50A3">
        <w:rPr>
          <w:rFonts w:ascii="Garamond" w:hAnsi="Garamond"/>
          <w:color w:val="000000" w:themeColor="text1"/>
        </w:rPr>
        <w:softHyphen/>
      </w:r>
      <w:r w:rsidRPr="00F96D2C">
        <w:rPr>
          <w:rFonts w:ascii="Garamond" w:hAnsi="Garamond"/>
          <w:color w:val="000000" w:themeColor="text1"/>
        </w:rPr>
        <w:t>diction over a corporate defendant are permissible.</w:t>
      </w:r>
    </w:p>
    <w:p w14:paraId="3D82BCF5"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68093399" w14:textId="75C945D9" w:rsidR="00CE26EA" w:rsidRPr="00F96D2C" w:rsidRDefault="00F27BAF">
      <w:pPr>
        <w:spacing w:line="275" w:lineRule="atLeast"/>
        <w:jc w:val="both"/>
        <w:rPr>
          <w:rFonts w:ascii="Garamond" w:hAnsi="Garamond"/>
          <w:color w:val="000000" w:themeColor="text1"/>
        </w:rPr>
      </w:pPr>
      <w:r>
        <w:rPr>
          <w:rFonts w:ascii="Garamond" w:hAnsi="Garamond"/>
          <w:color w:val="000000" w:themeColor="text1"/>
        </w:rPr>
        <w:t xml:space="preserve">. . . </w:t>
      </w:r>
      <w:r w:rsidR="00000000" w:rsidRPr="00F96D2C">
        <w:rPr>
          <w:rFonts w:ascii="Garamond" w:hAnsi="Garamond"/>
          <w:color w:val="000000" w:themeColor="text1"/>
        </w:rPr>
        <w:t xml:space="preserve">In reality, </w:t>
      </w:r>
      <w:r w:rsidR="00F415D0" w:rsidRPr="00F96D2C">
        <w:rPr>
          <w:rFonts w:ascii="Garamond" w:hAnsi="Garamond"/>
          <w:color w:val="000000" w:themeColor="text1"/>
        </w:rPr>
        <w:t>. . .</w:t>
      </w:r>
      <w:r w:rsidR="00000000" w:rsidRPr="00F96D2C">
        <w:rPr>
          <w:rFonts w:ascii="Garamond" w:hAnsi="Garamond"/>
          <w:color w:val="000000" w:themeColor="text1"/>
        </w:rPr>
        <w:t xml:space="preserve"> all </w:t>
      </w:r>
      <w:r w:rsidR="00000000" w:rsidRPr="00F96D2C">
        <w:rPr>
          <w:rFonts w:ascii="Garamond" w:hAnsi="Garamond"/>
          <w:i/>
          <w:color w:val="000000" w:themeColor="text1"/>
        </w:rPr>
        <w:t>International Shoe</w:t>
      </w:r>
      <w:r w:rsidR="00000000" w:rsidRPr="00F96D2C">
        <w:rPr>
          <w:rFonts w:ascii="Garamond" w:hAnsi="Garamond"/>
          <w:color w:val="000000" w:themeColor="text1"/>
        </w:rPr>
        <w:t xml:space="preserve"> did was stake out an </w:t>
      </w:r>
      <w:r w:rsidR="00000000" w:rsidRPr="00F96D2C">
        <w:rPr>
          <w:rFonts w:ascii="Garamond" w:hAnsi="Garamond"/>
          <w:i/>
          <w:color w:val="000000" w:themeColor="text1"/>
        </w:rPr>
        <w:t>additional</w:t>
      </w:r>
      <w:r w:rsidR="00000000" w:rsidRPr="00F96D2C">
        <w:rPr>
          <w:rFonts w:ascii="Garamond" w:hAnsi="Garamond"/>
          <w:color w:val="000000" w:themeColor="text1"/>
        </w:rPr>
        <w:t xml:space="preserve"> road to jurisdiction over out-of-state corporations. </w:t>
      </w:r>
      <w:r w:rsidR="00000000" w:rsidRPr="00F96D2C">
        <w:rPr>
          <w:rFonts w:ascii="Garamond" w:hAnsi="Garamond"/>
          <w:i/>
          <w:color w:val="000000" w:themeColor="text1"/>
        </w:rPr>
        <w:t>Pennsylvania Fire</w:t>
      </w:r>
      <w:r w:rsidR="00000000" w:rsidRPr="00F96D2C">
        <w:rPr>
          <w:rFonts w:ascii="Garamond" w:hAnsi="Garamond"/>
          <w:color w:val="000000" w:themeColor="text1"/>
        </w:rPr>
        <w:t xml:space="preserve"> held that an out-of-state corporation that </w:t>
      </w:r>
      <w:r w:rsidR="00000000" w:rsidRPr="00F96D2C">
        <w:rPr>
          <w:rFonts w:ascii="Garamond" w:hAnsi="Garamond"/>
          <w:i/>
          <w:color w:val="000000" w:themeColor="text1"/>
        </w:rPr>
        <w:t>has</w:t>
      </w:r>
      <w:r w:rsidR="00000000" w:rsidRPr="00F96D2C">
        <w:rPr>
          <w:rFonts w:ascii="Garamond" w:hAnsi="Garamond"/>
          <w:color w:val="000000" w:themeColor="text1"/>
        </w:rPr>
        <w:t xml:space="preserve"> consented to in-state suits in order to do business in the forum is susceptible to suit there. </w:t>
      </w:r>
      <w:r w:rsidR="00000000" w:rsidRPr="00F96D2C">
        <w:rPr>
          <w:rFonts w:ascii="Garamond" w:hAnsi="Garamond"/>
          <w:i/>
          <w:color w:val="000000" w:themeColor="text1"/>
        </w:rPr>
        <w:t>International Shoe</w:t>
      </w:r>
      <w:r w:rsidR="00000000" w:rsidRPr="00F96D2C">
        <w:rPr>
          <w:rFonts w:ascii="Garamond" w:hAnsi="Garamond"/>
          <w:color w:val="000000" w:themeColor="text1"/>
        </w:rPr>
        <w:t xml:space="preserve"> held that an out-of-state corporation that </w:t>
      </w:r>
      <w:r w:rsidR="00000000" w:rsidRPr="00F96D2C">
        <w:rPr>
          <w:rFonts w:ascii="Garamond" w:hAnsi="Garamond"/>
          <w:i/>
          <w:color w:val="000000" w:themeColor="text1"/>
        </w:rPr>
        <w:t>has not</w:t>
      </w:r>
      <w:r w:rsidR="00000000" w:rsidRPr="00F96D2C">
        <w:rPr>
          <w:rFonts w:ascii="Garamond" w:hAnsi="Garamond"/>
          <w:color w:val="000000" w:themeColor="text1"/>
        </w:rPr>
        <w:t xml:space="preserve"> consented to in-state suits may also be susceptible to claims in the forum State based on “the quality and nature of [its] activity” in the forum. Consistent with all this, our precedents applying </w:t>
      </w:r>
      <w:r w:rsidR="00000000" w:rsidRPr="00F96D2C">
        <w:rPr>
          <w:rFonts w:ascii="Garamond" w:hAnsi="Garamond"/>
          <w:i/>
          <w:color w:val="000000" w:themeColor="text1"/>
        </w:rPr>
        <w:t>International Shoe</w:t>
      </w:r>
      <w:r w:rsidR="00000000" w:rsidRPr="00F96D2C">
        <w:rPr>
          <w:rFonts w:ascii="Garamond" w:hAnsi="Garamond"/>
          <w:color w:val="000000" w:themeColor="text1"/>
        </w:rPr>
        <w:t xml:space="preserve"> have long spoken of the decision as asking whether a state court may exercise jurisdiction over a corporate defendant “</w:t>
      </w:r>
      <w:r w:rsidR="005C058E">
        <w:rPr>
          <w:rFonts w:ascii="Garamond" w:hAnsi="Garamond"/>
          <w:color w:val="000000" w:themeColor="text1"/>
        </w:rPr>
        <w:t>‘</w:t>
      </w:r>
      <w:r w:rsidR="00000000" w:rsidRPr="00F96D2C">
        <w:rPr>
          <w:rFonts w:ascii="Garamond" w:hAnsi="Garamond"/>
          <w:color w:val="000000" w:themeColor="text1"/>
        </w:rPr>
        <w:t xml:space="preserve">that </w:t>
      </w:r>
      <w:r w:rsidR="00000000" w:rsidRPr="00F96D2C">
        <w:rPr>
          <w:rFonts w:ascii="Garamond" w:hAnsi="Garamond"/>
          <w:i/>
          <w:color w:val="000000" w:themeColor="text1"/>
        </w:rPr>
        <w:t>has not consented</w:t>
      </w:r>
      <w:r w:rsidR="00000000" w:rsidRPr="00F96D2C">
        <w:rPr>
          <w:rFonts w:ascii="Garamond" w:hAnsi="Garamond"/>
          <w:color w:val="000000" w:themeColor="text1"/>
        </w:rPr>
        <w:t xml:space="preserve"> to suit in the forum.</w:t>
      </w:r>
      <w:r w:rsidR="005C058E">
        <w:rPr>
          <w:rFonts w:ascii="Garamond" w:hAnsi="Garamond"/>
          <w:color w:val="000000" w:themeColor="text1"/>
        </w:rPr>
        <w:t>’</w:t>
      </w:r>
      <w:r w:rsidR="00000000" w:rsidRPr="00F96D2C">
        <w:rPr>
          <w:rFonts w:ascii="Garamond" w:hAnsi="Garamond"/>
          <w:color w:val="000000" w:themeColor="text1"/>
        </w:rPr>
        <w:t xml:space="preserve">” </w:t>
      </w:r>
      <w:r w:rsidR="00000000" w:rsidRPr="00F96D2C">
        <w:rPr>
          <w:rFonts w:ascii="Garamond" w:hAnsi="Garamond"/>
          <w:i/>
          <w:color w:val="000000" w:themeColor="text1"/>
        </w:rPr>
        <w:t>Goodyear Dunlop Tires Operations, S. A. v. Brown</w:t>
      </w:r>
      <w:r w:rsidR="002B1507" w:rsidRPr="00F96D2C">
        <w:rPr>
          <w:rFonts w:ascii="Garamond" w:hAnsi="Garamond"/>
          <w:color w:val="000000" w:themeColor="text1"/>
        </w:rPr>
        <w:t xml:space="preserve"> </w:t>
      </w:r>
      <w:r w:rsidR="00000000" w:rsidRPr="00F96D2C">
        <w:rPr>
          <w:rFonts w:ascii="Garamond" w:hAnsi="Garamond"/>
          <w:color w:val="000000" w:themeColor="text1"/>
        </w:rPr>
        <w:t>(2011) (emphasis added);. Our precedents have recognized, too, that “express or implied consent” can continue to ground per</w:t>
      </w:r>
      <w:r w:rsidR="00072C44">
        <w:rPr>
          <w:rFonts w:ascii="Garamond" w:hAnsi="Garamond"/>
          <w:color w:val="000000" w:themeColor="text1"/>
        </w:rPr>
        <w:softHyphen/>
      </w:r>
      <w:r w:rsidR="00000000" w:rsidRPr="00F96D2C">
        <w:rPr>
          <w:rFonts w:ascii="Garamond" w:hAnsi="Garamond"/>
          <w:color w:val="000000" w:themeColor="text1"/>
        </w:rPr>
        <w:t xml:space="preserve">sonal jurisdiction—and consent may be manifested in various ways by word or deed. See, </w:t>
      </w:r>
      <w:r w:rsidR="00000000" w:rsidRPr="00F96D2C">
        <w:rPr>
          <w:rFonts w:ascii="Garamond" w:hAnsi="Garamond"/>
          <w:i/>
          <w:color w:val="000000" w:themeColor="text1"/>
        </w:rPr>
        <w:t>e.g.</w:t>
      </w:r>
      <w:r w:rsidR="00000000" w:rsidRPr="00F96D2C">
        <w:rPr>
          <w:rFonts w:ascii="Garamond" w:hAnsi="Garamond"/>
          <w:color w:val="000000" w:themeColor="text1"/>
        </w:rPr>
        <w:t xml:space="preserve">, </w:t>
      </w:r>
      <w:r w:rsidR="00000000" w:rsidRPr="00F96D2C">
        <w:rPr>
          <w:rFonts w:ascii="Garamond" w:hAnsi="Garamond"/>
          <w:i/>
          <w:color w:val="000000" w:themeColor="text1"/>
        </w:rPr>
        <w:t>Insurance Corp. of Ireland v. Compagnie des Bauxites de Guinee</w:t>
      </w:r>
      <w:r w:rsidR="002B1507" w:rsidRPr="00F96D2C">
        <w:rPr>
          <w:rFonts w:ascii="Garamond" w:hAnsi="Garamond"/>
          <w:color w:val="000000" w:themeColor="text1"/>
        </w:rPr>
        <w:t xml:space="preserve"> </w:t>
      </w:r>
      <w:r w:rsidR="009820FF" w:rsidRPr="00F96D2C">
        <w:rPr>
          <w:rFonts w:ascii="Garamond" w:hAnsi="Garamond"/>
          <w:color w:val="000000" w:themeColor="text1"/>
        </w:rPr>
        <w:t xml:space="preserve"> </w:t>
      </w:r>
      <w:r w:rsidR="00000000" w:rsidRPr="00F96D2C">
        <w:rPr>
          <w:rFonts w:ascii="Garamond" w:hAnsi="Garamond"/>
          <w:color w:val="000000" w:themeColor="text1"/>
        </w:rPr>
        <w:t>(1982)</w:t>
      </w:r>
      <w:r w:rsidR="00000000" w:rsidRPr="00F96D2C">
        <w:rPr>
          <w:rFonts w:ascii="Garamond" w:hAnsi="Garamond"/>
          <w:i/>
          <w:color w:val="000000" w:themeColor="text1"/>
        </w:rPr>
        <w:t>.</w:t>
      </w:r>
    </w:p>
    <w:p w14:paraId="796DBF01" w14:textId="77777777" w:rsidR="00FA51A1" w:rsidRPr="00F96D2C" w:rsidRDefault="00FA51A1">
      <w:pPr>
        <w:spacing w:line="275" w:lineRule="atLeast"/>
        <w:jc w:val="both"/>
        <w:rPr>
          <w:rFonts w:ascii="Garamond" w:hAnsi="Garamond"/>
          <w:color w:val="000000" w:themeColor="text1"/>
        </w:rPr>
      </w:pPr>
      <w:r w:rsidRPr="00F96D2C">
        <w:rPr>
          <w:rFonts w:ascii="Garamond" w:hAnsi="Garamond"/>
          <w:color w:val="000000" w:themeColor="text1"/>
        </w:rPr>
        <w:t>. . .</w:t>
      </w:r>
    </w:p>
    <w:p w14:paraId="4F66614F"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69807592" w14:textId="3718D349"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xml:space="preserve">Given all this, it is no wonder that we have already turned aside arguments very much like Norfolk </w:t>
      </w:r>
      <w:proofErr w:type="spellStart"/>
      <w:r w:rsidRPr="00F96D2C">
        <w:rPr>
          <w:rFonts w:ascii="Garamond" w:hAnsi="Garamond"/>
          <w:color w:val="000000" w:themeColor="text1"/>
        </w:rPr>
        <w:t>Southern</w:t>
      </w:r>
      <w:r w:rsidR="005C058E">
        <w:rPr>
          <w:rFonts w:ascii="Garamond" w:hAnsi="Garamond"/>
          <w:color w:val="000000" w:themeColor="text1"/>
        </w:rPr>
        <w:t>’</w:t>
      </w:r>
      <w:r w:rsidRPr="00F96D2C">
        <w:rPr>
          <w:rFonts w:ascii="Garamond" w:hAnsi="Garamond"/>
          <w:color w:val="000000" w:themeColor="text1"/>
        </w:rPr>
        <w:t>s</w:t>
      </w:r>
      <w:proofErr w:type="spellEnd"/>
      <w:r w:rsidRPr="00F96D2C">
        <w:rPr>
          <w:rFonts w:ascii="Garamond" w:hAnsi="Garamond"/>
          <w:color w:val="000000" w:themeColor="text1"/>
        </w:rPr>
        <w:t xml:space="preserve">. In </w:t>
      </w:r>
      <w:r w:rsidRPr="00F96D2C">
        <w:rPr>
          <w:rFonts w:ascii="Garamond" w:hAnsi="Garamond"/>
          <w:i/>
          <w:color w:val="000000" w:themeColor="text1"/>
        </w:rPr>
        <w:t>Burnham</w:t>
      </w:r>
      <w:r w:rsidRPr="00F96D2C">
        <w:rPr>
          <w:rFonts w:ascii="Garamond" w:hAnsi="Garamond"/>
          <w:color w:val="000000" w:themeColor="text1"/>
        </w:rPr>
        <w:t xml:space="preserve">, the defendant contended that </w:t>
      </w:r>
      <w:r w:rsidRPr="00F96D2C">
        <w:rPr>
          <w:rFonts w:ascii="Garamond" w:hAnsi="Garamond"/>
          <w:i/>
          <w:color w:val="000000" w:themeColor="text1"/>
        </w:rPr>
        <w:t>International Shoe</w:t>
      </w:r>
      <w:r w:rsidRPr="00F96D2C">
        <w:rPr>
          <w:rFonts w:ascii="Garamond" w:hAnsi="Garamond"/>
          <w:color w:val="000000" w:themeColor="text1"/>
        </w:rPr>
        <w:t xml:space="preserve"> implicitly overruled the tradi</w:t>
      </w:r>
      <w:r w:rsidR="0066385C">
        <w:rPr>
          <w:rFonts w:ascii="Garamond" w:hAnsi="Garamond"/>
          <w:color w:val="000000" w:themeColor="text1"/>
        </w:rPr>
        <w:softHyphen/>
      </w:r>
      <w:r w:rsidRPr="00F96D2C">
        <w:rPr>
          <w:rFonts w:ascii="Garamond" w:hAnsi="Garamond"/>
          <w:color w:val="000000" w:themeColor="text1"/>
        </w:rPr>
        <w:t xml:space="preserve">tional tag rule holding that individuals physically served in a State are subject to suit there for claims of any kind. This Court rejected that submission. Instead, as Justice Scalia explained, </w:t>
      </w:r>
      <w:r w:rsidRPr="00F96D2C">
        <w:rPr>
          <w:rFonts w:ascii="Garamond" w:hAnsi="Garamond"/>
          <w:i/>
          <w:color w:val="000000" w:themeColor="text1"/>
        </w:rPr>
        <w:t>International Shoe</w:t>
      </w:r>
      <w:r w:rsidRPr="00F96D2C">
        <w:rPr>
          <w:rFonts w:ascii="Garamond" w:hAnsi="Garamond"/>
          <w:color w:val="000000" w:themeColor="text1"/>
        </w:rPr>
        <w:t xml:space="preserve"> simply provided a “novel” way to secure personal jurisdiction that did nothing to displace other “traditional ones.” What held true there must hold true here.</w:t>
      </w:r>
      <w:r w:rsidR="002F05B1">
        <w:rPr>
          <w:rFonts w:ascii="Garamond" w:hAnsi="Garamond"/>
          <w:color w:val="000000" w:themeColor="text1"/>
        </w:rPr>
        <w:t xml:space="preserve"> . . .</w:t>
      </w:r>
    </w:p>
    <w:p w14:paraId="002B477F" w14:textId="77777777" w:rsidR="00CE26EA" w:rsidRPr="00F96D2C" w:rsidRDefault="00000000" w:rsidP="00D909C2">
      <w:pPr>
        <w:spacing w:line="275" w:lineRule="atLeast"/>
        <w:jc w:val="center"/>
        <w:rPr>
          <w:rFonts w:ascii="Garamond" w:hAnsi="Garamond"/>
          <w:color w:val="000000" w:themeColor="text1"/>
        </w:rPr>
      </w:pPr>
      <w:bookmarkStart w:id="18" w:name="co_anchor_Iba53fbb1307f11eeb5b7c8ccde3d"/>
      <w:r w:rsidRPr="00F96D2C">
        <w:rPr>
          <w:rFonts w:ascii="Garamond" w:hAnsi="Garamond"/>
          <w:color w:val="000000" w:themeColor="text1"/>
        </w:rPr>
        <w:t>B</w:t>
      </w:r>
    </w:p>
    <w:bookmarkEnd w:id="18"/>
    <w:p w14:paraId="397CCA97" w14:textId="033C9627" w:rsidR="00CE26EA" w:rsidRPr="00F96D2C" w:rsidRDefault="00000000" w:rsidP="00A352E6">
      <w:pPr>
        <w:spacing w:before="200" w:line="275" w:lineRule="atLeast"/>
        <w:jc w:val="both"/>
        <w:rPr>
          <w:rFonts w:ascii="Garamond" w:hAnsi="Garamond"/>
          <w:color w:val="000000" w:themeColor="text1"/>
        </w:rPr>
      </w:pPr>
      <w:r w:rsidRPr="00F96D2C">
        <w:rPr>
          <w:rFonts w:ascii="Garamond" w:hAnsi="Garamond"/>
          <w:color w:val="000000" w:themeColor="text1"/>
        </w:rPr>
        <w:t>Norfolk Southern offers several replies, but none persuades. The company begins by pointing to this Court</w:t>
      </w:r>
      <w:r w:rsidR="005C058E">
        <w:rPr>
          <w:rFonts w:ascii="Garamond" w:hAnsi="Garamond"/>
          <w:color w:val="000000" w:themeColor="text1"/>
        </w:rPr>
        <w:t>’</w:t>
      </w:r>
      <w:r w:rsidRPr="00F96D2C">
        <w:rPr>
          <w:rFonts w:ascii="Garamond" w:hAnsi="Garamond"/>
          <w:color w:val="000000" w:themeColor="text1"/>
        </w:rPr>
        <w:t xml:space="preserve">s decision in </w:t>
      </w:r>
      <w:r w:rsidRPr="00F96D2C">
        <w:rPr>
          <w:rFonts w:ascii="Garamond" w:hAnsi="Garamond"/>
          <w:i/>
          <w:color w:val="000000" w:themeColor="text1"/>
        </w:rPr>
        <w:t>Shaffer</w:t>
      </w:r>
      <w:r w:rsidRPr="00F96D2C">
        <w:rPr>
          <w:rFonts w:ascii="Garamond" w:hAnsi="Garamond"/>
          <w:color w:val="000000" w:themeColor="text1"/>
        </w:rPr>
        <w:t>. There, as the company stresses, the Court indicated that “</w:t>
      </w:r>
      <w:r w:rsidR="005C058E">
        <w:rPr>
          <w:rFonts w:ascii="Garamond" w:hAnsi="Garamond"/>
          <w:color w:val="000000" w:themeColor="text1"/>
        </w:rPr>
        <w:t>‘</w:t>
      </w:r>
      <w:r w:rsidRPr="00F96D2C">
        <w:rPr>
          <w:rFonts w:ascii="Garamond" w:hAnsi="Garamond"/>
          <w:color w:val="000000" w:themeColor="text1"/>
        </w:rPr>
        <w:t>prior decisions ... inconsistent with</w:t>
      </w:r>
      <w:r w:rsidR="005C058E">
        <w:rPr>
          <w:rFonts w:ascii="Garamond" w:hAnsi="Garamond"/>
          <w:color w:val="000000" w:themeColor="text1"/>
        </w:rPr>
        <w:t>’</w:t>
      </w:r>
      <w:r w:rsidRPr="00F96D2C">
        <w:rPr>
          <w:rFonts w:ascii="Garamond" w:hAnsi="Garamond"/>
          <w:color w:val="000000" w:themeColor="text1"/>
        </w:rPr>
        <w:t xml:space="preserve">” </w:t>
      </w:r>
      <w:r w:rsidRPr="00F96D2C">
        <w:rPr>
          <w:rFonts w:ascii="Garamond" w:hAnsi="Garamond"/>
          <w:i/>
          <w:color w:val="000000" w:themeColor="text1"/>
        </w:rPr>
        <w:t>International Shoe</w:t>
      </w:r>
      <w:r w:rsidRPr="00F96D2C">
        <w:rPr>
          <w:rFonts w:ascii="Garamond" w:hAnsi="Garamond"/>
          <w:color w:val="000000" w:themeColor="text1"/>
        </w:rPr>
        <w:t xml:space="preserve"> “</w:t>
      </w:r>
      <w:r w:rsidR="005C058E">
        <w:rPr>
          <w:rFonts w:ascii="Garamond" w:hAnsi="Garamond"/>
          <w:color w:val="000000" w:themeColor="text1"/>
        </w:rPr>
        <w:t>‘</w:t>
      </w:r>
      <w:r w:rsidRPr="00F96D2C">
        <w:rPr>
          <w:rFonts w:ascii="Garamond" w:hAnsi="Garamond"/>
          <w:color w:val="000000" w:themeColor="text1"/>
        </w:rPr>
        <w:t>are over</w:t>
      </w:r>
      <w:r w:rsidR="00710F23">
        <w:rPr>
          <w:rFonts w:ascii="Garamond" w:hAnsi="Garamond"/>
          <w:color w:val="000000" w:themeColor="text1"/>
        </w:rPr>
        <w:softHyphen/>
      </w:r>
      <w:r w:rsidRPr="00F96D2C">
        <w:rPr>
          <w:rFonts w:ascii="Garamond" w:hAnsi="Garamond"/>
          <w:color w:val="000000" w:themeColor="text1"/>
        </w:rPr>
        <w:t>ruled.</w:t>
      </w:r>
      <w:r w:rsidR="005C058E">
        <w:rPr>
          <w:rFonts w:ascii="Garamond" w:hAnsi="Garamond"/>
          <w:color w:val="000000" w:themeColor="text1"/>
        </w:rPr>
        <w:t>’</w:t>
      </w:r>
      <w:r w:rsidRPr="00F96D2C">
        <w:rPr>
          <w:rFonts w:ascii="Garamond" w:hAnsi="Garamond"/>
          <w:color w:val="000000" w:themeColor="text1"/>
        </w:rPr>
        <w:t xml:space="preserve">” True as that statement may be, however, it only poses the question whether </w:t>
      </w:r>
      <w:r w:rsidRPr="00F96D2C">
        <w:rPr>
          <w:rFonts w:ascii="Garamond" w:hAnsi="Garamond"/>
          <w:i/>
          <w:color w:val="000000" w:themeColor="text1"/>
        </w:rPr>
        <w:t>Pennsylvania Fire</w:t>
      </w:r>
      <w:r w:rsidRPr="00F96D2C">
        <w:rPr>
          <w:rFonts w:ascii="Garamond" w:hAnsi="Garamond"/>
          <w:color w:val="000000" w:themeColor="text1"/>
        </w:rPr>
        <w:t xml:space="preserve"> is “inconsistent with” </w:t>
      </w:r>
      <w:r w:rsidRPr="00F96D2C">
        <w:rPr>
          <w:rFonts w:ascii="Garamond" w:hAnsi="Garamond"/>
          <w:i/>
          <w:color w:val="000000" w:themeColor="text1"/>
        </w:rPr>
        <w:t>International Shoe</w:t>
      </w:r>
      <w:r w:rsidRPr="00F96D2C">
        <w:rPr>
          <w:rFonts w:ascii="Garamond" w:hAnsi="Garamond"/>
          <w:color w:val="000000" w:themeColor="text1"/>
        </w:rPr>
        <w:t xml:space="preserve">. And, as we have seen, it is not. Instead, the latter decision </w:t>
      </w:r>
      <w:r w:rsidRPr="00F96D2C">
        <w:rPr>
          <w:rFonts w:ascii="Garamond" w:hAnsi="Garamond"/>
          <w:color w:val="000000" w:themeColor="text1"/>
        </w:rPr>
        <w:lastRenderedPageBreak/>
        <w:t xml:space="preserve">expanded upon the traditional grounds of personal jurisdiction recognized by the former. This Court has previously cautioned litigants and lower courts against (mis)reading </w:t>
      </w:r>
      <w:r w:rsidRPr="00F96D2C">
        <w:rPr>
          <w:rFonts w:ascii="Garamond" w:hAnsi="Garamond"/>
          <w:i/>
          <w:color w:val="000000" w:themeColor="text1"/>
        </w:rPr>
        <w:t>Shaffer</w:t>
      </w:r>
      <w:r w:rsidRPr="00F96D2C">
        <w:rPr>
          <w:rFonts w:ascii="Garamond" w:hAnsi="Garamond"/>
          <w:color w:val="000000" w:themeColor="text1"/>
        </w:rPr>
        <w:t xml:space="preserve"> as suggesting that </w:t>
      </w:r>
      <w:r w:rsidRPr="00F96D2C">
        <w:rPr>
          <w:rFonts w:ascii="Garamond" w:hAnsi="Garamond"/>
          <w:i/>
          <w:color w:val="000000" w:themeColor="text1"/>
        </w:rPr>
        <w:t>Inter</w:t>
      </w:r>
      <w:r w:rsidR="00297D70">
        <w:rPr>
          <w:rFonts w:ascii="Garamond" w:hAnsi="Garamond"/>
          <w:i/>
          <w:color w:val="000000" w:themeColor="text1"/>
        </w:rPr>
        <w:softHyphen/>
      </w:r>
      <w:r w:rsidRPr="00F96D2C">
        <w:rPr>
          <w:rFonts w:ascii="Garamond" w:hAnsi="Garamond"/>
          <w:i/>
          <w:color w:val="000000" w:themeColor="text1"/>
        </w:rPr>
        <w:t xml:space="preserve">national Shoe </w:t>
      </w:r>
      <w:r w:rsidRPr="00F96D2C">
        <w:rPr>
          <w:rFonts w:ascii="Garamond" w:hAnsi="Garamond"/>
          <w:color w:val="000000" w:themeColor="text1"/>
        </w:rPr>
        <w:t xml:space="preserve">discarded every traditional method for securing personal jurisdiction that came before. See </w:t>
      </w:r>
      <w:r w:rsidRPr="00F96D2C">
        <w:rPr>
          <w:rFonts w:ascii="Garamond" w:hAnsi="Garamond"/>
          <w:i/>
          <w:color w:val="000000" w:themeColor="text1"/>
        </w:rPr>
        <w:t>Burnham</w:t>
      </w:r>
      <w:r w:rsidR="00735A9D" w:rsidRPr="00F96D2C">
        <w:rPr>
          <w:rFonts w:ascii="Garamond" w:hAnsi="Garamond"/>
          <w:color w:val="000000" w:themeColor="text1"/>
        </w:rPr>
        <w:t xml:space="preserve"> </w:t>
      </w:r>
      <w:r w:rsidRPr="00F96D2C">
        <w:rPr>
          <w:rFonts w:ascii="Garamond" w:hAnsi="Garamond"/>
          <w:color w:val="000000" w:themeColor="text1"/>
        </w:rPr>
        <w:t xml:space="preserve">(plurality opinion); cf. </w:t>
      </w:r>
      <w:r w:rsidRPr="00F96D2C">
        <w:rPr>
          <w:rFonts w:ascii="Garamond" w:hAnsi="Garamond"/>
          <w:i/>
          <w:color w:val="000000" w:themeColor="text1"/>
        </w:rPr>
        <w:t>Daimler</w:t>
      </w:r>
      <w:r w:rsidRPr="00F96D2C">
        <w:rPr>
          <w:rFonts w:ascii="Garamond" w:hAnsi="Garamond"/>
          <w:color w:val="000000" w:themeColor="text1"/>
        </w:rPr>
        <w:t>. We find ourselves repeating the admonition today.</w:t>
      </w:r>
      <w:r w:rsidR="003C1CBA" w:rsidRPr="00F96D2C">
        <w:rPr>
          <w:rFonts w:ascii="Garamond" w:hAnsi="Garamond"/>
          <w:color w:val="000000" w:themeColor="text1"/>
        </w:rPr>
        <w:t xml:space="preserve"> </w:t>
      </w:r>
    </w:p>
    <w:p w14:paraId="32E14DCE" w14:textId="20A901F7" w:rsidR="00CE26EA" w:rsidRPr="00F96D2C" w:rsidRDefault="00FA51A1">
      <w:pPr>
        <w:spacing w:line="275" w:lineRule="atLeast"/>
        <w:jc w:val="both"/>
        <w:rPr>
          <w:rFonts w:ascii="Garamond" w:hAnsi="Garamond"/>
          <w:color w:val="000000" w:themeColor="text1"/>
        </w:rPr>
      </w:pPr>
      <w:r w:rsidRPr="00F96D2C">
        <w:rPr>
          <w:rFonts w:ascii="Garamond" w:hAnsi="Garamond"/>
          <w:color w:val="000000" w:themeColor="text1"/>
        </w:rPr>
        <w:t>. . .</w:t>
      </w:r>
    </w:p>
    <w:p w14:paraId="4EF38AB0" w14:textId="77777777" w:rsidR="000A4AC0" w:rsidRPr="00F96D2C" w:rsidRDefault="000A4AC0">
      <w:pPr>
        <w:spacing w:line="275" w:lineRule="atLeast"/>
        <w:jc w:val="both"/>
        <w:rPr>
          <w:rFonts w:ascii="Garamond" w:hAnsi="Garamond"/>
          <w:color w:val="000000" w:themeColor="text1"/>
        </w:rPr>
      </w:pPr>
    </w:p>
    <w:p w14:paraId="12C50957" w14:textId="3D4BFC4F"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xml:space="preserve">Norfolk Southern </w:t>
      </w:r>
      <w:r w:rsidR="000A4AC0" w:rsidRPr="00F96D2C">
        <w:rPr>
          <w:rFonts w:ascii="Garamond" w:hAnsi="Garamond"/>
          <w:color w:val="000000" w:themeColor="text1"/>
        </w:rPr>
        <w:t xml:space="preserve">. . . </w:t>
      </w:r>
      <w:r w:rsidRPr="00F96D2C">
        <w:rPr>
          <w:rFonts w:ascii="Garamond" w:hAnsi="Garamond"/>
          <w:color w:val="000000" w:themeColor="text1"/>
        </w:rPr>
        <w:t>suggests the Due Process Clause separately prohibits one State from infringing on the sovereignty of another State through exorbitant claims of personal jurisdiction. And, in candor, the company is half right. Some of our personal jurisdiction cases have discussed the federalism implications of one State</w:t>
      </w:r>
      <w:r w:rsidR="005C058E">
        <w:rPr>
          <w:rFonts w:ascii="Garamond" w:hAnsi="Garamond"/>
          <w:color w:val="000000" w:themeColor="text1"/>
        </w:rPr>
        <w:t>’</w:t>
      </w:r>
      <w:r w:rsidRPr="00F96D2C">
        <w:rPr>
          <w:rFonts w:ascii="Garamond" w:hAnsi="Garamond"/>
          <w:color w:val="000000" w:themeColor="text1"/>
        </w:rPr>
        <w:t xml:space="preserve">s assertion of jurisdiction over the corporate residents of another. But that neglects an important part of the story. To date, our personal jurisdiction cases have never found a Due Process Clause problem sounding in federalism when an out-of-state defendant submits to suit in the forum State. After all, personal jurisdiction is a </w:t>
      </w:r>
      <w:r w:rsidRPr="00F96D2C">
        <w:rPr>
          <w:rFonts w:ascii="Garamond" w:hAnsi="Garamond"/>
          <w:i/>
          <w:color w:val="000000" w:themeColor="text1"/>
        </w:rPr>
        <w:t>personal</w:t>
      </w:r>
      <w:r w:rsidRPr="00F96D2C">
        <w:rPr>
          <w:rFonts w:ascii="Garamond" w:hAnsi="Garamond"/>
          <w:color w:val="000000" w:themeColor="text1"/>
        </w:rPr>
        <w:t xml:space="preserve"> defense that may be waived or forfeited.</w:t>
      </w:r>
    </w:p>
    <w:p w14:paraId="2C0404C8"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31382CA5" w14:textId="13BC82E5"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xml:space="preserve">That leaves Norfolk Southern one final stand. It argues that it has not </w:t>
      </w:r>
      <w:r w:rsidRPr="00F96D2C">
        <w:rPr>
          <w:rFonts w:ascii="Garamond" w:hAnsi="Garamond"/>
          <w:i/>
          <w:color w:val="000000" w:themeColor="text1"/>
        </w:rPr>
        <w:t xml:space="preserve">really </w:t>
      </w:r>
      <w:r w:rsidRPr="00F96D2C">
        <w:rPr>
          <w:rFonts w:ascii="Garamond" w:hAnsi="Garamond"/>
          <w:color w:val="000000" w:themeColor="text1"/>
        </w:rPr>
        <w:t>submitted to proceedings in Pennsylvania. The company does not dispute that it has filed paperwork with Pennsylvania seeking the right to do business there. It does not dispute that it has established an office in the Commonwealth to receive service of process on any claim. It does not dispute that it appreciated the jurisdictional conse</w:t>
      </w:r>
      <w:r w:rsidR="00F2701B">
        <w:rPr>
          <w:rFonts w:ascii="Garamond" w:hAnsi="Garamond"/>
          <w:color w:val="000000" w:themeColor="text1"/>
        </w:rPr>
        <w:softHyphen/>
      </w:r>
      <w:r w:rsidRPr="00F96D2C">
        <w:rPr>
          <w:rFonts w:ascii="Garamond" w:hAnsi="Garamond"/>
          <w:color w:val="000000" w:themeColor="text1"/>
        </w:rPr>
        <w:t>quences attending these actions and proceeded anyway, presumably because it thought the benefits outweighed the costs. But, in the name of the Due Process Clause, Norfolk Southern insists we should dismiss all that as a raft of meaningless formalities.</w:t>
      </w:r>
      <w:r w:rsidR="00380DB7" w:rsidRPr="00F96D2C">
        <w:rPr>
          <w:rFonts w:ascii="Garamond" w:hAnsi="Garamond"/>
          <w:color w:val="000000" w:themeColor="text1"/>
        </w:rPr>
        <w:t xml:space="preserve"> </w:t>
      </w:r>
    </w:p>
    <w:p w14:paraId="5315946D"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7DEBF54E" w14:textId="0EBF7F1E"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xml:space="preserve">Taken seriously, this argument would have us undo not just </w:t>
      </w:r>
      <w:r w:rsidRPr="00F96D2C">
        <w:rPr>
          <w:rFonts w:ascii="Garamond" w:hAnsi="Garamond"/>
          <w:i/>
          <w:color w:val="000000" w:themeColor="text1"/>
        </w:rPr>
        <w:t>Pennsylvania Fire</w:t>
      </w:r>
      <w:r w:rsidRPr="00F96D2C">
        <w:rPr>
          <w:rFonts w:ascii="Garamond" w:hAnsi="Garamond"/>
          <w:color w:val="000000" w:themeColor="text1"/>
        </w:rPr>
        <w:t xml:space="preserve"> but a legion of precedents that attach jurisdictional consequences to what some might dismiss as mere formalities. Consider some examples we have already encountered. In a typical general jurisdiction case under </w:t>
      </w:r>
      <w:r w:rsidRPr="00F96D2C">
        <w:rPr>
          <w:rFonts w:ascii="Garamond" w:hAnsi="Garamond"/>
          <w:i/>
          <w:color w:val="000000" w:themeColor="text1"/>
        </w:rPr>
        <w:t>International Shoe</w:t>
      </w:r>
      <w:r w:rsidRPr="00F96D2C">
        <w:rPr>
          <w:rFonts w:ascii="Garamond" w:hAnsi="Garamond"/>
          <w:color w:val="000000" w:themeColor="text1"/>
        </w:rPr>
        <w:t xml:space="preserve">, a company is subject to suit on any claim in a forum </w:t>
      </w:r>
      <w:r w:rsidRPr="00F96D2C">
        <w:rPr>
          <w:rFonts w:ascii="Garamond" w:hAnsi="Garamond"/>
          <w:color w:val="000000" w:themeColor="text1"/>
        </w:rPr>
        <w:t>State only because of its decision to file a piece of paper there (a certificate of incorporation). The firm is amenable to suit even if all of its operations are located elsewhere and even if its certificate only sits collecting dust on an office shelf for years thereafter. Then there is the tag rule. The invisible state line might seem a trivial thing. But when an individual takes one step off a plane after flying from New Jersey to California, the jurisdictional consequences are immediate and serious.</w:t>
      </w:r>
    </w:p>
    <w:p w14:paraId="602EBE20"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7C40B726" w14:textId="32A3A232"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Consider, too, just a few other examples. A defendant who appears “specially” to contest jurisdiction preserves his defense, but one who forgets can lose his. Failing to comply with certain pre-trial court orders, signing a contract with a forum selection clause, accepting an in-state benefit with jurisdictional strings attached—all these actions as well can carry with them profound consequences for personal jurisdiction.</w:t>
      </w:r>
    </w:p>
    <w:p w14:paraId="59BF31BA"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33012C4C" w14:textId="0E8F6DE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xml:space="preserve">The truth is, under our precedents a variety of “actions of the defendant” that may seem like technicalities nonetheless can “amount to a legal submission to the jurisdiction of a court.” That was so before </w:t>
      </w:r>
      <w:r w:rsidRPr="00F96D2C">
        <w:rPr>
          <w:rFonts w:ascii="Garamond" w:hAnsi="Garamond"/>
          <w:i/>
          <w:color w:val="000000" w:themeColor="text1"/>
        </w:rPr>
        <w:t>International Shoe</w:t>
      </w:r>
      <w:r w:rsidRPr="00F96D2C">
        <w:rPr>
          <w:rFonts w:ascii="Garamond" w:hAnsi="Garamond"/>
          <w:color w:val="000000" w:themeColor="text1"/>
        </w:rPr>
        <w:t xml:space="preserve">, and it remains so today. Should we overrule them all? Taking Norfolk </w:t>
      </w:r>
      <w:proofErr w:type="spellStart"/>
      <w:r w:rsidRPr="00F96D2C">
        <w:rPr>
          <w:rFonts w:ascii="Garamond" w:hAnsi="Garamond"/>
          <w:color w:val="000000" w:themeColor="text1"/>
        </w:rPr>
        <w:t>Southern</w:t>
      </w:r>
      <w:r w:rsidR="005C058E">
        <w:rPr>
          <w:rFonts w:ascii="Garamond" w:hAnsi="Garamond"/>
          <w:color w:val="000000" w:themeColor="text1"/>
        </w:rPr>
        <w:t>’</w:t>
      </w:r>
      <w:r w:rsidRPr="00F96D2C">
        <w:rPr>
          <w:rFonts w:ascii="Garamond" w:hAnsi="Garamond"/>
          <w:color w:val="000000" w:themeColor="text1"/>
        </w:rPr>
        <w:t>s</w:t>
      </w:r>
      <w:proofErr w:type="spellEnd"/>
      <w:r w:rsidRPr="00F96D2C">
        <w:rPr>
          <w:rFonts w:ascii="Garamond" w:hAnsi="Garamond"/>
          <w:color w:val="000000" w:themeColor="text1"/>
        </w:rPr>
        <w:t xml:space="preserve"> argument seriously would require just that.</w:t>
      </w:r>
    </w:p>
    <w:p w14:paraId="502E3DB3" w14:textId="615C0249" w:rsidR="00CE26EA" w:rsidRPr="00F96D2C" w:rsidRDefault="00000000" w:rsidP="00E93862">
      <w:pPr>
        <w:spacing w:line="275" w:lineRule="atLeast"/>
        <w:jc w:val="center"/>
        <w:rPr>
          <w:rFonts w:ascii="Garamond" w:hAnsi="Garamond"/>
          <w:color w:val="000000" w:themeColor="text1"/>
        </w:rPr>
      </w:pPr>
      <w:r w:rsidRPr="00F96D2C">
        <w:rPr>
          <w:rFonts w:ascii="Garamond" w:hAnsi="Garamond"/>
          <w:color w:val="000000" w:themeColor="text1"/>
        </w:rPr>
        <w:t>*</w:t>
      </w:r>
    </w:p>
    <w:p w14:paraId="1901DCFD" w14:textId="3F44BB09"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xml:space="preserve">Not every case poses a new question. This case poses a very old question indeed—one this Court resolved more than a century ago in </w:t>
      </w:r>
      <w:r w:rsidRPr="00F96D2C">
        <w:rPr>
          <w:rFonts w:ascii="Garamond" w:hAnsi="Garamond"/>
          <w:i/>
          <w:color w:val="000000" w:themeColor="text1"/>
        </w:rPr>
        <w:t>Pennsylvania Fire</w:t>
      </w:r>
      <w:r w:rsidRPr="00F96D2C">
        <w:rPr>
          <w:rFonts w:ascii="Garamond" w:hAnsi="Garamond"/>
          <w:color w:val="000000" w:themeColor="text1"/>
        </w:rPr>
        <w:t>. Because that decision remains the law, the judgment of the Supreme Court of Pennsylvania is vacated, and the case is remanded.</w:t>
      </w:r>
    </w:p>
    <w:p w14:paraId="77878B08"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25EDA9CB" w14:textId="77777777" w:rsidR="00CE26EA" w:rsidRPr="00F96D2C" w:rsidRDefault="00000000">
      <w:pPr>
        <w:spacing w:line="275" w:lineRule="atLeast"/>
        <w:jc w:val="both"/>
        <w:rPr>
          <w:rFonts w:ascii="Garamond" w:hAnsi="Garamond"/>
          <w:color w:val="000000" w:themeColor="text1"/>
        </w:rPr>
      </w:pPr>
      <w:r w:rsidRPr="00F96D2C">
        <w:rPr>
          <w:rFonts w:ascii="Garamond" w:hAnsi="Garamond"/>
          <w:i/>
          <w:color w:val="000000" w:themeColor="text1"/>
        </w:rPr>
        <w:t>It is so ordered.</w:t>
      </w:r>
    </w:p>
    <w:p w14:paraId="29979C33"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385026FF" w14:textId="60E8B341" w:rsidR="00CE26EA" w:rsidRDefault="00000000">
      <w:pPr>
        <w:spacing w:before="200" w:line="275" w:lineRule="atLeast"/>
        <w:jc w:val="both"/>
        <w:rPr>
          <w:rFonts w:ascii="Garamond" w:hAnsi="Garamond"/>
          <w:color w:val="000000" w:themeColor="text1"/>
        </w:rPr>
      </w:pPr>
      <w:bookmarkStart w:id="19" w:name="co_anchor_Iba638c12307f11eeb5b7c8ccde3d"/>
      <w:bookmarkStart w:id="20" w:name="co_concurrance_opinion_1"/>
      <w:r w:rsidRPr="00F96D2C">
        <w:rPr>
          <w:rFonts w:ascii="Garamond" w:hAnsi="Garamond"/>
          <w:color w:val="000000" w:themeColor="text1"/>
        </w:rPr>
        <w:t>Justice JACKSON, concurring.</w:t>
      </w:r>
    </w:p>
    <w:p w14:paraId="178CD41E" w14:textId="77777777" w:rsidR="005470CB" w:rsidRDefault="005470CB">
      <w:pPr>
        <w:spacing w:line="275" w:lineRule="atLeast"/>
        <w:jc w:val="both"/>
        <w:rPr>
          <w:rFonts w:ascii="Garamond" w:hAnsi="Garamond"/>
          <w:color w:val="000000" w:themeColor="text1"/>
        </w:rPr>
      </w:pPr>
      <w:bookmarkStart w:id="21" w:name="co_anchor_Iba638c12307f11eeb5b7c8ccd2"/>
      <w:bookmarkEnd w:id="19"/>
      <w:bookmarkEnd w:id="20"/>
    </w:p>
    <w:p w14:paraId="75F4CFA3" w14:textId="0178EF9C"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xml:space="preserve">I agree with the Court that this case is straightforward under our precedents. I write separately to say that, for me, what makes it so is not just our ruling in </w:t>
      </w:r>
      <w:r w:rsidRPr="00F96D2C">
        <w:rPr>
          <w:rFonts w:ascii="Garamond" w:hAnsi="Garamond"/>
          <w:i/>
          <w:color w:val="000000" w:themeColor="text1"/>
        </w:rPr>
        <w:t>Pennsylvania Fire Ins. Co. of Philadelphia v. Gold Issue Mining &amp; Milling Co.</w:t>
      </w:r>
      <w:r w:rsidR="00247D45" w:rsidRPr="00F96D2C">
        <w:rPr>
          <w:rFonts w:ascii="Garamond" w:hAnsi="Garamond"/>
          <w:i/>
          <w:color w:val="000000" w:themeColor="text1"/>
        </w:rPr>
        <w:t xml:space="preserve"> </w:t>
      </w:r>
      <w:r w:rsidRPr="00F96D2C">
        <w:rPr>
          <w:rFonts w:ascii="Garamond" w:hAnsi="Garamond"/>
          <w:color w:val="000000" w:themeColor="text1"/>
        </w:rPr>
        <w:t xml:space="preserve">(1917). I </w:t>
      </w:r>
      <w:r w:rsidRPr="00F96D2C">
        <w:rPr>
          <w:rFonts w:ascii="Garamond" w:hAnsi="Garamond"/>
          <w:color w:val="000000" w:themeColor="text1"/>
        </w:rPr>
        <w:lastRenderedPageBreak/>
        <w:t xml:space="preserve">also consider our ruling in </w:t>
      </w:r>
      <w:r w:rsidRPr="00F96D2C">
        <w:rPr>
          <w:rFonts w:ascii="Garamond" w:hAnsi="Garamond"/>
          <w:i/>
          <w:color w:val="000000" w:themeColor="text1"/>
        </w:rPr>
        <w:t>Insurance Corp. of Ireland v. Compagnie des Bauxites de Guinee</w:t>
      </w:r>
      <w:r w:rsidR="00247D45" w:rsidRPr="00F96D2C">
        <w:rPr>
          <w:rFonts w:ascii="Garamond" w:hAnsi="Garamond"/>
          <w:i/>
          <w:color w:val="000000" w:themeColor="text1"/>
        </w:rPr>
        <w:t xml:space="preserve"> </w:t>
      </w:r>
      <w:r w:rsidRPr="00F96D2C">
        <w:rPr>
          <w:rFonts w:ascii="Garamond" w:hAnsi="Garamond"/>
          <w:color w:val="000000" w:themeColor="text1"/>
        </w:rPr>
        <w:t>(1982), to be particularly instructive.</w:t>
      </w:r>
    </w:p>
    <w:bookmarkEnd w:id="21"/>
    <w:p w14:paraId="4BCE9999"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4FE76650" w14:textId="01AB3DB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xml:space="preserve">In </w:t>
      </w:r>
      <w:r w:rsidRPr="00F96D2C">
        <w:rPr>
          <w:rFonts w:ascii="Garamond" w:hAnsi="Garamond"/>
          <w:i/>
          <w:color w:val="000000" w:themeColor="text1"/>
        </w:rPr>
        <w:t>Insurance Corp. of Ireland</w:t>
      </w:r>
      <w:r w:rsidRPr="00F96D2C">
        <w:rPr>
          <w:rFonts w:ascii="Garamond" w:hAnsi="Garamond"/>
          <w:color w:val="000000" w:themeColor="text1"/>
        </w:rPr>
        <w:t>, this Court confirmed a simple truth: The due process “requirement of personal jurisdiction” is an individual, waivable right. The requirement exists, we said, to ensure that the forum State has sufficient contacts with a defendant, such that “the maintenance of the suit [does] not offend “traditional notions of fair play and substan</w:t>
      </w:r>
      <w:r w:rsidR="00EE03E1">
        <w:rPr>
          <w:rFonts w:ascii="Garamond" w:hAnsi="Garamond"/>
          <w:color w:val="000000" w:themeColor="text1"/>
        </w:rPr>
        <w:softHyphen/>
      </w:r>
      <w:r w:rsidRPr="00F96D2C">
        <w:rPr>
          <w:rFonts w:ascii="Garamond" w:hAnsi="Garamond"/>
          <w:color w:val="000000" w:themeColor="text1"/>
        </w:rPr>
        <w:t>tial justice.”” We noted further that the interstate federalism concerns informing that right are “ulti</w:t>
      </w:r>
      <w:r w:rsidR="00F84B81">
        <w:rPr>
          <w:rFonts w:ascii="Garamond" w:hAnsi="Garamond"/>
          <w:color w:val="000000" w:themeColor="text1"/>
        </w:rPr>
        <w:softHyphen/>
      </w:r>
      <w:r w:rsidRPr="00F96D2C">
        <w:rPr>
          <w:rFonts w:ascii="Garamond" w:hAnsi="Garamond"/>
          <w:color w:val="000000" w:themeColor="text1"/>
        </w:rPr>
        <w:t>mately a function of the individual liberty interest” that this due process right preserves.</w:t>
      </w:r>
      <w:r w:rsidR="00247D45" w:rsidRPr="00F96D2C">
        <w:rPr>
          <w:rFonts w:ascii="Garamond" w:hAnsi="Garamond"/>
          <w:color w:val="000000" w:themeColor="text1"/>
        </w:rPr>
        <w:t xml:space="preserve"> </w:t>
      </w:r>
      <w:r w:rsidRPr="00F96D2C">
        <w:rPr>
          <w:rFonts w:ascii="Garamond" w:hAnsi="Garamond"/>
          <w:color w:val="000000" w:themeColor="text1"/>
        </w:rPr>
        <w:t>Because the personal-jurisdiction right belongs to the defendant, however, we explained that a defendant can choose to “subject [itself] to powers from which [it] may otherwise be protected.” When that happens, a State can exercise jurisdiction over the defendant consistent with the Due Process Clause, even if our personal-jurisdiction cases would normally preclude the State from subjecting a defendant to its authority under the circumstances presented.</w:t>
      </w:r>
    </w:p>
    <w:p w14:paraId="7B4CDBD5"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4E9A733D" w14:textId="3C1F03C9"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Waiver is thus a critical feature of the personal-jurisdiction analysis. And there is more than one way to waive personal-jurisdiction rights</w:t>
      </w:r>
      <w:r w:rsidR="007C0074">
        <w:rPr>
          <w:rFonts w:ascii="Garamond" w:hAnsi="Garamond"/>
          <w:color w:val="000000" w:themeColor="text1"/>
        </w:rPr>
        <w:t xml:space="preserve"> . . . </w:t>
      </w:r>
      <w:r w:rsidRPr="00F96D2C">
        <w:rPr>
          <w:rFonts w:ascii="Garamond" w:hAnsi="Garamond"/>
          <w:color w:val="000000" w:themeColor="text1"/>
        </w:rPr>
        <w:t>. A defendant can waive its rights by explicitly or implicitly consenting to litigate future disputes in a particular State</w:t>
      </w:r>
      <w:r w:rsidR="005C058E">
        <w:rPr>
          <w:rFonts w:ascii="Garamond" w:hAnsi="Garamond"/>
          <w:color w:val="000000" w:themeColor="text1"/>
        </w:rPr>
        <w:t>’</w:t>
      </w:r>
      <w:r w:rsidRPr="00F96D2C">
        <w:rPr>
          <w:rFonts w:ascii="Garamond" w:hAnsi="Garamond"/>
          <w:color w:val="000000" w:themeColor="text1"/>
        </w:rPr>
        <w:t>s courts. A defendant might also fail to follow specific procedural rules, and end up waiving the right to object to personal jurisdiction as a consequence. Or a defendant can voluntarily invoke certain benefits from a State that are conditioned on submitting to the State</w:t>
      </w:r>
      <w:r w:rsidR="005C058E">
        <w:rPr>
          <w:rFonts w:ascii="Garamond" w:hAnsi="Garamond"/>
          <w:color w:val="000000" w:themeColor="text1"/>
        </w:rPr>
        <w:t>’</w:t>
      </w:r>
      <w:r w:rsidRPr="00F96D2C">
        <w:rPr>
          <w:rFonts w:ascii="Garamond" w:hAnsi="Garamond"/>
          <w:color w:val="000000" w:themeColor="text1"/>
        </w:rPr>
        <w:t>s jurisdiction.</w:t>
      </w:r>
    </w:p>
    <w:p w14:paraId="1643C48D"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40D82373" w14:textId="1F975A9D"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Regardless of whether a defendant relinquishes its personal-jurisdiction rights expressly or con</w:t>
      </w:r>
      <w:r w:rsidR="007758FD">
        <w:rPr>
          <w:rFonts w:ascii="Garamond" w:hAnsi="Garamond"/>
          <w:color w:val="000000" w:themeColor="text1"/>
        </w:rPr>
        <w:softHyphen/>
      </w:r>
      <w:r w:rsidRPr="00F96D2C">
        <w:rPr>
          <w:rFonts w:ascii="Garamond" w:hAnsi="Garamond"/>
          <w:color w:val="000000" w:themeColor="text1"/>
        </w:rPr>
        <w:t>struc</w:t>
      </w:r>
      <w:r w:rsidR="007758FD">
        <w:rPr>
          <w:rFonts w:ascii="Garamond" w:hAnsi="Garamond"/>
          <w:color w:val="000000" w:themeColor="text1"/>
        </w:rPr>
        <w:softHyphen/>
      </w:r>
      <w:r w:rsidRPr="00F96D2C">
        <w:rPr>
          <w:rFonts w:ascii="Garamond" w:hAnsi="Garamond"/>
          <w:color w:val="000000" w:themeColor="text1"/>
        </w:rPr>
        <w:t xml:space="preserve">tively, the basic teaching of </w:t>
      </w:r>
      <w:r w:rsidRPr="00F96D2C">
        <w:rPr>
          <w:rFonts w:ascii="Garamond" w:hAnsi="Garamond"/>
          <w:i/>
          <w:color w:val="000000" w:themeColor="text1"/>
        </w:rPr>
        <w:t xml:space="preserve">Insurance Corp. of Ireland </w:t>
      </w:r>
      <w:r w:rsidRPr="00F96D2C">
        <w:rPr>
          <w:rFonts w:ascii="Garamond" w:hAnsi="Garamond"/>
          <w:color w:val="000000" w:themeColor="text1"/>
        </w:rPr>
        <w:t>is the same: When a defendant chooses to engage in behavior that “amount[s] to a legal submission to the jurisdiction of the court,” the Due Process Clause poses no barrier to the court</w:t>
      </w:r>
      <w:r w:rsidR="005C058E">
        <w:rPr>
          <w:rFonts w:ascii="Garamond" w:hAnsi="Garamond"/>
          <w:color w:val="000000" w:themeColor="text1"/>
        </w:rPr>
        <w:t>’</w:t>
      </w:r>
      <w:r w:rsidRPr="00F96D2C">
        <w:rPr>
          <w:rFonts w:ascii="Garamond" w:hAnsi="Garamond"/>
          <w:color w:val="000000" w:themeColor="text1"/>
        </w:rPr>
        <w:t>s exercise of personal jurisdiction.</w:t>
      </w:r>
    </w:p>
    <w:p w14:paraId="3ED4BE88"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029E3363" w14:textId="2E53FAB6"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In my view, there is no question that Norfolk Southern waived its personal-jurisdiction rights here. As the Court ably explains, Norfolk Southern agreed to register as a foreign corporation in Pennsylvania in exchange for the ability to conduct business within the Commonwealth and receive associated benefits. Moreover, when Norfolk Southern made that decision, the jurisdictional consequences of registration were clear. See 42 Pa. Cons. Stat. § 5301(a)(2)(</w:t>
      </w:r>
      <w:proofErr w:type="spellStart"/>
      <w:r w:rsidRPr="00F96D2C">
        <w:rPr>
          <w:rFonts w:ascii="Garamond" w:hAnsi="Garamond"/>
          <w:color w:val="000000" w:themeColor="text1"/>
        </w:rPr>
        <w:t>i</w:t>
      </w:r>
      <w:proofErr w:type="spellEnd"/>
      <w:r w:rsidRPr="00F96D2C">
        <w:rPr>
          <w:rFonts w:ascii="Garamond" w:hAnsi="Garamond"/>
          <w:color w:val="000000" w:themeColor="text1"/>
        </w:rPr>
        <w:t xml:space="preserve">) (1981) (expressly linking “qualification as a foreign corporation under the laws of </w:t>
      </w:r>
      <w:proofErr w:type="spellStart"/>
      <w:r w:rsidRPr="00F96D2C">
        <w:rPr>
          <w:rFonts w:ascii="Garamond" w:hAnsi="Garamond"/>
          <w:color w:val="000000" w:themeColor="text1"/>
        </w:rPr>
        <w:t>th</w:t>
      </w:r>
      <w:proofErr w:type="spellEnd"/>
      <w:r w:rsidRPr="00F96D2C">
        <w:rPr>
          <w:rFonts w:ascii="Garamond" w:hAnsi="Garamond"/>
          <w:color w:val="000000" w:themeColor="text1"/>
        </w:rPr>
        <w:t>[e] Commonwealth” to the “exercise [of] general personal jurisdiction”)</w:t>
      </w:r>
      <w:r w:rsidR="00FC0CEA">
        <w:rPr>
          <w:rFonts w:ascii="Garamond" w:hAnsi="Garamond"/>
          <w:color w:val="000000" w:themeColor="text1"/>
        </w:rPr>
        <w:t xml:space="preserve"> . . . </w:t>
      </w:r>
      <w:r w:rsidRPr="00F96D2C">
        <w:rPr>
          <w:rFonts w:ascii="Garamond" w:hAnsi="Garamond"/>
          <w:color w:val="000000" w:themeColor="text1"/>
        </w:rPr>
        <w:t>.</w:t>
      </w:r>
    </w:p>
    <w:p w14:paraId="0A26177D"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725FC491" w14:textId="582BA054"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xml:space="preserve">Nor was Norfolk Southern compelled to register and submit itself to the general jurisdiction of Pennsylvania courts simply because its trains passed through the Commonwealth. Registration is required when corporations seek to conduct </w:t>
      </w:r>
      <w:r w:rsidRPr="00F96D2C">
        <w:rPr>
          <w:rFonts w:ascii="Garamond" w:hAnsi="Garamond"/>
          <w:i/>
          <w:color w:val="000000" w:themeColor="text1"/>
        </w:rPr>
        <w:t>local</w:t>
      </w:r>
      <w:r w:rsidRPr="00F96D2C">
        <w:rPr>
          <w:rFonts w:ascii="Garamond" w:hAnsi="Garamond"/>
          <w:color w:val="000000" w:themeColor="text1"/>
        </w:rPr>
        <w:t xml:space="preserve"> business in a “regular, systematic, or extensive” way. Norfolk Southern apparently deemed registration worthwhile and opted in.</w:t>
      </w:r>
    </w:p>
    <w:p w14:paraId="0153CB20" w14:textId="29AEDB0C" w:rsidR="00CE26EA" w:rsidRPr="00F96D2C" w:rsidRDefault="005F44D6" w:rsidP="005F44D6">
      <w:pPr>
        <w:spacing w:line="275" w:lineRule="atLeast"/>
        <w:jc w:val="both"/>
        <w:rPr>
          <w:rFonts w:ascii="Garamond" w:hAnsi="Garamond"/>
          <w:color w:val="000000" w:themeColor="text1"/>
        </w:rPr>
      </w:pPr>
      <w:r w:rsidRPr="00F96D2C">
        <w:rPr>
          <w:rFonts w:ascii="Garamond" w:hAnsi="Garamond"/>
          <w:color w:val="000000" w:themeColor="text1"/>
        </w:rPr>
        <w:t>. . .</w:t>
      </w:r>
    </w:p>
    <w:p w14:paraId="2665E41B" w14:textId="3B3DB596"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7AE48767" w14:textId="730FEE95" w:rsidR="00C579C9" w:rsidRDefault="00000000">
      <w:pPr>
        <w:spacing w:before="200" w:line="275" w:lineRule="atLeast"/>
        <w:jc w:val="both"/>
        <w:rPr>
          <w:rFonts w:ascii="Garamond" w:hAnsi="Garamond"/>
          <w:color w:val="000000" w:themeColor="text1"/>
        </w:rPr>
      </w:pPr>
      <w:bookmarkStart w:id="22" w:name="co_anchor_Iba697f82307f11eeb5b7c8ccde3d"/>
      <w:bookmarkStart w:id="23" w:name="co_concurrance_opinion_0_1"/>
      <w:r w:rsidRPr="00F96D2C">
        <w:rPr>
          <w:rFonts w:ascii="Garamond" w:hAnsi="Garamond"/>
          <w:color w:val="000000" w:themeColor="text1"/>
        </w:rPr>
        <w:t>Justice ALITO, concurring in part and concurring in the judgment.</w:t>
      </w:r>
    </w:p>
    <w:p w14:paraId="239A12FC" w14:textId="77777777" w:rsidR="005470CB" w:rsidRDefault="005470CB">
      <w:pPr>
        <w:spacing w:line="275" w:lineRule="atLeast"/>
        <w:jc w:val="both"/>
        <w:rPr>
          <w:rFonts w:ascii="Garamond" w:hAnsi="Garamond"/>
          <w:color w:val="000000" w:themeColor="text1"/>
        </w:rPr>
      </w:pPr>
      <w:bookmarkStart w:id="24" w:name="co_anchor_Iba697f82307f11eeb5b7c8ccd2"/>
      <w:bookmarkEnd w:id="22"/>
      <w:bookmarkEnd w:id="23"/>
    </w:p>
    <w:p w14:paraId="6D786887" w14:textId="7138A94C"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The sole question before us is whether the Due Process Clause of the Fourteenth Amendment is violated when a large out-of-state corporation with substantial operations in a State complies with a reg</w:t>
      </w:r>
      <w:r w:rsidR="00030A6E">
        <w:rPr>
          <w:rFonts w:ascii="Garamond" w:hAnsi="Garamond"/>
          <w:color w:val="000000" w:themeColor="text1"/>
        </w:rPr>
        <w:softHyphen/>
      </w:r>
      <w:r w:rsidRPr="00F96D2C">
        <w:rPr>
          <w:rFonts w:ascii="Garamond" w:hAnsi="Garamond"/>
          <w:color w:val="000000" w:themeColor="text1"/>
        </w:rPr>
        <w:t>istration requirement that conditions the right to do business in that State on the registrant</w:t>
      </w:r>
      <w:r w:rsidR="005C058E">
        <w:rPr>
          <w:rFonts w:ascii="Garamond" w:hAnsi="Garamond"/>
          <w:color w:val="000000" w:themeColor="text1"/>
        </w:rPr>
        <w:t>’</w:t>
      </w:r>
      <w:r w:rsidRPr="00F96D2C">
        <w:rPr>
          <w:rFonts w:ascii="Garamond" w:hAnsi="Garamond"/>
          <w:color w:val="000000" w:themeColor="text1"/>
        </w:rPr>
        <w:t xml:space="preserve">s submission to personal jurisdiction in any suits that are brought there. I agree with the Court that the answer to this question is no. </w:t>
      </w:r>
      <w:r w:rsidRPr="00F96D2C">
        <w:rPr>
          <w:rFonts w:ascii="Garamond" w:hAnsi="Garamond"/>
          <w:i/>
          <w:color w:val="000000" w:themeColor="text1"/>
        </w:rPr>
        <w:t>Assuming</w:t>
      </w:r>
      <w:r w:rsidRPr="00F96D2C">
        <w:rPr>
          <w:rFonts w:ascii="Garamond" w:hAnsi="Garamond"/>
          <w:color w:val="000000" w:themeColor="text1"/>
        </w:rPr>
        <w:t xml:space="preserve"> that the Constitution allows a State to impose such a registration requirement, I see no reason to conclude that such suits violate the corporation</w:t>
      </w:r>
      <w:r w:rsidR="005C058E">
        <w:rPr>
          <w:rFonts w:ascii="Garamond" w:hAnsi="Garamond"/>
          <w:color w:val="000000" w:themeColor="text1"/>
        </w:rPr>
        <w:t>’</w:t>
      </w:r>
      <w:r w:rsidRPr="00F96D2C">
        <w:rPr>
          <w:rFonts w:ascii="Garamond" w:hAnsi="Garamond"/>
          <w:color w:val="000000" w:themeColor="text1"/>
        </w:rPr>
        <w:t>s right to “</w:t>
      </w:r>
      <w:r w:rsidR="005C058E">
        <w:rPr>
          <w:rFonts w:ascii="Garamond" w:hAnsi="Garamond"/>
          <w:color w:val="000000" w:themeColor="text1"/>
        </w:rPr>
        <w:t>‘</w:t>
      </w:r>
      <w:r w:rsidRPr="00F96D2C">
        <w:rPr>
          <w:rFonts w:ascii="Garamond" w:hAnsi="Garamond"/>
          <w:color w:val="000000" w:themeColor="text1"/>
        </w:rPr>
        <w:t>fair play and substantial justice.</w:t>
      </w:r>
      <w:r w:rsidR="005C058E">
        <w:rPr>
          <w:rFonts w:ascii="Garamond" w:hAnsi="Garamond"/>
          <w:color w:val="000000" w:themeColor="text1"/>
        </w:rPr>
        <w:t>’</w:t>
      </w:r>
      <w:r w:rsidRPr="00F96D2C">
        <w:rPr>
          <w:rFonts w:ascii="Garamond" w:hAnsi="Garamond"/>
          <w:color w:val="000000" w:themeColor="text1"/>
        </w:rPr>
        <w:t xml:space="preserve">” </w:t>
      </w:r>
      <w:r w:rsidRPr="00F96D2C">
        <w:rPr>
          <w:rFonts w:ascii="Garamond" w:hAnsi="Garamond"/>
          <w:i/>
          <w:color w:val="000000" w:themeColor="text1"/>
        </w:rPr>
        <w:t>International Shoe Co. v. Washington</w:t>
      </w:r>
      <w:r w:rsidR="00C579C9" w:rsidRPr="00F96D2C">
        <w:rPr>
          <w:rFonts w:ascii="Garamond" w:hAnsi="Garamond"/>
          <w:i/>
          <w:color w:val="000000" w:themeColor="text1"/>
        </w:rPr>
        <w:t xml:space="preserve"> </w:t>
      </w:r>
      <w:r w:rsidRPr="00F96D2C">
        <w:rPr>
          <w:rFonts w:ascii="Garamond" w:hAnsi="Garamond"/>
          <w:color w:val="000000" w:themeColor="text1"/>
        </w:rPr>
        <w:t>(1945).</w:t>
      </w:r>
    </w:p>
    <w:bookmarkEnd w:id="24"/>
    <w:p w14:paraId="3F4EE786" w14:textId="61937369" w:rsidR="00CE26EA" w:rsidRPr="00F96D2C" w:rsidRDefault="00CE26EA">
      <w:pPr>
        <w:spacing w:line="275" w:lineRule="atLeast"/>
        <w:jc w:val="both"/>
        <w:rPr>
          <w:rFonts w:ascii="Garamond" w:hAnsi="Garamond"/>
          <w:color w:val="000000" w:themeColor="text1"/>
        </w:rPr>
      </w:pPr>
    </w:p>
    <w:p w14:paraId="290A5629" w14:textId="765B7502" w:rsidR="009C7CF1"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I am not convinced, however, that the Constitution permits a State to impose such a submission-to-jurisdiction requirement. A State</w:t>
      </w:r>
      <w:r w:rsidR="005C058E">
        <w:rPr>
          <w:rFonts w:ascii="Garamond" w:hAnsi="Garamond"/>
          <w:color w:val="000000" w:themeColor="text1"/>
        </w:rPr>
        <w:t>’</w:t>
      </w:r>
      <w:r w:rsidRPr="00F96D2C">
        <w:rPr>
          <w:rFonts w:ascii="Garamond" w:hAnsi="Garamond"/>
          <w:color w:val="000000" w:themeColor="text1"/>
        </w:rPr>
        <w:t>s assertion of juris</w:t>
      </w:r>
      <w:r w:rsidR="00825422">
        <w:rPr>
          <w:rFonts w:ascii="Garamond" w:hAnsi="Garamond"/>
          <w:color w:val="000000" w:themeColor="text1"/>
        </w:rPr>
        <w:softHyphen/>
      </w:r>
      <w:r w:rsidRPr="00F96D2C">
        <w:rPr>
          <w:rFonts w:ascii="Garamond" w:hAnsi="Garamond"/>
          <w:color w:val="000000" w:themeColor="text1"/>
        </w:rPr>
        <w:t xml:space="preserve">diction over lawsuits with no real connection to the State may violate fundamental principles that are </w:t>
      </w:r>
      <w:r w:rsidRPr="00F96D2C">
        <w:rPr>
          <w:rFonts w:ascii="Garamond" w:hAnsi="Garamond"/>
          <w:color w:val="000000" w:themeColor="text1"/>
        </w:rPr>
        <w:lastRenderedPageBreak/>
        <w:t>protected by one or more constitutional provisions or by the very structure of the federal system that the Constitution created. At this point in the development of our constitutional case law, the most appropriate home for these principles is the so-called dormant Commerce Clause. Norfolk Southern appears to have asserted a Commerce Clause claim below, but the Pennsylvania Supreme Court did not address it. Presumably, Norfolk Southern can renew the challenge on remand. I therefore agree that we should vacate the Pennsylvania Supreme Court</w:t>
      </w:r>
      <w:r w:rsidR="005C058E">
        <w:rPr>
          <w:rFonts w:ascii="Garamond" w:hAnsi="Garamond"/>
          <w:color w:val="000000" w:themeColor="text1"/>
        </w:rPr>
        <w:t>’</w:t>
      </w:r>
      <w:r w:rsidRPr="00F96D2C">
        <w:rPr>
          <w:rFonts w:ascii="Garamond" w:hAnsi="Garamond"/>
          <w:color w:val="000000" w:themeColor="text1"/>
        </w:rPr>
        <w:t>s judgment and remand the case for further proceedings.</w:t>
      </w:r>
    </w:p>
    <w:p w14:paraId="2E93AF1E" w14:textId="5AB01E3F" w:rsidR="00CE26EA" w:rsidRPr="00F96D2C" w:rsidRDefault="009C7CF1">
      <w:pPr>
        <w:spacing w:line="275" w:lineRule="atLeast"/>
        <w:jc w:val="both"/>
        <w:rPr>
          <w:rFonts w:ascii="Garamond" w:hAnsi="Garamond"/>
          <w:color w:val="000000" w:themeColor="text1"/>
        </w:rPr>
      </w:pPr>
      <w:r w:rsidRPr="00F96D2C">
        <w:rPr>
          <w:rFonts w:ascii="Garamond" w:hAnsi="Garamond"/>
          <w:color w:val="000000" w:themeColor="text1"/>
        </w:rPr>
        <w:t>. . . </w:t>
      </w:r>
    </w:p>
    <w:p w14:paraId="72B1E55E" w14:textId="28951DF7" w:rsidR="00CE26EA" w:rsidRPr="00F96D2C" w:rsidRDefault="00000000">
      <w:pPr>
        <w:spacing w:before="400" w:line="275" w:lineRule="atLeast"/>
        <w:rPr>
          <w:rFonts w:ascii="Garamond" w:hAnsi="Garamond"/>
          <w:color w:val="000000" w:themeColor="text1"/>
        </w:rPr>
      </w:pPr>
      <w:bookmarkStart w:id="25" w:name="co_anchor_Iba865654307f11eeb5b7c8ccde3d"/>
      <w:bookmarkStart w:id="26" w:name="co_dissent_opinion_1"/>
      <w:r w:rsidRPr="00F96D2C">
        <w:rPr>
          <w:rFonts w:ascii="Garamond" w:hAnsi="Garamond"/>
          <w:color w:val="000000" w:themeColor="text1"/>
        </w:rPr>
        <w:t xml:space="preserve">Justice BARRETT, with whom THE CHIEF JUSTICE, Justice KAGAN, and Justice </w:t>
      </w:r>
      <w:r w:rsidR="00457F72" w:rsidRPr="00F96D2C">
        <w:rPr>
          <w:rFonts w:ascii="Garamond" w:hAnsi="Garamond"/>
          <w:color w:val="000000" w:themeColor="text1"/>
        </w:rPr>
        <w:t>KAVANAUGH</w:t>
      </w:r>
      <w:r w:rsidRPr="00F96D2C">
        <w:rPr>
          <w:rFonts w:ascii="Garamond" w:hAnsi="Garamond"/>
          <w:color w:val="000000" w:themeColor="text1"/>
        </w:rPr>
        <w:t xml:space="preserve"> join, dissenting.</w:t>
      </w:r>
    </w:p>
    <w:p w14:paraId="7C195647" w14:textId="77777777" w:rsidR="005470CB" w:rsidRDefault="005470CB">
      <w:pPr>
        <w:spacing w:line="275" w:lineRule="atLeast"/>
        <w:jc w:val="both"/>
        <w:rPr>
          <w:rFonts w:ascii="Garamond" w:hAnsi="Garamond"/>
          <w:color w:val="000000" w:themeColor="text1"/>
        </w:rPr>
      </w:pPr>
      <w:bookmarkStart w:id="27" w:name="co_anchor_Iba865654307f11eeb5b7c8ccd2"/>
      <w:bookmarkEnd w:id="25"/>
      <w:bookmarkEnd w:id="26"/>
    </w:p>
    <w:p w14:paraId="2DB92E53" w14:textId="0C9D728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xml:space="preserve">For 75 years, we have held that the Due Process Clause does not allow state courts to assert general jurisdiction over foreign defendants merely because they do business in the State. </w:t>
      </w:r>
      <w:r w:rsidRPr="00F96D2C">
        <w:rPr>
          <w:rFonts w:ascii="Garamond" w:hAnsi="Garamond"/>
          <w:i/>
          <w:color w:val="000000" w:themeColor="text1"/>
        </w:rPr>
        <w:t>International Shoe Co. v. Washington</w:t>
      </w:r>
      <w:r w:rsidRPr="00F96D2C">
        <w:rPr>
          <w:rFonts w:ascii="Garamond" w:hAnsi="Garamond"/>
          <w:color w:val="000000" w:themeColor="text1"/>
        </w:rPr>
        <w:t xml:space="preserve"> (1945). Pennsylvania nevertheless claims general jurisdiction over all corporations that law</w:t>
      </w:r>
      <w:r w:rsidR="00365545">
        <w:rPr>
          <w:rFonts w:ascii="Garamond" w:hAnsi="Garamond"/>
          <w:color w:val="000000" w:themeColor="text1"/>
        </w:rPr>
        <w:softHyphen/>
      </w:r>
      <w:r w:rsidRPr="00F96D2C">
        <w:rPr>
          <w:rFonts w:ascii="Garamond" w:hAnsi="Garamond"/>
          <w:color w:val="000000" w:themeColor="text1"/>
        </w:rPr>
        <w:t>fully do business within its borders. As the Com</w:t>
      </w:r>
      <w:r w:rsidR="00365545">
        <w:rPr>
          <w:rFonts w:ascii="Garamond" w:hAnsi="Garamond"/>
          <w:color w:val="000000" w:themeColor="text1"/>
        </w:rPr>
        <w:softHyphen/>
      </w:r>
      <w:r w:rsidRPr="00F96D2C">
        <w:rPr>
          <w:rFonts w:ascii="Garamond" w:hAnsi="Garamond"/>
          <w:color w:val="000000" w:themeColor="text1"/>
        </w:rPr>
        <w:t>monwealth</w:t>
      </w:r>
      <w:r w:rsidR="005C058E">
        <w:rPr>
          <w:rFonts w:ascii="Garamond" w:hAnsi="Garamond"/>
          <w:color w:val="000000" w:themeColor="text1"/>
        </w:rPr>
        <w:t>’</w:t>
      </w:r>
      <w:r w:rsidRPr="00F96D2C">
        <w:rPr>
          <w:rFonts w:ascii="Garamond" w:hAnsi="Garamond"/>
          <w:color w:val="000000" w:themeColor="text1"/>
        </w:rPr>
        <w:t xml:space="preserve">s own courts recognized, that flies in the face of our precedent. See </w:t>
      </w:r>
      <w:r w:rsidRPr="00F96D2C">
        <w:rPr>
          <w:rFonts w:ascii="Garamond" w:hAnsi="Garamond"/>
          <w:i/>
          <w:color w:val="000000" w:themeColor="text1"/>
        </w:rPr>
        <w:t>Daimler AG v. Bauman</w:t>
      </w:r>
      <w:r w:rsidRPr="00F96D2C">
        <w:rPr>
          <w:rFonts w:ascii="Garamond" w:hAnsi="Garamond"/>
          <w:color w:val="000000" w:themeColor="text1"/>
        </w:rPr>
        <w:t xml:space="preserve"> (2014).</w:t>
      </w:r>
    </w:p>
    <w:bookmarkEnd w:id="27"/>
    <w:p w14:paraId="343304A3"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2445BCEE"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The Court finds a way around this settled rule. All a State must do is compel a corporation to register to conduct business there (as every State does) and enact a law making registration sufficient for suit on any cause (as every State could do). Then, every company doing business in the State is subject to general jurisdiction based on implied “consent”—not contacts. That includes suits, like this one, with no connection whatsoever to the forum.</w:t>
      </w:r>
    </w:p>
    <w:p w14:paraId="226DB687"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2CAAA7F2" w14:textId="7BFC1007" w:rsidR="00CE26EA" w:rsidRDefault="00000000">
      <w:pPr>
        <w:spacing w:line="275" w:lineRule="atLeast"/>
        <w:jc w:val="both"/>
        <w:rPr>
          <w:rFonts w:ascii="Garamond" w:hAnsi="Garamond"/>
          <w:color w:val="000000" w:themeColor="text1"/>
        </w:rPr>
      </w:pPr>
      <w:r w:rsidRPr="00F96D2C">
        <w:rPr>
          <w:rFonts w:ascii="Garamond" w:hAnsi="Garamond"/>
          <w:color w:val="000000" w:themeColor="text1"/>
        </w:rPr>
        <w:t xml:space="preserve">Such an approach does not formally overrule our traditional contacts-based approach to jurisdiction, but it might as well. By relabeling their long-arm statutes, States may now manufacture “consent” to personal jurisdiction. Because I would not permit </w:t>
      </w:r>
      <w:r w:rsidRPr="00F96D2C">
        <w:rPr>
          <w:rFonts w:ascii="Garamond" w:hAnsi="Garamond"/>
          <w:color w:val="000000" w:themeColor="text1"/>
        </w:rPr>
        <w:t>state governments to circumvent constitutional limits so easily, I respectfully dissent.</w:t>
      </w:r>
    </w:p>
    <w:p w14:paraId="7D936B75" w14:textId="77777777" w:rsidR="00624EF9" w:rsidRPr="00F96D2C" w:rsidRDefault="00624EF9">
      <w:pPr>
        <w:spacing w:line="275" w:lineRule="atLeast"/>
        <w:jc w:val="both"/>
        <w:rPr>
          <w:rFonts w:ascii="Garamond" w:hAnsi="Garamond"/>
          <w:color w:val="000000" w:themeColor="text1"/>
        </w:rPr>
      </w:pPr>
    </w:p>
    <w:p w14:paraId="6AC8F1A0" w14:textId="64978C90" w:rsidR="00CE26EA" w:rsidRPr="00F96D2C" w:rsidRDefault="00000000" w:rsidP="00624EF9">
      <w:pPr>
        <w:spacing w:line="275" w:lineRule="atLeast"/>
        <w:jc w:val="center"/>
        <w:rPr>
          <w:rFonts w:ascii="Garamond" w:hAnsi="Garamond"/>
          <w:color w:val="000000" w:themeColor="text1"/>
        </w:rPr>
      </w:pPr>
      <w:bookmarkStart w:id="28" w:name="co_anchor_Iba8767c1307f11eeb5b7c8ccd2"/>
      <w:bookmarkStart w:id="29" w:name="co_anchor_Iba8767c1307f11eeb5b7c8ccde3d"/>
      <w:r w:rsidRPr="00F96D2C">
        <w:rPr>
          <w:rFonts w:ascii="Garamond" w:hAnsi="Garamond"/>
          <w:color w:val="000000" w:themeColor="text1"/>
        </w:rPr>
        <w:t>I</w:t>
      </w:r>
      <w:bookmarkStart w:id="30" w:name="co_anchor_Iba8767c1307f11eeb5b7c8ccd3"/>
      <w:bookmarkEnd w:id="28"/>
      <w:bookmarkEnd w:id="29"/>
      <w:r w:rsidR="00F700B2">
        <w:rPr>
          <w:rFonts w:ascii="Garamond" w:hAnsi="Garamond"/>
          <w:color w:val="000000" w:themeColor="text1"/>
        </w:rPr>
        <w:br/>
      </w:r>
      <w:r w:rsidRPr="00F96D2C">
        <w:rPr>
          <w:rFonts w:ascii="Garamond" w:hAnsi="Garamond"/>
          <w:color w:val="000000" w:themeColor="text1"/>
        </w:rPr>
        <w:t>A</w:t>
      </w:r>
    </w:p>
    <w:bookmarkEnd w:id="30"/>
    <w:p w14:paraId="39EA707A" w14:textId="5B355439" w:rsidR="00CE26EA" w:rsidRPr="00F96D2C" w:rsidRDefault="00000000">
      <w:pPr>
        <w:spacing w:before="400" w:line="275" w:lineRule="atLeast"/>
        <w:jc w:val="both"/>
        <w:rPr>
          <w:rFonts w:ascii="Garamond" w:hAnsi="Garamond"/>
          <w:color w:val="000000" w:themeColor="text1"/>
        </w:rPr>
      </w:pPr>
      <w:r w:rsidRPr="00F96D2C">
        <w:rPr>
          <w:rFonts w:ascii="Garamond" w:hAnsi="Garamond"/>
          <w:color w:val="000000" w:themeColor="text1"/>
        </w:rPr>
        <w:t>Personal jurisdiction is the authority of a court to issue a judgment that binds a defendant. If a defendant submits to a court</w:t>
      </w:r>
      <w:r w:rsidR="005C058E">
        <w:rPr>
          <w:rFonts w:ascii="Garamond" w:hAnsi="Garamond"/>
          <w:color w:val="000000" w:themeColor="text1"/>
        </w:rPr>
        <w:t>’</w:t>
      </w:r>
      <w:r w:rsidRPr="00F96D2C">
        <w:rPr>
          <w:rFonts w:ascii="Garamond" w:hAnsi="Garamond"/>
          <w:color w:val="000000" w:themeColor="text1"/>
        </w:rPr>
        <w:t xml:space="preserve">s authority, the court automatically acquires personal jurisdiction. But if a defendant </w:t>
      </w:r>
      <w:r w:rsidRPr="00F96D2C">
        <w:rPr>
          <w:rFonts w:ascii="Garamond" w:hAnsi="Garamond"/>
          <w:i/>
          <w:color w:val="000000" w:themeColor="text1"/>
        </w:rPr>
        <w:t>contests</w:t>
      </w:r>
      <w:r w:rsidRPr="00F96D2C">
        <w:rPr>
          <w:rFonts w:ascii="Garamond" w:hAnsi="Garamond"/>
          <w:color w:val="000000" w:themeColor="text1"/>
        </w:rPr>
        <w:t xml:space="preserve"> the court</w:t>
      </w:r>
      <w:r w:rsidR="005C058E">
        <w:rPr>
          <w:rFonts w:ascii="Garamond" w:hAnsi="Garamond"/>
          <w:color w:val="000000" w:themeColor="text1"/>
        </w:rPr>
        <w:t>’</w:t>
      </w:r>
      <w:r w:rsidRPr="00F96D2C">
        <w:rPr>
          <w:rFonts w:ascii="Garamond" w:hAnsi="Garamond"/>
          <w:color w:val="000000" w:themeColor="text1"/>
        </w:rPr>
        <w:t>s authority, the court must determine whether it can nevertheless assert coercive power over the defendant. That calculus turns first on the statute or rule defining the persons within the court</w:t>
      </w:r>
      <w:r w:rsidR="005C058E">
        <w:rPr>
          <w:rFonts w:ascii="Garamond" w:hAnsi="Garamond"/>
          <w:color w:val="000000" w:themeColor="text1"/>
        </w:rPr>
        <w:t>’</w:t>
      </w:r>
      <w:r w:rsidRPr="00F96D2C">
        <w:rPr>
          <w:rFonts w:ascii="Garamond" w:hAnsi="Garamond"/>
          <w:color w:val="000000" w:themeColor="text1"/>
        </w:rPr>
        <w:t xml:space="preserve">s reach. See </w:t>
      </w:r>
      <w:r w:rsidRPr="00F96D2C">
        <w:rPr>
          <w:rFonts w:ascii="Garamond" w:hAnsi="Garamond"/>
          <w:i/>
          <w:color w:val="000000" w:themeColor="text1"/>
        </w:rPr>
        <w:t>World-Wide Volkswagen Corp. v. Woodson</w:t>
      </w:r>
      <w:r w:rsidRPr="00F96D2C">
        <w:rPr>
          <w:rFonts w:ascii="Garamond" w:hAnsi="Garamond"/>
          <w:color w:val="000000" w:themeColor="text1"/>
        </w:rPr>
        <w:t xml:space="preserve"> (1980). It depends next on the Due Process Clause, which guards a defendant</w:t>
      </w:r>
      <w:r w:rsidR="005C058E">
        <w:rPr>
          <w:rFonts w:ascii="Garamond" w:hAnsi="Garamond"/>
          <w:color w:val="000000" w:themeColor="text1"/>
        </w:rPr>
        <w:t>’</w:t>
      </w:r>
      <w:r w:rsidRPr="00F96D2C">
        <w:rPr>
          <w:rFonts w:ascii="Garamond" w:hAnsi="Garamond"/>
          <w:color w:val="000000" w:themeColor="text1"/>
        </w:rPr>
        <w:t xml:space="preserve">s right to resist the judicial authority of a sovereign to which it has an insufficient tie. The Clause has the companion role of ensuring that state courts “do not reach out beyond the limits imposed on them by their status as coequal sovereigns in a federal system.” </w:t>
      </w:r>
      <w:r w:rsidRPr="00F96D2C">
        <w:rPr>
          <w:rFonts w:ascii="Garamond" w:hAnsi="Garamond"/>
          <w:i/>
          <w:color w:val="000000" w:themeColor="text1"/>
        </w:rPr>
        <w:t>World-Wide Volkswagen</w:t>
      </w:r>
      <w:r w:rsidRPr="00F96D2C">
        <w:rPr>
          <w:rFonts w:ascii="Garamond" w:hAnsi="Garamond"/>
          <w:color w:val="000000" w:themeColor="text1"/>
        </w:rPr>
        <w:t>.</w:t>
      </w:r>
    </w:p>
    <w:p w14:paraId="71E9BAC7" w14:textId="64D00263" w:rsidR="00CE26EA" w:rsidRPr="00F96D2C" w:rsidRDefault="00CE26EA">
      <w:pPr>
        <w:spacing w:line="275" w:lineRule="atLeast"/>
        <w:jc w:val="both"/>
        <w:rPr>
          <w:rFonts w:ascii="Garamond" w:hAnsi="Garamond"/>
          <w:color w:val="000000" w:themeColor="text1"/>
        </w:rPr>
      </w:pPr>
    </w:p>
    <w:p w14:paraId="2EAF68EB" w14:textId="0EFC93EA"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Our precedent divides personal jurisdiction into two categories: specific and general. Both are subject to the demands of the Due Process Clause. Specific jurisdiction, as its name suggests, allows a state court to adjudicate specific claims against a defendant. When a defendant “purposefully avails itself of the privilege of conducting activities within the forum State,” that State</w:t>
      </w:r>
      <w:r w:rsidR="005C058E">
        <w:rPr>
          <w:rFonts w:ascii="Garamond" w:hAnsi="Garamond"/>
          <w:color w:val="000000" w:themeColor="text1"/>
        </w:rPr>
        <w:t>’</w:t>
      </w:r>
      <w:r w:rsidRPr="00F96D2C">
        <w:rPr>
          <w:rFonts w:ascii="Garamond" w:hAnsi="Garamond"/>
          <w:color w:val="000000" w:themeColor="text1"/>
        </w:rPr>
        <w:t>s courts may adjudicate claims that “</w:t>
      </w:r>
      <w:r w:rsidR="005C058E">
        <w:rPr>
          <w:rFonts w:ascii="Garamond" w:hAnsi="Garamond"/>
          <w:color w:val="000000" w:themeColor="text1"/>
        </w:rPr>
        <w:t>‘</w:t>
      </w:r>
      <w:r w:rsidRPr="00F96D2C">
        <w:rPr>
          <w:rFonts w:ascii="Garamond" w:hAnsi="Garamond"/>
          <w:color w:val="000000" w:themeColor="text1"/>
        </w:rPr>
        <w:t>arise out of or relate to the defendant</w:t>
      </w:r>
      <w:r w:rsidR="005C058E">
        <w:rPr>
          <w:rFonts w:ascii="Garamond" w:hAnsi="Garamond"/>
          <w:color w:val="000000" w:themeColor="text1"/>
        </w:rPr>
        <w:t>’</w:t>
      </w:r>
      <w:r w:rsidRPr="00F96D2C">
        <w:rPr>
          <w:rFonts w:ascii="Garamond" w:hAnsi="Garamond"/>
          <w:color w:val="000000" w:themeColor="text1"/>
        </w:rPr>
        <w:t>s contacts</w:t>
      </w:r>
      <w:r w:rsidR="005C058E">
        <w:rPr>
          <w:rFonts w:ascii="Garamond" w:hAnsi="Garamond"/>
          <w:color w:val="000000" w:themeColor="text1"/>
        </w:rPr>
        <w:t>’</w:t>
      </w:r>
      <w:r w:rsidRPr="00F96D2C">
        <w:rPr>
          <w:rFonts w:ascii="Garamond" w:hAnsi="Garamond"/>
          <w:color w:val="000000" w:themeColor="text1"/>
        </w:rPr>
        <w:t xml:space="preserve"> with the forum,” </w:t>
      </w:r>
      <w:r w:rsidRPr="00F96D2C">
        <w:rPr>
          <w:rFonts w:ascii="Garamond" w:hAnsi="Garamond"/>
          <w:i/>
          <w:color w:val="000000" w:themeColor="text1"/>
        </w:rPr>
        <w:t>Ford Motor Co.</w:t>
      </w:r>
      <w:r w:rsidRPr="00F96D2C">
        <w:rPr>
          <w:rFonts w:ascii="Garamond" w:hAnsi="Garamond"/>
          <w:color w:val="000000" w:themeColor="text1"/>
        </w:rPr>
        <w:t xml:space="preserve"> </w:t>
      </w:r>
      <w:r w:rsidRPr="00F96D2C">
        <w:rPr>
          <w:rFonts w:ascii="Garamond" w:hAnsi="Garamond"/>
          <w:i/>
          <w:color w:val="000000" w:themeColor="text1"/>
        </w:rPr>
        <w:t>v. Montana Eighth Judicial Dist. Court</w:t>
      </w:r>
      <w:r w:rsidRPr="00F96D2C">
        <w:rPr>
          <w:rFonts w:ascii="Garamond" w:hAnsi="Garamond"/>
          <w:color w:val="000000" w:themeColor="text1"/>
        </w:rPr>
        <w:t xml:space="preserve"> (2021).</w:t>
      </w:r>
    </w:p>
    <w:p w14:paraId="1A58C655"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2DEDB9D4" w14:textId="52BC88AB"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General jurisdiction, by contrast, allows a state court to adjudicate “</w:t>
      </w:r>
      <w:r w:rsidR="005C058E">
        <w:rPr>
          <w:rFonts w:ascii="Garamond" w:hAnsi="Garamond"/>
          <w:color w:val="000000" w:themeColor="text1"/>
        </w:rPr>
        <w:t>‘</w:t>
      </w:r>
      <w:r w:rsidRPr="00F96D2C">
        <w:rPr>
          <w:rFonts w:ascii="Garamond" w:hAnsi="Garamond"/>
          <w:color w:val="000000" w:themeColor="text1"/>
        </w:rPr>
        <w:t>any and all claims</w:t>
      </w:r>
      <w:r w:rsidR="005C058E">
        <w:rPr>
          <w:rFonts w:ascii="Garamond" w:hAnsi="Garamond"/>
          <w:color w:val="000000" w:themeColor="text1"/>
        </w:rPr>
        <w:t>’</w:t>
      </w:r>
      <w:r w:rsidRPr="00F96D2C">
        <w:rPr>
          <w:rFonts w:ascii="Garamond" w:hAnsi="Garamond"/>
          <w:color w:val="000000" w:themeColor="text1"/>
        </w:rPr>
        <w:t xml:space="preserve"> brought against a defendant.” </w:t>
      </w:r>
      <w:r w:rsidRPr="00F96D2C">
        <w:rPr>
          <w:rFonts w:ascii="Garamond" w:hAnsi="Garamond"/>
          <w:i/>
          <w:color w:val="000000" w:themeColor="text1"/>
        </w:rPr>
        <w:t>Ford Motor</w:t>
      </w:r>
      <w:r w:rsidRPr="00F96D2C">
        <w:rPr>
          <w:rFonts w:ascii="Garamond" w:hAnsi="Garamond"/>
          <w:color w:val="000000" w:themeColor="text1"/>
        </w:rPr>
        <w:t>. This sweeping authority exists only when the defendant</w:t>
      </w:r>
      <w:r w:rsidR="005C058E">
        <w:rPr>
          <w:rFonts w:ascii="Garamond" w:hAnsi="Garamond"/>
          <w:color w:val="000000" w:themeColor="text1"/>
        </w:rPr>
        <w:t>’</w:t>
      </w:r>
      <w:r w:rsidRPr="00F96D2C">
        <w:rPr>
          <w:rFonts w:ascii="Garamond" w:hAnsi="Garamond"/>
          <w:color w:val="000000" w:themeColor="text1"/>
        </w:rPr>
        <w:t>s connection to the State is tight—so tight, in fact, that the defendant is “</w:t>
      </w:r>
      <w:r w:rsidR="005C058E">
        <w:rPr>
          <w:rFonts w:ascii="Garamond" w:hAnsi="Garamond"/>
          <w:color w:val="000000" w:themeColor="text1"/>
        </w:rPr>
        <w:t>‘</w:t>
      </w:r>
      <w:r w:rsidRPr="00F96D2C">
        <w:rPr>
          <w:rFonts w:ascii="Garamond" w:hAnsi="Garamond"/>
          <w:color w:val="000000" w:themeColor="text1"/>
        </w:rPr>
        <w:t>at home</w:t>
      </w:r>
      <w:r w:rsidR="005C058E">
        <w:rPr>
          <w:rFonts w:ascii="Garamond" w:hAnsi="Garamond"/>
          <w:color w:val="000000" w:themeColor="text1"/>
        </w:rPr>
        <w:t>’</w:t>
      </w:r>
      <w:r w:rsidRPr="00F96D2C">
        <w:rPr>
          <w:rFonts w:ascii="Garamond" w:hAnsi="Garamond"/>
          <w:color w:val="000000" w:themeColor="text1"/>
        </w:rPr>
        <w:t xml:space="preserve">” there. </w:t>
      </w:r>
      <w:r w:rsidRPr="00F96D2C">
        <w:rPr>
          <w:rFonts w:ascii="Garamond" w:hAnsi="Garamond"/>
          <w:i/>
          <w:color w:val="000000" w:themeColor="text1"/>
        </w:rPr>
        <w:t>Ford Motor</w:t>
      </w:r>
      <w:r w:rsidRPr="00F96D2C">
        <w:rPr>
          <w:rFonts w:ascii="Garamond" w:hAnsi="Garamond"/>
          <w:color w:val="000000" w:themeColor="text1"/>
        </w:rPr>
        <w:t xml:space="preserve">. An individual is typically “at home” in her domicile, and a corporation is typically “at home” in both its place of incorporation and principal place of business, </w:t>
      </w:r>
      <w:r w:rsidRPr="00F96D2C">
        <w:rPr>
          <w:rFonts w:ascii="Garamond" w:hAnsi="Garamond"/>
          <w:color w:val="000000" w:themeColor="text1"/>
        </w:rPr>
        <w:lastRenderedPageBreak/>
        <w:t>Absent an exceptional circumstance, general jurisdiction is cabined to these locations.</w:t>
      </w:r>
    </w:p>
    <w:p w14:paraId="52EC1F78" w14:textId="77777777" w:rsidR="00B17D79" w:rsidRDefault="00B17D79" w:rsidP="00B17D79">
      <w:pPr>
        <w:spacing w:line="275" w:lineRule="atLeast"/>
        <w:jc w:val="center"/>
        <w:rPr>
          <w:rFonts w:ascii="Garamond" w:hAnsi="Garamond"/>
          <w:color w:val="000000" w:themeColor="text1"/>
        </w:rPr>
      </w:pPr>
      <w:bookmarkStart w:id="31" w:name="co_anchor_Iba8a26e1307f11eeb5b7c8ccd2"/>
      <w:bookmarkStart w:id="32" w:name="co_anchor_Iba8a26e1307f11eeb5b7c8ccde3d"/>
    </w:p>
    <w:p w14:paraId="13FEB690" w14:textId="0242ACCE" w:rsidR="00CE26EA" w:rsidRPr="00F96D2C" w:rsidRDefault="00000000" w:rsidP="00B17D79">
      <w:pPr>
        <w:spacing w:line="275" w:lineRule="atLeast"/>
        <w:jc w:val="center"/>
        <w:rPr>
          <w:rFonts w:ascii="Garamond" w:hAnsi="Garamond"/>
          <w:color w:val="000000" w:themeColor="text1"/>
        </w:rPr>
      </w:pPr>
      <w:r w:rsidRPr="00F96D2C">
        <w:rPr>
          <w:rFonts w:ascii="Garamond" w:hAnsi="Garamond"/>
          <w:color w:val="000000" w:themeColor="text1"/>
        </w:rPr>
        <w:t>B</w:t>
      </w:r>
    </w:p>
    <w:bookmarkEnd w:id="31"/>
    <w:bookmarkEnd w:id="32"/>
    <w:p w14:paraId="2DAE5CCC" w14:textId="14F51ED1" w:rsidR="00CE26EA" w:rsidRPr="00F96D2C" w:rsidRDefault="00000000">
      <w:pPr>
        <w:spacing w:before="400" w:line="275" w:lineRule="atLeast"/>
        <w:jc w:val="both"/>
        <w:rPr>
          <w:rFonts w:ascii="Garamond" w:hAnsi="Garamond"/>
          <w:color w:val="000000" w:themeColor="text1"/>
        </w:rPr>
      </w:pPr>
      <w:r w:rsidRPr="00F96D2C">
        <w:rPr>
          <w:rFonts w:ascii="Garamond" w:hAnsi="Garamond"/>
          <w:color w:val="000000" w:themeColor="text1"/>
        </w:rPr>
        <w:t>This case involves a Pennsylvania statute authorizing courts to exercise general jurisdiction over corpor</w:t>
      </w:r>
      <w:r w:rsidR="000B5DEB">
        <w:rPr>
          <w:rFonts w:ascii="Garamond" w:hAnsi="Garamond"/>
          <w:color w:val="000000" w:themeColor="text1"/>
        </w:rPr>
        <w:softHyphen/>
      </w:r>
      <w:r w:rsidRPr="00F96D2C">
        <w:rPr>
          <w:rFonts w:ascii="Garamond" w:hAnsi="Garamond"/>
          <w:color w:val="000000" w:themeColor="text1"/>
        </w:rPr>
        <w:t>ations that are not “at home” in the Commonwealth. All foreign corporations must register to do business in Pennsylvania, and all registrants are subject to suit on “any cause” in the Commonwealth</w:t>
      </w:r>
      <w:r w:rsidR="005C058E">
        <w:rPr>
          <w:rFonts w:ascii="Garamond" w:hAnsi="Garamond"/>
          <w:color w:val="000000" w:themeColor="text1"/>
        </w:rPr>
        <w:t>’</w:t>
      </w:r>
      <w:r w:rsidRPr="00F96D2C">
        <w:rPr>
          <w:rFonts w:ascii="Garamond" w:hAnsi="Garamond"/>
          <w:color w:val="000000" w:themeColor="text1"/>
        </w:rPr>
        <w:t xml:space="preserve">s courts. </w:t>
      </w:r>
      <w:r w:rsidR="004D6DDE">
        <w:rPr>
          <w:rFonts w:ascii="Garamond" w:hAnsi="Garamond"/>
          <w:color w:val="000000" w:themeColor="text1"/>
        </w:rPr>
        <w:t>[</w:t>
      </w:r>
      <w:r w:rsidR="00690514">
        <w:rPr>
          <w:rFonts w:ascii="Garamond" w:hAnsi="Garamond"/>
          <w:color w:val="000000" w:themeColor="text1"/>
        </w:rPr>
        <w:t>S</w:t>
      </w:r>
      <w:r w:rsidR="004D6DDE">
        <w:rPr>
          <w:rFonts w:ascii="Garamond" w:hAnsi="Garamond"/>
          <w:color w:val="000000" w:themeColor="text1"/>
        </w:rPr>
        <w:t>tate law</w:t>
      </w:r>
      <w:r w:rsidR="009F7085">
        <w:rPr>
          <w:rFonts w:ascii="Garamond" w:hAnsi="Garamond"/>
          <w:color w:val="000000" w:themeColor="text1"/>
        </w:rPr>
        <w:t xml:space="preserve"> thus</w:t>
      </w:r>
      <w:r w:rsidR="004D6DDE">
        <w:rPr>
          <w:rFonts w:ascii="Garamond" w:hAnsi="Garamond"/>
          <w:color w:val="000000" w:themeColor="text1"/>
        </w:rPr>
        <w:t xml:space="preserve">] </w:t>
      </w:r>
      <w:r w:rsidRPr="00F96D2C">
        <w:rPr>
          <w:rFonts w:ascii="Garamond" w:hAnsi="Garamond"/>
          <w:color w:val="000000" w:themeColor="text1"/>
        </w:rPr>
        <w:t>purports to empower Pennsylvania courts to adjudicate any and all claims against corporations doing business there.</w:t>
      </w:r>
    </w:p>
    <w:p w14:paraId="152AD794" w14:textId="3EFC2972" w:rsidR="00CE26EA" w:rsidRPr="00F96D2C" w:rsidRDefault="00F6349B">
      <w:pPr>
        <w:spacing w:line="275" w:lineRule="atLeast"/>
        <w:jc w:val="both"/>
        <w:rPr>
          <w:rFonts w:ascii="Garamond" w:hAnsi="Garamond"/>
          <w:color w:val="000000" w:themeColor="text1"/>
        </w:rPr>
      </w:pPr>
      <w:r>
        <w:rPr>
          <w:rFonts w:ascii="Garamond" w:hAnsi="Garamond"/>
          <w:color w:val="000000" w:themeColor="text1"/>
        </w:rPr>
        <w:t>. . .</w:t>
      </w:r>
    </w:p>
    <w:p w14:paraId="4BD37037"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43ED2C3D" w14:textId="2FF79A6F" w:rsidR="00CE26EA" w:rsidRPr="00F96D2C" w:rsidRDefault="00F6349B">
      <w:pPr>
        <w:spacing w:line="275" w:lineRule="atLeast"/>
        <w:jc w:val="both"/>
        <w:rPr>
          <w:rFonts w:ascii="Garamond" w:hAnsi="Garamond"/>
          <w:color w:val="000000" w:themeColor="text1"/>
        </w:rPr>
      </w:pPr>
      <w:r>
        <w:rPr>
          <w:rFonts w:ascii="Garamond" w:hAnsi="Garamond"/>
          <w:color w:val="000000" w:themeColor="text1"/>
        </w:rPr>
        <w:t xml:space="preserve">. . . </w:t>
      </w:r>
      <w:r w:rsidRPr="00F96D2C">
        <w:rPr>
          <w:rFonts w:ascii="Garamond" w:hAnsi="Garamond"/>
          <w:color w:val="000000" w:themeColor="text1"/>
        </w:rPr>
        <w:t>The Pennsylvania statute announces that registering to do business in the Commonwealth “shall constitute a sufficient basis” for general jurisdiction.</w:t>
      </w:r>
      <w:r w:rsidR="00A56B92">
        <w:rPr>
          <w:rFonts w:ascii="Garamond" w:hAnsi="Garamond"/>
          <w:color w:val="000000" w:themeColor="text1"/>
        </w:rPr>
        <w:t xml:space="preserve"> </w:t>
      </w:r>
      <w:r w:rsidRPr="00F96D2C">
        <w:rPr>
          <w:rFonts w:ascii="Garamond" w:hAnsi="Garamond"/>
          <w:color w:val="000000" w:themeColor="text1"/>
        </w:rPr>
        <w:t xml:space="preserve">But as our precedent makes crystal clear, simply doing business is </w:t>
      </w:r>
      <w:r w:rsidRPr="00F96D2C">
        <w:rPr>
          <w:rFonts w:ascii="Garamond" w:hAnsi="Garamond"/>
          <w:i/>
          <w:color w:val="000000" w:themeColor="text1"/>
        </w:rPr>
        <w:t>insufficient</w:t>
      </w:r>
      <w:r w:rsidRPr="00F96D2C">
        <w:rPr>
          <w:rFonts w:ascii="Garamond" w:hAnsi="Garamond"/>
          <w:color w:val="000000" w:themeColor="text1"/>
        </w:rPr>
        <w:t xml:space="preserve">. Absent an exceptional circumstance, a corporation is subject to general jurisdiction only in a State where it is incorporated or has its principal place of business. Adding the antecedent step of registration does not change that conclusion. If it did, “every corporation would be subject to general jurisdiction in every state in which it registered, and </w:t>
      </w:r>
      <w:r w:rsidRPr="00F96D2C">
        <w:rPr>
          <w:rFonts w:ascii="Garamond" w:hAnsi="Garamond"/>
          <w:i/>
          <w:color w:val="000000" w:themeColor="text1"/>
        </w:rPr>
        <w:t>Daimler</w:t>
      </w:r>
      <w:r w:rsidR="005C058E">
        <w:rPr>
          <w:rFonts w:ascii="Garamond" w:hAnsi="Garamond"/>
          <w:i/>
          <w:color w:val="000000" w:themeColor="text1"/>
        </w:rPr>
        <w:t>’</w:t>
      </w:r>
      <w:r w:rsidRPr="00F96D2C">
        <w:rPr>
          <w:rFonts w:ascii="Garamond" w:hAnsi="Garamond"/>
          <w:i/>
          <w:color w:val="000000" w:themeColor="text1"/>
        </w:rPr>
        <w:t>s</w:t>
      </w:r>
      <w:r w:rsidRPr="00F96D2C">
        <w:rPr>
          <w:rFonts w:ascii="Garamond" w:hAnsi="Garamond"/>
          <w:color w:val="000000" w:themeColor="text1"/>
        </w:rPr>
        <w:t xml:space="preserve"> ruling would be robbed of meaning by a back-door thief.” </w:t>
      </w:r>
      <w:r w:rsidRPr="00F96D2C">
        <w:rPr>
          <w:rFonts w:ascii="Garamond" w:hAnsi="Garamond"/>
          <w:i/>
          <w:color w:val="000000" w:themeColor="text1"/>
        </w:rPr>
        <w:t>Brown v. Lockheed Martin Corp.</w:t>
      </w:r>
      <w:r w:rsidR="00EC5D69">
        <w:rPr>
          <w:rFonts w:ascii="Garamond" w:hAnsi="Garamond"/>
          <w:color w:val="000000" w:themeColor="text1"/>
        </w:rPr>
        <w:t xml:space="preserve"> </w:t>
      </w:r>
      <w:r w:rsidRPr="00F96D2C">
        <w:rPr>
          <w:rFonts w:ascii="Garamond" w:hAnsi="Garamond"/>
          <w:color w:val="000000" w:themeColor="text1"/>
        </w:rPr>
        <w:t>(CA2 2016).</w:t>
      </w:r>
    </w:p>
    <w:p w14:paraId="5A685882" w14:textId="77777777" w:rsidR="00CE63A7" w:rsidRDefault="00CE63A7" w:rsidP="00CE63A7">
      <w:pPr>
        <w:spacing w:line="275" w:lineRule="atLeast"/>
        <w:jc w:val="center"/>
        <w:rPr>
          <w:rFonts w:ascii="Garamond" w:hAnsi="Garamond"/>
          <w:color w:val="000000" w:themeColor="text1"/>
        </w:rPr>
      </w:pPr>
      <w:bookmarkStart w:id="33" w:name="co_anchor_Iba8d3421307f11eeb5b7c8ccd2"/>
      <w:bookmarkStart w:id="34" w:name="co_anchor_Iba8d3421307f11eeb5b7c8ccde3d"/>
    </w:p>
    <w:p w14:paraId="7A4ECE33" w14:textId="09B75C9B" w:rsidR="00CE26EA" w:rsidRPr="00F96D2C" w:rsidRDefault="00000000" w:rsidP="00CE63A7">
      <w:pPr>
        <w:spacing w:line="275" w:lineRule="atLeast"/>
        <w:jc w:val="center"/>
        <w:rPr>
          <w:rFonts w:ascii="Garamond" w:hAnsi="Garamond"/>
          <w:color w:val="000000" w:themeColor="text1"/>
        </w:rPr>
      </w:pPr>
      <w:r w:rsidRPr="00F96D2C">
        <w:rPr>
          <w:rFonts w:ascii="Garamond" w:hAnsi="Garamond"/>
          <w:color w:val="000000" w:themeColor="text1"/>
        </w:rPr>
        <w:t>II</w:t>
      </w:r>
      <w:bookmarkStart w:id="35" w:name="co_anchor_Iba8d3421307f11eeb5b7c8ccd3"/>
      <w:bookmarkEnd w:id="33"/>
      <w:bookmarkEnd w:id="34"/>
      <w:r w:rsidR="00464348">
        <w:rPr>
          <w:rFonts w:ascii="Garamond" w:hAnsi="Garamond"/>
          <w:color w:val="000000" w:themeColor="text1"/>
        </w:rPr>
        <w:br/>
      </w:r>
      <w:r w:rsidRPr="00F96D2C">
        <w:rPr>
          <w:rFonts w:ascii="Garamond" w:hAnsi="Garamond"/>
          <w:color w:val="000000" w:themeColor="text1"/>
        </w:rPr>
        <w:t>A</w:t>
      </w:r>
    </w:p>
    <w:bookmarkEnd w:id="35"/>
    <w:p w14:paraId="6ADC1F55" w14:textId="72843BC1" w:rsidR="00CE26EA" w:rsidRPr="00F96D2C" w:rsidRDefault="00000000" w:rsidP="00AB6F7D">
      <w:pPr>
        <w:spacing w:before="400" w:line="275" w:lineRule="atLeast"/>
        <w:jc w:val="both"/>
        <w:rPr>
          <w:rFonts w:ascii="Garamond" w:hAnsi="Garamond"/>
          <w:color w:val="000000" w:themeColor="text1"/>
        </w:rPr>
      </w:pPr>
      <w:r w:rsidRPr="00F96D2C">
        <w:rPr>
          <w:rFonts w:ascii="Garamond" w:hAnsi="Garamond"/>
          <w:color w:val="000000" w:themeColor="text1"/>
        </w:rPr>
        <w:t xml:space="preserve">The Court short-circuits this precedent by characterizing this case as one about consent rather than contacts-based jurisdiction. Consent is an established basis for personal jurisdiction, which is, after all, a waivable defense. “A variety of legal arrangements have been taken to represent express or implied consent to the personal jurisdiction of the court,” including contract, stipulation, and in-court appearance. </w:t>
      </w:r>
      <w:r w:rsidRPr="00F96D2C">
        <w:rPr>
          <w:rFonts w:ascii="Garamond" w:hAnsi="Garamond"/>
          <w:i/>
          <w:color w:val="000000" w:themeColor="text1"/>
        </w:rPr>
        <w:t>Insurance Corp. of Ireland</w:t>
      </w:r>
      <w:r w:rsidRPr="00F96D2C">
        <w:rPr>
          <w:rFonts w:ascii="Garamond" w:hAnsi="Garamond"/>
          <w:color w:val="000000" w:themeColor="text1"/>
        </w:rPr>
        <w:t>. Today, the Court adds corporate registration to the list.</w:t>
      </w:r>
    </w:p>
    <w:p w14:paraId="3B281BD5" w14:textId="4ABE1D90" w:rsidR="00CE26EA" w:rsidRPr="00F96D2C" w:rsidRDefault="008223E9">
      <w:pPr>
        <w:spacing w:line="275" w:lineRule="atLeast"/>
        <w:jc w:val="both"/>
        <w:rPr>
          <w:rFonts w:ascii="Garamond" w:hAnsi="Garamond"/>
          <w:color w:val="000000" w:themeColor="text1"/>
        </w:rPr>
      </w:pPr>
      <w:r>
        <w:rPr>
          <w:rFonts w:ascii="Garamond" w:hAnsi="Garamond"/>
          <w:color w:val="000000" w:themeColor="text1"/>
        </w:rPr>
        <w:t>. . .</w:t>
      </w:r>
    </w:p>
    <w:p w14:paraId="0CC07BCB"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4F59E42D" w14:textId="48F6130F" w:rsidR="00CE26EA" w:rsidRPr="00F96D2C" w:rsidRDefault="00A7602C">
      <w:pPr>
        <w:spacing w:line="275" w:lineRule="atLeast"/>
        <w:jc w:val="both"/>
        <w:rPr>
          <w:rFonts w:ascii="Garamond" w:hAnsi="Garamond"/>
          <w:color w:val="000000" w:themeColor="text1"/>
        </w:rPr>
      </w:pPr>
      <w:r>
        <w:rPr>
          <w:rFonts w:ascii="Garamond" w:hAnsi="Garamond"/>
          <w:color w:val="000000" w:themeColor="text1"/>
        </w:rPr>
        <w:t xml:space="preserve">. . . </w:t>
      </w:r>
      <w:r w:rsidR="00000000" w:rsidRPr="00F96D2C">
        <w:rPr>
          <w:rFonts w:ascii="Garamond" w:hAnsi="Garamond"/>
          <w:color w:val="000000" w:themeColor="text1"/>
        </w:rPr>
        <w:t>The Court grounds consent in a corporation</w:t>
      </w:r>
      <w:r w:rsidR="005C058E">
        <w:rPr>
          <w:rFonts w:ascii="Garamond" w:hAnsi="Garamond"/>
          <w:color w:val="000000" w:themeColor="text1"/>
        </w:rPr>
        <w:t>’</w:t>
      </w:r>
      <w:r w:rsidR="00000000" w:rsidRPr="00F96D2C">
        <w:rPr>
          <w:rFonts w:ascii="Garamond" w:hAnsi="Garamond"/>
          <w:color w:val="000000" w:themeColor="text1"/>
        </w:rPr>
        <w:t xml:space="preserve">s choice to register with knowledge (constructive or actual) of the jurisdictional consequences. </w:t>
      </w:r>
      <w:r w:rsidR="00195E01">
        <w:rPr>
          <w:rFonts w:ascii="Garamond" w:hAnsi="Garamond"/>
          <w:color w:val="000000" w:themeColor="text1"/>
        </w:rPr>
        <w:t>. . .</w:t>
      </w:r>
      <w:r w:rsidR="00000000" w:rsidRPr="00F96D2C">
        <w:rPr>
          <w:rFonts w:ascii="Garamond" w:hAnsi="Garamond"/>
          <w:color w:val="000000" w:themeColor="text1"/>
        </w:rPr>
        <w:t xml:space="preserve"> But on that logic, </w:t>
      </w:r>
      <w:r w:rsidR="00000000" w:rsidRPr="00F96D2C">
        <w:rPr>
          <w:rFonts w:ascii="Garamond" w:hAnsi="Garamond"/>
          <w:i/>
          <w:color w:val="000000" w:themeColor="text1"/>
        </w:rPr>
        <w:t>any</w:t>
      </w:r>
      <w:r w:rsidR="00000000" w:rsidRPr="00F96D2C">
        <w:rPr>
          <w:rFonts w:ascii="Garamond" w:hAnsi="Garamond"/>
          <w:color w:val="000000" w:themeColor="text1"/>
        </w:rPr>
        <w:t xml:space="preserve"> long-arm statute could be said to elicit consent. Imagine a law that simply provides, “any corporation doing business in this State is subject to general jurisdiction in our courts.” Such a law defies our precedent, which, again, holds that “in-state business ... does not suffice to permit the assertion of general jurisdiction.” Yet this hypothetical law, like the Pennsylvania statute, gives notice that general jurisdiction is the price of doing business. And its “notice” is no less “clear” than Pennsylvania</w:t>
      </w:r>
      <w:r w:rsidR="005C058E">
        <w:rPr>
          <w:rFonts w:ascii="Garamond" w:hAnsi="Garamond"/>
          <w:color w:val="000000" w:themeColor="text1"/>
        </w:rPr>
        <w:t>’</w:t>
      </w:r>
      <w:r w:rsidR="00000000" w:rsidRPr="00F96D2C">
        <w:rPr>
          <w:rFonts w:ascii="Garamond" w:hAnsi="Garamond"/>
          <w:color w:val="000000" w:themeColor="text1"/>
        </w:rPr>
        <w:t>s. So on the Court</w:t>
      </w:r>
      <w:r w:rsidR="005C058E">
        <w:rPr>
          <w:rFonts w:ascii="Garamond" w:hAnsi="Garamond"/>
          <w:color w:val="000000" w:themeColor="text1"/>
        </w:rPr>
        <w:t>’</w:t>
      </w:r>
      <w:r w:rsidR="00000000" w:rsidRPr="00F96D2C">
        <w:rPr>
          <w:rFonts w:ascii="Garamond" w:hAnsi="Garamond"/>
          <w:color w:val="000000" w:themeColor="text1"/>
        </w:rPr>
        <w:t>s reasoning, corporations that choose to do business in the State impliedly consent to general jurisdiction. The result: A State could defeat the Due Process Clause by adopting a law at odds with the Due Process Clause.</w:t>
      </w:r>
    </w:p>
    <w:p w14:paraId="46936C7C"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775D961F" w14:textId="552A608A" w:rsidR="00CE26EA" w:rsidRDefault="00000000">
      <w:pPr>
        <w:spacing w:line="275" w:lineRule="atLeast"/>
        <w:jc w:val="both"/>
        <w:rPr>
          <w:rFonts w:ascii="Garamond" w:hAnsi="Garamond"/>
          <w:color w:val="000000" w:themeColor="text1"/>
        </w:rPr>
      </w:pPr>
      <w:r w:rsidRPr="00F96D2C">
        <w:rPr>
          <w:rFonts w:ascii="Garamond" w:hAnsi="Garamond"/>
          <w:color w:val="000000" w:themeColor="text1"/>
        </w:rPr>
        <w:t>That makes no sense. If the hypothetical statute overreaches, then Pennsylvania</w:t>
      </w:r>
      <w:r w:rsidR="005C058E">
        <w:rPr>
          <w:rFonts w:ascii="Garamond" w:hAnsi="Garamond"/>
          <w:color w:val="000000" w:themeColor="text1"/>
        </w:rPr>
        <w:t>’</w:t>
      </w:r>
      <w:r w:rsidRPr="00F96D2C">
        <w:rPr>
          <w:rFonts w:ascii="Garamond" w:hAnsi="Garamond"/>
          <w:color w:val="000000" w:themeColor="text1"/>
        </w:rPr>
        <w:t>s does too. As the United States observes, “[</w:t>
      </w:r>
      <w:proofErr w:type="spellStart"/>
      <w:r w:rsidRPr="00F96D2C">
        <w:rPr>
          <w:rFonts w:ascii="Garamond" w:hAnsi="Garamond"/>
          <w:color w:val="000000" w:themeColor="text1"/>
        </w:rPr>
        <w:t>i</w:t>
      </w:r>
      <w:proofErr w:type="spellEnd"/>
      <w:r w:rsidRPr="00F96D2C">
        <w:rPr>
          <w:rFonts w:ascii="Garamond" w:hAnsi="Garamond"/>
          <w:color w:val="000000" w:themeColor="text1"/>
        </w:rPr>
        <w:t>]</w:t>
      </w:r>
      <w:proofErr w:type="spellStart"/>
      <w:r w:rsidRPr="00F96D2C">
        <w:rPr>
          <w:rFonts w:ascii="Garamond" w:hAnsi="Garamond"/>
          <w:color w:val="000000" w:themeColor="text1"/>
        </w:rPr>
        <w:t>nvoking</w:t>
      </w:r>
      <w:proofErr w:type="spellEnd"/>
      <w:r w:rsidRPr="00F96D2C">
        <w:rPr>
          <w:rFonts w:ascii="Garamond" w:hAnsi="Garamond"/>
          <w:color w:val="000000" w:themeColor="text1"/>
        </w:rPr>
        <w:t xml:space="preserve"> the label </w:t>
      </w:r>
      <w:r w:rsidR="005C058E">
        <w:rPr>
          <w:rFonts w:ascii="Garamond" w:hAnsi="Garamond"/>
          <w:color w:val="000000" w:themeColor="text1"/>
        </w:rPr>
        <w:t>‘</w:t>
      </w:r>
      <w:r w:rsidRPr="00F96D2C">
        <w:rPr>
          <w:rFonts w:ascii="Garamond" w:hAnsi="Garamond"/>
          <w:color w:val="000000" w:themeColor="text1"/>
        </w:rPr>
        <w:t>consent</w:t>
      </w:r>
      <w:r w:rsidR="005C058E">
        <w:rPr>
          <w:rFonts w:ascii="Garamond" w:hAnsi="Garamond"/>
          <w:color w:val="000000" w:themeColor="text1"/>
        </w:rPr>
        <w:t>’</w:t>
      </w:r>
      <w:r w:rsidRPr="00F96D2C">
        <w:rPr>
          <w:rFonts w:ascii="Garamond" w:hAnsi="Garamond"/>
          <w:color w:val="000000" w:themeColor="text1"/>
        </w:rPr>
        <w:t xml:space="preserve"> rather than </w:t>
      </w:r>
      <w:r w:rsidR="005C058E">
        <w:rPr>
          <w:rFonts w:ascii="Garamond" w:hAnsi="Garamond"/>
          <w:color w:val="000000" w:themeColor="text1"/>
        </w:rPr>
        <w:t>‘</w:t>
      </w:r>
      <w:r w:rsidRPr="00F96D2C">
        <w:rPr>
          <w:rFonts w:ascii="Garamond" w:hAnsi="Garamond"/>
          <w:color w:val="000000" w:themeColor="text1"/>
        </w:rPr>
        <w:t>general jurisdiction</w:t>
      </w:r>
      <w:r w:rsidR="005C058E">
        <w:rPr>
          <w:rFonts w:ascii="Garamond" w:hAnsi="Garamond"/>
          <w:color w:val="000000" w:themeColor="text1"/>
        </w:rPr>
        <w:t>’</w:t>
      </w:r>
      <w:r w:rsidRPr="00F96D2C">
        <w:rPr>
          <w:rFonts w:ascii="Garamond" w:hAnsi="Garamond"/>
          <w:color w:val="000000" w:themeColor="text1"/>
        </w:rPr>
        <w:t xml:space="preserve"> does not render Pennsylvania</w:t>
      </w:r>
      <w:r w:rsidR="005C058E">
        <w:rPr>
          <w:rFonts w:ascii="Garamond" w:hAnsi="Garamond"/>
          <w:color w:val="000000" w:themeColor="text1"/>
        </w:rPr>
        <w:t>’</w:t>
      </w:r>
      <w:r w:rsidRPr="00F96D2C">
        <w:rPr>
          <w:rFonts w:ascii="Garamond" w:hAnsi="Garamond"/>
          <w:color w:val="000000" w:themeColor="text1"/>
        </w:rPr>
        <w:t>s long-arm statute constitu</w:t>
      </w:r>
      <w:r w:rsidR="0057222A">
        <w:rPr>
          <w:rFonts w:ascii="Garamond" w:hAnsi="Garamond"/>
          <w:color w:val="000000" w:themeColor="text1"/>
        </w:rPr>
        <w:softHyphen/>
      </w:r>
      <w:r w:rsidRPr="00F96D2C">
        <w:rPr>
          <w:rFonts w:ascii="Garamond" w:hAnsi="Garamond"/>
          <w:color w:val="000000" w:themeColor="text1"/>
        </w:rPr>
        <w:t>tional.” Yet the Court takes this route without so much as acknowledging its circularity.</w:t>
      </w:r>
    </w:p>
    <w:p w14:paraId="7E52BDB0" w14:textId="77777777" w:rsidR="00DD4D73" w:rsidRPr="00F96D2C" w:rsidRDefault="00DD4D73">
      <w:pPr>
        <w:spacing w:line="275" w:lineRule="atLeast"/>
        <w:jc w:val="both"/>
        <w:rPr>
          <w:rFonts w:ascii="Garamond" w:hAnsi="Garamond"/>
          <w:color w:val="000000" w:themeColor="text1"/>
        </w:rPr>
      </w:pPr>
    </w:p>
    <w:p w14:paraId="5C551959" w14:textId="77777777" w:rsidR="00CE26EA" w:rsidRPr="00F96D2C" w:rsidRDefault="00000000" w:rsidP="00DD4D73">
      <w:pPr>
        <w:spacing w:line="275" w:lineRule="atLeast"/>
        <w:jc w:val="center"/>
        <w:rPr>
          <w:rFonts w:ascii="Garamond" w:hAnsi="Garamond"/>
          <w:color w:val="000000" w:themeColor="text1"/>
        </w:rPr>
      </w:pPr>
      <w:bookmarkStart w:id="36" w:name="co_anchor_Iba908f81307f11eeb5b7c8ccd2"/>
      <w:bookmarkStart w:id="37" w:name="co_anchor_Iba908f81307f11eeb5b7c8ccde3d"/>
      <w:r w:rsidRPr="00F96D2C">
        <w:rPr>
          <w:rFonts w:ascii="Garamond" w:hAnsi="Garamond"/>
          <w:color w:val="000000" w:themeColor="text1"/>
        </w:rPr>
        <w:t>B</w:t>
      </w:r>
    </w:p>
    <w:bookmarkEnd w:id="36"/>
    <w:bookmarkEnd w:id="37"/>
    <w:p w14:paraId="47BA4F5C" w14:textId="4C70993C" w:rsidR="00CE26EA" w:rsidRPr="00F96D2C" w:rsidRDefault="00000000">
      <w:pPr>
        <w:spacing w:before="400" w:line="275" w:lineRule="atLeast"/>
        <w:jc w:val="both"/>
        <w:rPr>
          <w:rFonts w:ascii="Garamond" w:hAnsi="Garamond"/>
          <w:color w:val="000000" w:themeColor="text1"/>
        </w:rPr>
      </w:pPr>
      <w:r w:rsidRPr="00F96D2C">
        <w:rPr>
          <w:rFonts w:ascii="Garamond" w:hAnsi="Garamond"/>
          <w:color w:val="000000" w:themeColor="text1"/>
        </w:rPr>
        <w:t xml:space="preserve">While our due process precedent permits States to place reasonable conditions on foreign corporations in exchange for access to their markets, there is nothing reasonable about a State extracting consent in cases where it has “no connection whatsoever.” The Due Process Clause protects more than the rights of defendants—it also protects interstate federalism. We have emphasized this principle in case after case. For instance, in </w:t>
      </w:r>
      <w:r w:rsidRPr="00F96D2C">
        <w:rPr>
          <w:rFonts w:ascii="Garamond" w:hAnsi="Garamond"/>
          <w:i/>
          <w:color w:val="000000" w:themeColor="text1"/>
        </w:rPr>
        <w:t xml:space="preserve">Hanson </w:t>
      </w:r>
      <w:r w:rsidRPr="00F96D2C">
        <w:rPr>
          <w:rFonts w:ascii="Garamond" w:hAnsi="Garamond"/>
          <w:color w:val="000000" w:themeColor="text1"/>
        </w:rPr>
        <w:t>v.</w:t>
      </w:r>
      <w:r w:rsidRPr="00F96D2C">
        <w:rPr>
          <w:rFonts w:ascii="Garamond" w:hAnsi="Garamond"/>
          <w:i/>
          <w:color w:val="000000" w:themeColor="text1"/>
        </w:rPr>
        <w:t xml:space="preserve"> </w:t>
      </w:r>
      <w:proofErr w:type="spellStart"/>
      <w:r w:rsidRPr="00F96D2C">
        <w:rPr>
          <w:rFonts w:ascii="Garamond" w:hAnsi="Garamond"/>
          <w:i/>
          <w:color w:val="000000" w:themeColor="text1"/>
        </w:rPr>
        <w:t>Denckla</w:t>
      </w:r>
      <w:proofErr w:type="spellEnd"/>
      <w:r w:rsidRPr="00F96D2C">
        <w:rPr>
          <w:rFonts w:ascii="Garamond" w:hAnsi="Garamond"/>
          <w:color w:val="000000" w:themeColor="text1"/>
        </w:rPr>
        <w:t xml:space="preserve">, we stressed that “restrictions” on personal jurisdiction “are more than a guarantee of immunity from inconvenient or distant litigation. They are a consequence of territorial limitations on the power of the respective States.” In </w:t>
      </w:r>
      <w:r w:rsidRPr="00F96D2C">
        <w:rPr>
          <w:rFonts w:ascii="Garamond" w:hAnsi="Garamond"/>
          <w:i/>
          <w:color w:val="000000" w:themeColor="text1"/>
        </w:rPr>
        <w:t>World-Wide Volkswagen</w:t>
      </w:r>
      <w:r w:rsidRPr="00F96D2C">
        <w:rPr>
          <w:rFonts w:ascii="Garamond" w:hAnsi="Garamond"/>
          <w:color w:val="000000" w:themeColor="text1"/>
        </w:rPr>
        <w:t>, we explained that “[e]</w:t>
      </w:r>
      <w:proofErr w:type="spellStart"/>
      <w:r w:rsidRPr="00F96D2C">
        <w:rPr>
          <w:rFonts w:ascii="Garamond" w:hAnsi="Garamond"/>
          <w:color w:val="000000" w:themeColor="text1"/>
        </w:rPr>
        <w:t>ven</w:t>
      </w:r>
      <w:proofErr w:type="spellEnd"/>
      <w:r w:rsidRPr="00F96D2C">
        <w:rPr>
          <w:rFonts w:ascii="Garamond" w:hAnsi="Garamond"/>
          <w:color w:val="000000" w:themeColor="text1"/>
        </w:rPr>
        <w:t xml:space="preserve"> if the defendant would suffer minimal or no inconvenience from being forced to litigate before the tribunals of another </w:t>
      </w:r>
      <w:r w:rsidRPr="00F96D2C">
        <w:rPr>
          <w:rFonts w:ascii="Garamond" w:hAnsi="Garamond"/>
          <w:color w:val="000000" w:themeColor="text1"/>
        </w:rPr>
        <w:lastRenderedPageBreak/>
        <w:t xml:space="preserve">State ... the Due Process Clause, acting as an instrument of interstate federalism, may sometimes act to divest the State of its power to render a valid judgment.” And in </w:t>
      </w:r>
      <w:r w:rsidRPr="00F96D2C">
        <w:rPr>
          <w:rFonts w:ascii="Garamond" w:hAnsi="Garamond"/>
          <w:i/>
          <w:color w:val="000000" w:themeColor="text1"/>
        </w:rPr>
        <w:t>Bristol-Myers</w:t>
      </w:r>
      <w:r w:rsidRPr="00F96D2C">
        <w:rPr>
          <w:rFonts w:ascii="Garamond" w:hAnsi="Garamond"/>
          <w:color w:val="000000" w:themeColor="text1"/>
        </w:rPr>
        <w:t>, we reinforced that “this federalism interest may be decisive.” A defen</w:t>
      </w:r>
      <w:r w:rsidR="00EE76FC">
        <w:rPr>
          <w:rFonts w:ascii="Garamond" w:hAnsi="Garamond"/>
          <w:color w:val="000000" w:themeColor="text1"/>
        </w:rPr>
        <w:softHyphen/>
      </w:r>
      <w:r w:rsidRPr="00F96D2C">
        <w:rPr>
          <w:rFonts w:ascii="Garamond" w:hAnsi="Garamond"/>
          <w:color w:val="000000" w:themeColor="text1"/>
        </w:rPr>
        <w:t>dant</w:t>
      </w:r>
      <w:r w:rsidR="005C058E">
        <w:rPr>
          <w:rFonts w:ascii="Garamond" w:hAnsi="Garamond"/>
          <w:color w:val="000000" w:themeColor="text1"/>
        </w:rPr>
        <w:t>’</w:t>
      </w:r>
      <w:r w:rsidRPr="00F96D2C">
        <w:rPr>
          <w:rFonts w:ascii="Garamond" w:hAnsi="Garamond"/>
          <w:color w:val="000000" w:themeColor="text1"/>
        </w:rPr>
        <w:t>s ability to waive its objection to personal juris</w:t>
      </w:r>
      <w:r w:rsidR="00A86970">
        <w:rPr>
          <w:rFonts w:ascii="Garamond" w:hAnsi="Garamond"/>
          <w:color w:val="000000" w:themeColor="text1"/>
        </w:rPr>
        <w:softHyphen/>
      </w:r>
      <w:r w:rsidRPr="00F96D2C">
        <w:rPr>
          <w:rFonts w:ascii="Garamond" w:hAnsi="Garamond"/>
          <w:color w:val="000000" w:themeColor="text1"/>
        </w:rPr>
        <w:t>diction reflects that the Clause protects, first and foremost, an individual right. But when a State announces a blanket rule that ignores the territorial boundaries on its power, federalism interests are implicated too.</w:t>
      </w:r>
    </w:p>
    <w:p w14:paraId="51836911"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3962998D" w14:textId="3250532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Pennsylvania</w:t>
      </w:r>
      <w:r w:rsidR="005C058E">
        <w:rPr>
          <w:rFonts w:ascii="Garamond" w:hAnsi="Garamond"/>
          <w:color w:val="000000" w:themeColor="text1"/>
        </w:rPr>
        <w:t>’</w:t>
      </w:r>
      <w:r w:rsidRPr="00F96D2C">
        <w:rPr>
          <w:rFonts w:ascii="Garamond" w:hAnsi="Garamond"/>
          <w:color w:val="000000" w:themeColor="text1"/>
        </w:rPr>
        <w:t>s effort to assert general jurisdiction over every company doing business within its borders infringes on the sovereignty of its sister States in a way no less “exorbitant” and “grasping” than attempts we have previously rejected</w:t>
      </w:r>
      <w:r w:rsidR="001F008E">
        <w:rPr>
          <w:rFonts w:ascii="Garamond" w:hAnsi="Garamond"/>
          <w:color w:val="000000" w:themeColor="text1"/>
        </w:rPr>
        <w:t>.</w:t>
      </w:r>
      <w:r w:rsidR="00CC3929">
        <w:rPr>
          <w:rFonts w:ascii="Garamond" w:hAnsi="Garamond"/>
          <w:color w:val="000000" w:themeColor="text1"/>
        </w:rPr>
        <w:t xml:space="preserve"> . . . </w:t>
      </w:r>
      <w:r w:rsidRPr="00F96D2C">
        <w:rPr>
          <w:rFonts w:ascii="Garamond" w:hAnsi="Garamond"/>
          <w:color w:val="000000" w:themeColor="text1"/>
        </w:rPr>
        <w:t>Permitting Pennsylvania to impose a blanket claim of authority over controversies with no connection to the Commonwealth intrudes on the prerogatives of other States—domestic and foreign—to adjudi</w:t>
      </w:r>
      <w:r w:rsidR="00CD35D5">
        <w:rPr>
          <w:rFonts w:ascii="Garamond" w:hAnsi="Garamond"/>
          <w:color w:val="000000" w:themeColor="text1"/>
        </w:rPr>
        <w:softHyphen/>
      </w:r>
      <w:r w:rsidRPr="00F96D2C">
        <w:rPr>
          <w:rFonts w:ascii="Garamond" w:hAnsi="Garamond"/>
          <w:color w:val="000000" w:themeColor="text1"/>
        </w:rPr>
        <w:t xml:space="preserve">cate the rights of their citizens and enforce their own laws. </w:t>
      </w:r>
    </w:p>
    <w:p w14:paraId="16A9910A"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35D5DA04" w14:textId="317A7D20"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The plurality</w:t>
      </w:r>
      <w:r w:rsidR="005C058E">
        <w:rPr>
          <w:rFonts w:ascii="Garamond" w:hAnsi="Garamond"/>
          <w:color w:val="000000" w:themeColor="text1"/>
        </w:rPr>
        <w:t>’</w:t>
      </w:r>
      <w:r w:rsidRPr="00F96D2C">
        <w:rPr>
          <w:rFonts w:ascii="Garamond" w:hAnsi="Garamond"/>
          <w:color w:val="000000" w:themeColor="text1"/>
        </w:rPr>
        <w:t xml:space="preserve">s response is to fall back, yet again, on “consent.” In its view, because a defendant can </w:t>
      </w:r>
      <w:r w:rsidRPr="00F96D2C">
        <w:rPr>
          <w:rFonts w:ascii="Garamond" w:hAnsi="Garamond"/>
          <w:i/>
          <w:color w:val="000000" w:themeColor="text1"/>
        </w:rPr>
        <w:t>waive</w:t>
      </w:r>
      <w:r w:rsidRPr="00F96D2C">
        <w:rPr>
          <w:rFonts w:ascii="Garamond" w:hAnsi="Garamond"/>
          <w:color w:val="000000" w:themeColor="text1"/>
        </w:rPr>
        <w:t xml:space="preserve"> its personal jurisdiction right, a State can never overreach in demanding its </w:t>
      </w:r>
      <w:r w:rsidRPr="00F96D2C">
        <w:rPr>
          <w:rFonts w:ascii="Garamond" w:hAnsi="Garamond"/>
          <w:i/>
          <w:color w:val="000000" w:themeColor="text1"/>
        </w:rPr>
        <w:t>relinquishment</w:t>
      </w:r>
      <w:r w:rsidRPr="00F96D2C">
        <w:rPr>
          <w:rFonts w:ascii="Garamond" w:hAnsi="Garamond"/>
          <w:color w:val="000000" w:themeColor="text1"/>
        </w:rPr>
        <w:t xml:space="preserve">. That is not how we treat rights with structural components. </w:t>
      </w:r>
      <w:r w:rsidR="00723E83">
        <w:rPr>
          <w:rFonts w:ascii="Garamond" w:hAnsi="Garamond"/>
          <w:color w:val="000000" w:themeColor="text1"/>
        </w:rPr>
        <w:t xml:space="preserve">. . . </w:t>
      </w:r>
      <w:r w:rsidRPr="00F96D2C">
        <w:rPr>
          <w:rFonts w:ascii="Garamond" w:hAnsi="Garamond"/>
          <w:color w:val="000000" w:themeColor="text1"/>
        </w:rPr>
        <w:t>Pennsylvania</w:t>
      </w:r>
      <w:r w:rsidR="005C058E">
        <w:rPr>
          <w:rFonts w:ascii="Garamond" w:hAnsi="Garamond"/>
          <w:color w:val="000000" w:themeColor="text1"/>
        </w:rPr>
        <w:t>’</w:t>
      </w:r>
      <w:r w:rsidRPr="00F96D2C">
        <w:rPr>
          <w:rFonts w:ascii="Garamond" w:hAnsi="Garamond"/>
          <w:color w:val="000000" w:themeColor="text1"/>
        </w:rPr>
        <w:t>s power grab infringes on more than just the rights of defendants—it upsets the proper role of the States in our federal system.</w:t>
      </w:r>
    </w:p>
    <w:p w14:paraId="3E8B881A" w14:textId="77777777" w:rsidR="009E0BD5" w:rsidRDefault="009E0BD5" w:rsidP="009E0BD5">
      <w:pPr>
        <w:spacing w:line="275" w:lineRule="atLeast"/>
        <w:jc w:val="center"/>
        <w:rPr>
          <w:rFonts w:ascii="Garamond" w:hAnsi="Garamond"/>
          <w:color w:val="000000" w:themeColor="text1"/>
        </w:rPr>
      </w:pPr>
      <w:bookmarkStart w:id="38" w:name="co_anchor_Iba959891307f11eeb5b7c8ccd2"/>
      <w:bookmarkStart w:id="39" w:name="co_anchor_Iba959891307f11eeb5b7c8ccde3d"/>
    </w:p>
    <w:p w14:paraId="39E46290" w14:textId="09A29DC7" w:rsidR="00CE26EA" w:rsidRPr="00F96D2C" w:rsidRDefault="00000000" w:rsidP="009E0BD5">
      <w:pPr>
        <w:spacing w:line="275" w:lineRule="atLeast"/>
        <w:jc w:val="center"/>
        <w:rPr>
          <w:rFonts w:ascii="Garamond" w:hAnsi="Garamond"/>
          <w:color w:val="000000" w:themeColor="text1"/>
        </w:rPr>
      </w:pPr>
      <w:r w:rsidRPr="00F96D2C">
        <w:rPr>
          <w:rFonts w:ascii="Garamond" w:hAnsi="Garamond"/>
          <w:color w:val="000000" w:themeColor="text1"/>
        </w:rPr>
        <w:t>III</w:t>
      </w:r>
      <w:bookmarkStart w:id="40" w:name="co_anchor_Iba959891307f11eeb5b7c8ccd3"/>
      <w:bookmarkEnd w:id="38"/>
      <w:bookmarkEnd w:id="39"/>
      <w:r w:rsidR="009E0BD5">
        <w:rPr>
          <w:rFonts w:ascii="Garamond" w:hAnsi="Garamond"/>
          <w:color w:val="000000" w:themeColor="text1"/>
        </w:rPr>
        <w:br/>
      </w:r>
      <w:r w:rsidRPr="00F96D2C">
        <w:rPr>
          <w:rFonts w:ascii="Garamond" w:hAnsi="Garamond"/>
          <w:color w:val="000000" w:themeColor="text1"/>
        </w:rPr>
        <w:t>A</w:t>
      </w:r>
    </w:p>
    <w:bookmarkEnd w:id="40"/>
    <w:p w14:paraId="09A5F1E7" w14:textId="634F3DC4" w:rsidR="00CE26EA" w:rsidRPr="00F96D2C" w:rsidRDefault="00000000">
      <w:pPr>
        <w:spacing w:before="400" w:line="275" w:lineRule="atLeast"/>
        <w:jc w:val="both"/>
        <w:rPr>
          <w:rFonts w:ascii="Garamond" w:hAnsi="Garamond"/>
          <w:color w:val="000000" w:themeColor="text1"/>
        </w:rPr>
      </w:pPr>
      <w:r w:rsidRPr="00F96D2C">
        <w:rPr>
          <w:rFonts w:ascii="Garamond" w:hAnsi="Garamond"/>
          <w:color w:val="000000" w:themeColor="text1"/>
        </w:rPr>
        <w:t xml:space="preserve">The plurality attempts to minimize the novelty of its conclusion by pointing to our decision in </w:t>
      </w:r>
      <w:r w:rsidRPr="00F96D2C">
        <w:rPr>
          <w:rFonts w:ascii="Garamond" w:hAnsi="Garamond"/>
          <w:i/>
          <w:color w:val="000000" w:themeColor="text1"/>
        </w:rPr>
        <w:t>Burnham v. Superior Court of Cal., County of Marin</w:t>
      </w:r>
      <w:r w:rsidR="00A332A4">
        <w:rPr>
          <w:rFonts w:ascii="Garamond" w:hAnsi="Garamond"/>
          <w:color w:val="000000" w:themeColor="text1"/>
        </w:rPr>
        <w:t xml:space="preserve"> </w:t>
      </w:r>
      <w:r w:rsidRPr="00F96D2C">
        <w:rPr>
          <w:rFonts w:ascii="Garamond" w:hAnsi="Garamond"/>
          <w:color w:val="000000" w:themeColor="text1"/>
        </w:rPr>
        <w:t xml:space="preserve">(1990). There, we considered whether “tag jurisdiction”—personal service upon a defendant physically present in the forum State—remains an effective basis for general jurisdiction after </w:t>
      </w:r>
      <w:r w:rsidRPr="00F96D2C">
        <w:rPr>
          <w:rFonts w:ascii="Garamond" w:hAnsi="Garamond"/>
          <w:i/>
          <w:color w:val="000000" w:themeColor="text1"/>
        </w:rPr>
        <w:t>International Shoe</w:t>
      </w:r>
      <w:r w:rsidRPr="00F96D2C">
        <w:rPr>
          <w:rFonts w:ascii="Garamond" w:hAnsi="Garamond"/>
          <w:color w:val="000000" w:themeColor="text1"/>
        </w:rPr>
        <w:t xml:space="preserve">. We unanimously agreed that it does. The plurality claims that registration jurisdiction for a corporation is just as valid as the “tag jurisdiction” that we approved in </w:t>
      </w:r>
      <w:r w:rsidRPr="00F96D2C">
        <w:rPr>
          <w:rFonts w:ascii="Garamond" w:hAnsi="Garamond"/>
          <w:i/>
          <w:color w:val="000000" w:themeColor="text1"/>
        </w:rPr>
        <w:t>Burnham</w:t>
      </w:r>
      <w:r w:rsidRPr="00F96D2C">
        <w:rPr>
          <w:rFonts w:ascii="Garamond" w:hAnsi="Garamond"/>
          <w:color w:val="000000" w:themeColor="text1"/>
        </w:rPr>
        <w:t xml:space="preserve">. But in drawing this analogy, the plurality omits any discussion of </w:t>
      </w:r>
      <w:r w:rsidRPr="00F96D2C">
        <w:rPr>
          <w:rFonts w:ascii="Garamond" w:hAnsi="Garamond"/>
          <w:i/>
          <w:color w:val="000000" w:themeColor="text1"/>
        </w:rPr>
        <w:t>Burnham</w:t>
      </w:r>
      <w:r w:rsidR="005C058E">
        <w:rPr>
          <w:rFonts w:ascii="Garamond" w:hAnsi="Garamond"/>
          <w:color w:val="000000" w:themeColor="text1"/>
        </w:rPr>
        <w:t>’</w:t>
      </w:r>
      <w:r w:rsidRPr="00F96D2C">
        <w:rPr>
          <w:rFonts w:ascii="Garamond" w:hAnsi="Garamond"/>
          <w:color w:val="000000" w:themeColor="text1"/>
        </w:rPr>
        <w:t>s reasoning.</w:t>
      </w:r>
    </w:p>
    <w:p w14:paraId="3E3DD840"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659DE4F7" w14:textId="60F4F54E"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xml:space="preserve">In </w:t>
      </w:r>
      <w:r w:rsidRPr="00F96D2C">
        <w:rPr>
          <w:rFonts w:ascii="Garamond" w:hAnsi="Garamond"/>
          <w:i/>
          <w:color w:val="000000" w:themeColor="text1"/>
        </w:rPr>
        <w:t>Burnham</w:t>
      </w:r>
      <w:r w:rsidRPr="00F96D2C">
        <w:rPr>
          <w:rFonts w:ascii="Garamond" w:hAnsi="Garamond"/>
          <w:color w:val="000000" w:themeColor="text1"/>
        </w:rPr>
        <w:t xml:space="preserve">, we acknowledged that tag jurisdiction would not satisfy the contacts-based test for general jurisdiction. Nonetheless, we reasoned that tag jurisdiction is “both firmly approved by tradition and still favored,” making it “one of the continuing traditions of our legal system that define[s] the due process standard of </w:t>
      </w:r>
      <w:r w:rsidR="005C058E">
        <w:rPr>
          <w:rFonts w:ascii="Garamond" w:hAnsi="Garamond"/>
          <w:color w:val="000000" w:themeColor="text1"/>
        </w:rPr>
        <w:t>‘</w:t>
      </w:r>
      <w:r w:rsidRPr="00F96D2C">
        <w:rPr>
          <w:rFonts w:ascii="Garamond" w:hAnsi="Garamond"/>
          <w:color w:val="000000" w:themeColor="text1"/>
        </w:rPr>
        <w:t>traditional notions of fair play and substantial justice.</w:t>
      </w:r>
      <w:r w:rsidR="005C058E">
        <w:rPr>
          <w:rFonts w:ascii="Garamond" w:hAnsi="Garamond"/>
          <w:color w:val="000000" w:themeColor="text1"/>
        </w:rPr>
        <w:t>’</w:t>
      </w:r>
      <w:r w:rsidRPr="00F96D2C">
        <w:rPr>
          <w:rFonts w:ascii="Garamond" w:hAnsi="Garamond"/>
          <w:color w:val="000000" w:themeColor="text1"/>
        </w:rPr>
        <w:t xml:space="preserve">” </w:t>
      </w:r>
      <w:r w:rsidRPr="00F96D2C">
        <w:rPr>
          <w:rFonts w:ascii="Garamond" w:hAnsi="Garamond"/>
          <w:i/>
          <w:color w:val="000000" w:themeColor="text1"/>
        </w:rPr>
        <w:t>Burnham</w:t>
      </w:r>
      <w:r w:rsidRPr="00F96D2C">
        <w:rPr>
          <w:rFonts w:ascii="Garamond" w:hAnsi="Garamond"/>
          <w:color w:val="000000" w:themeColor="text1"/>
        </w:rPr>
        <w:t xml:space="preserve"> thus permits a longstanding and still-accepted basis for jurisdiction to pass </w:t>
      </w:r>
      <w:r w:rsidRPr="00F96D2C">
        <w:rPr>
          <w:rFonts w:ascii="Garamond" w:hAnsi="Garamond"/>
          <w:i/>
          <w:color w:val="000000" w:themeColor="text1"/>
        </w:rPr>
        <w:t>International Shoe</w:t>
      </w:r>
      <w:r w:rsidR="005C058E">
        <w:rPr>
          <w:rFonts w:ascii="Garamond" w:hAnsi="Garamond"/>
          <w:color w:val="000000" w:themeColor="text1"/>
        </w:rPr>
        <w:t>’</w:t>
      </w:r>
      <w:r w:rsidRPr="00F96D2C">
        <w:rPr>
          <w:rFonts w:ascii="Garamond" w:hAnsi="Garamond"/>
          <w:color w:val="000000" w:themeColor="text1"/>
        </w:rPr>
        <w:t>s test.</w:t>
      </w:r>
    </w:p>
    <w:p w14:paraId="7565D023"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5DEECAF2" w14:textId="0FC15EAE"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General-jurisdiction-by-registration flunks both of these prongs: It is neither “firmly approved by tradition” nor “still favored.” Thus, the plurality</w:t>
      </w:r>
      <w:r w:rsidR="005C058E">
        <w:rPr>
          <w:rFonts w:ascii="Garamond" w:hAnsi="Garamond"/>
          <w:color w:val="000000" w:themeColor="text1"/>
        </w:rPr>
        <w:t>’</w:t>
      </w:r>
      <w:r w:rsidRPr="00F96D2C">
        <w:rPr>
          <w:rFonts w:ascii="Garamond" w:hAnsi="Garamond"/>
          <w:color w:val="000000" w:themeColor="text1"/>
        </w:rPr>
        <w:t>s analogy to tag jurisdiction is superficial at best.</w:t>
      </w:r>
    </w:p>
    <w:p w14:paraId="2CEC860C"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08DF55ED" w14:textId="2B215AAA"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xml:space="preserve">Start with the second prong. In </w:t>
      </w:r>
      <w:r w:rsidRPr="00F96D2C">
        <w:rPr>
          <w:rFonts w:ascii="Garamond" w:hAnsi="Garamond"/>
          <w:i/>
          <w:color w:val="000000" w:themeColor="text1"/>
        </w:rPr>
        <w:t>Burnham</w:t>
      </w:r>
      <w:r w:rsidRPr="00F96D2C">
        <w:rPr>
          <w:rFonts w:ascii="Garamond" w:hAnsi="Garamond"/>
          <w:color w:val="000000" w:themeColor="text1"/>
        </w:rPr>
        <w:t xml:space="preserve">, “[w]e [did] not know of a single state ... that [had] abandoned in-state service as a basis of jurisdiction.” Here, as Mallory concedes, Pennsylvania is the </w:t>
      </w:r>
      <w:r w:rsidRPr="00F96D2C">
        <w:rPr>
          <w:rFonts w:ascii="Garamond" w:hAnsi="Garamond"/>
          <w:i/>
          <w:color w:val="000000" w:themeColor="text1"/>
        </w:rPr>
        <w:t>only</w:t>
      </w:r>
      <w:r w:rsidRPr="00F96D2C">
        <w:rPr>
          <w:rFonts w:ascii="Garamond" w:hAnsi="Garamond"/>
          <w:color w:val="000000" w:themeColor="text1"/>
        </w:rPr>
        <w:t xml:space="preserve"> State with a statute treating registration as sufficient for general jurisdiction. Indeed, quite a few have jettisoned the jurisdictional consequences of corporate registration altogether—and in no uncertain terms. With the Pennsylvania Legislature standing alone, the plurality does not even attempt to describe this method of securing general jurisdiction as “still favored,” or reflective of “our common understanding now</w:t>
      </w:r>
      <w:r w:rsidR="00C02BA5">
        <w:rPr>
          <w:rFonts w:ascii="Garamond" w:hAnsi="Garamond"/>
          <w:color w:val="000000" w:themeColor="text1"/>
        </w:rPr>
        <w:t>.</w:t>
      </w:r>
      <w:r w:rsidRPr="00F96D2C">
        <w:rPr>
          <w:rFonts w:ascii="Garamond" w:hAnsi="Garamond"/>
          <w:color w:val="000000" w:themeColor="text1"/>
        </w:rPr>
        <w:t xml:space="preserve">” </w:t>
      </w:r>
      <w:r w:rsidR="00C02BA5">
        <w:rPr>
          <w:rFonts w:ascii="Garamond" w:hAnsi="Garamond"/>
          <w:color w:val="000000" w:themeColor="text1"/>
        </w:rPr>
        <w:t>. . .</w:t>
      </w:r>
    </w:p>
    <w:p w14:paraId="7AF01739"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1235ED43" w14:textId="581B160C"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The past is as fatal to the plurality</w:t>
      </w:r>
      <w:r w:rsidR="005C058E">
        <w:rPr>
          <w:rFonts w:ascii="Garamond" w:hAnsi="Garamond"/>
          <w:color w:val="000000" w:themeColor="text1"/>
        </w:rPr>
        <w:t>’</w:t>
      </w:r>
      <w:r w:rsidRPr="00F96D2C">
        <w:rPr>
          <w:rFonts w:ascii="Garamond" w:hAnsi="Garamond"/>
          <w:color w:val="000000" w:themeColor="text1"/>
        </w:rPr>
        <w:t xml:space="preserve">s theory as the present. </w:t>
      </w:r>
      <w:r w:rsidRPr="00F96D2C">
        <w:rPr>
          <w:rFonts w:ascii="Garamond" w:hAnsi="Garamond"/>
          <w:i/>
          <w:color w:val="000000" w:themeColor="text1"/>
        </w:rPr>
        <w:t>Burnham</w:t>
      </w:r>
      <w:r w:rsidR="005C058E">
        <w:rPr>
          <w:rFonts w:ascii="Garamond" w:hAnsi="Garamond"/>
          <w:color w:val="000000" w:themeColor="text1"/>
        </w:rPr>
        <w:t>’</w:t>
      </w:r>
      <w:r w:rsidRPr="00F96D2C">
        <w:rPr>
          <w:rFonts w:ascii="Garamond" w:hAnsi="Garamond"/>
          <w:color w:val="000000" w:themeColor="text1"/>
        </w:rPr>
        <w:t xml:space="preserve">s tradition prong asks whether a method for securing jurisdiction was “shared by American courts at the crucial time”—“1868, when the Fourteenth Amendment was adopted.” But the plurality cannot identify a </w:t>
      </w:r>
      <w:r w:rsidRPr="00F96D2C">
        <w:rPr>
          <w:rFonts w:ascii="Garamond" w:hAnsi="Garamond"/>
          <w:i/>
          <w:color w:val="000000" w:themeColor="text1"/>
        </w:rPr>
        <w:t>single</w:t>
      </w:r>
      <w:r w:rsidRPr="00F96D2C">
        <w:rPr>
          <w:rFonts w:ascii="Garamond" w:hAnsi="Garamond"/>
          <w:color w:val="000000" w:themeColor="text1"/>
        </w:rPr>
        <w:t xml:space="preserve"> case from that period supporting its theory. In fact, the evidence runs in the opposite direction. Statutes that required the appointment of a registered agent for service of process were far more modest than Pennsylvania</w:t>
      </w:r>
      <w:r w:rsidR="005C058E">
        <w:rPr>
          <w:rFonts w:ascii="Garamond" w:hAnsi="Garamond"/>
          <w:color w:val="000000" w:themeColor="text1"/>
        </w:rPr>
        <w:t>’</w:t>
      </w:r>
      <w:r w:rsidRPr="00F96D2C">
        <w:rPr>
          <w:rFonts w:ascii="Garamond" w:hAnsi="Garamond"/>
          <w:color w:val="000000" w:themeColor="text1"/>
        </w:rPr>
        <w:t xml:space="preserve">s. And even when a statute was written more broadly, state courts generally understood it to implicitly limit jurisdiction to suits with a connection to the forum. The state reporters are replete with examples of judicial decisions that stood by the then-prevailing </w:t>
      </w:r>
      <w:r w:rsidRPr="00F96D2C">
        <w:rPr>
          <w:rFonts w:ascii="Garamond" w:hAnsi="Garamond"/>
          <w:color w:val="000000" w:themeColor="text1"/>
        </w:rPr>
        <w:lastRenderedPageBreak/>
        <w:t xml:space="preserve">rule: Compliance with a registration law did not subject a foreign corporation to suit on </w:t>
      </w:r>
      <w:r w:rsidRPr="00F96D2C">
        <w:rPr>
          <w:rFonts w:ascii="Garamond" w:hAnsi="Garamond"/>
          <w:i/>
          <w:color w:val="000000" w:themeColor="text1"/>
        </w:rPr>
        <w:t>any</w:t>
      </w:r>
      <w:r w:rsidRPr="00F96D2C">
        <w:rPr>
          <w:rFonts w:ascii="Garamond" w:hAnsi="Garamond"/>
          <w:color w:val="000000" w:themeColor="text1"/>
        </w:rPr>
        <w:t xml:space="preserve"> cause in a State, but only those related to the forum. Our cases from this era articulate the same line. Although “plaintiffs typically did not sue defendants in fora that had no rational relation to causes of action,” courts repeatedly turned them away when they did.</w:t>
      </w:r>
    </w:p>
    <w:p w14:paraId="4EEF5EF7" w14:textId="77777777" w:rsidR="00202E3B" w:rsidRDefault="00202E3B" w:rsidP="00202E3B">
      <w:pPr>
        <w:spacing w:line="275" w:lineRule="atLeast"/>
        <w:jc w:val="center"/>
        <w:rPr>
          <w:rFonts w:ascii="Garamond" w:hAnsi="Garamond"/>
          <w:color w:val="000000" w:themeColor="text1"/>
        </w:rPr>
      </w:pPr>
      <w:bookmarkStart w:id="41" w:name="co_anchor_Iba9f83a1307f11eeb5b7c8ccd2"/>
      <w:bookmarkStart w:id="42" w:name="co_anchor_Iba9f83a1307f11eeb5b7c8ccde3d"/>
    </w:p>
    <w:p w14:paraId="39DBEAD2" w14:textId="6F815038" w:rsidR="00CE26EA" w:rsidRPr="00F96D2C" w:rsidRDefault="00000000" w:rsidP="00202E3B">
      <w:pPr>
        <w:spacing w:line="275" w:lineRule="atLeast"/>
        <w:jc w:val="center"/>
        <w:rPr>
          <w:rFonts w:ascii="Garamond" w:hAnsi="Garamond"/>
          <w:color w:val="000000" w:themeColor="text1"/>
        </w:rPr>
      </w:pPr>
      <w:r w:rsidRPr="00F96D2C">
        <w:rPr>
          <w:rFonts w:ascii="Garamond" w:hAnsi="Garamond"/>
          <w:color w:val="000000" w:themeColor="text1"/>
        </w:rPr>
        <w:t>B</w:t>
      </w:r>
    </w:p>
    <w:bookmarkEnd w:id="41"/>
    <w:bookmarkEnd w:id="42"/>
    <w:p w14:paraId="44CC5F11" w14:textId="5F8007AF" w:rsidR="00CE26EA" w:rsidRPr="00F96D2C" w:rsidRDefault="00000000">
      <w:pPr>
        <w:spacing w:before="400" w:line="275" w:lineRule="atLeast"/>
        <w:jc w:val="both"/>
        <w:rPr>
          <w:rFonts w:ascii="Garamond" w:hAnsi="Garamond"/>
          <w:color w:val="000000" w:themeColor="text1"/>
        </w:rPr>
      </w:pPr>
      <w:r w:rsidRPr="00F96D2C">
        <w:rPr>
          <w:rFonts w:ascii="Garamond" w:hAnsi="Garamond"/>
          <w:color w:val="000000" w:themeColor="text1"/>
        </w:rPr>
        <w:t xml:space="preserve">Sidestepping </w:t>
      </w:r>
      <w:r w:rsidRPr="00F96D2C">
        <w:rPr>
          <w:rFonts w:ascii="Garamond" w:hAnsi="Garamond"/>
          <w:i/>
          <w:color w:val="000000" w:themeColor="text1"/>
        </w:rPr>
        <w:t>Burnham</w:t>
      </w:r>
      <w:r w:rsidR="005C058E">
        <w:rPr>
          <w:rFonts w:ascii="Garamond" w:hAnsi="Garamond"/>
          <w:color w:val="000000" w:themeColor="text1"/>
        </w:rPr>
        <w:t>’</w:t>
      </w:r>
      <w:r w:rsidRPr="00F96D2C">
        <w:rPr>
          <w:rFonts w:ascii="Garamond" w:hAnsi="Garamond"/>
          <w:color w:val="000000" w:themeColor="text1"/>
        </w:rPr>
        <w:t>s logic, the plurality seizes on its bottom-line approval of tag jurisdiction. Accord</w:t>
      </w:r>
      <w:r w:rsidR="00632930">
        <w:rPr>
          <w:rFonts w:ascii="Garamond" w:hAnsi="Garamond"/>
          <w:color w:val="000000" w:themeColor="text1"/>
        </w:rPr>
        <w:softHyphen/>
      </w:r>
      <w:r w:rsidRPr="00F96D2C">
        <w:rPr>
          <w:rFonts w:ascii="Garamond" w:hAnsi="Garamond"/>
          <w:color w:val="000000" w:themeColor="text1"/>
        </w:rPr>
        <w:t>ing to the plurality, tag jurisdiction (based on phys</w:t>
      </w:r>
      <w:r w:rsidR="00385563">
        <w:rPr>
          <w:rFonts w:ascii="Garamond" w:hAnsi="Garamond"/>
          <w:color w:val="000000" w:themeColor="text1"/>
        </w:rPr>
        <w:softHyphen/>
      </w:r>
      <w:r w:rsidRPr="00F96D2C">
        <w:rPr>
          <w:rFonts w:ascii="Garamond" w:hAnsi="Garamond"/>
          <w:color w:val="000000" w:themeColor="text1"/>
        </w:rPr>
        <w:t xml:space="preserve">ical presence) and registration jurisdiction (based on deemed consent) are essentially the same thing—so by blessing one, </w:t>
      </w:r>
      <w:r w:rsidRPr="00F96D2C">
        <w:rPr>
          <w:rFonts w:ascii="Garamond" w:hAnsi="Garamond"/>
          <w:i/>
          <w:color w:val="000000" w:themeColor="text1"/>
        </w:rPr>
        <w:t>Burnham</w:t>
      </w:r>
      <w:r w:rsidRPr="00F96D2C">
        <w:rPr>
          <w:rFonts w:ascii="Garamond" w:hAnsi="Garamond"/>
          <w:color w:val="000000" w:themeColor="text1"/>
        </w:rPr>
        <w:t xml:space="preserve"> blessed the other. The plurality never explains why they are the same, even though—as we have just discussed—more than a century</w:t>
      </w:r>
      <w:r w:rsidR="005C058E">
        <w:rPr>
          <w:rFonts w:ascii="Garamond" w:hAnsi="Garamond"/>
          <w:color w:val="000000" w:themeColor="text1"/>
        </w:rPr>
        <w:t>’</w:t>
      </w:r>
      <w:r w:rsidRPr="00F96D2C">
        <w:rPr>
          <w:rFonts w:ascii="Garamond" w:hAnsi="Garamond"/>
          <w:color w:val="000000" w:themeColor="text1"/>
        </w:rPr>
        <w:t>s worth of law treats them as distinct. The plurality</w:t>
      </w:r>
      <w:r w:rsidR="005C058E">
        <w:rPr>
          <w:rFonts w:ascii="Garamond" w:hAnsi="Garamond"/>
          <w:color w:val="000000" w:themeColor="text1"/>
        </w:rPr>
        <w:t>’</w:t>
      </w:r>
      <w:r w:rsidRPr="00F96D2C">
        <w:rPr>
          <w:rFonts w:ascii="Garamond" w:hAnsi="Garamond"/>
          <w:color w:val="000000" w:themeColor="text1"/>
        </w:rPr>
        <w:t xml:space="preserve">s rationale seems to be that if a person is subject to general jurisdiction anywhere she is present, then a corporation should be subject to general jurisdiction anywhere it does business. </w:t>
      </w:r>
      <w:r w:rsidR="00216408">
        <w:rPr>
          <w:rFonts w:ascii="Garamond" w:hAnsi="Garamond"/>
          <w:color w:val="000000" w:themeColor="text1"/>
        </w:rPr>
        <w:t>. . .</w:t>
      </w:r>
    </w:p>
    <w:p w14:paraId="6F67F4C7"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02265BD3" w14:textId="46A039B4"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xml:space="preserve">Before </w:t>
      </w:r>
      <w:r w:rsidRPr="00F96D2C">
        <w:rPr>
          <w:rFonts w:ascii="Garamond" w:hAnsi="Garamond"/>
          <w:i/>
          <w:color w:val="000000" w:themeColor="text1"/>
        </w:rPr>
        <w:t>International Shoe</w:t>
      </w:r>
      <w:r w:rsidRPr="00F96D2C">
        <w:rPr>
          <w:rFonts w:ascii="Garamond" w:hAnsi="Garamond"/>
          <w:color w:val="000000" w:themeColor="text1"/>
        </w:rPr>
        <w:t>, a state court</w:t>
      </w:r>
      <w:r w:rsidR="005C058E">
        <w:rPr>
          <w:rFonts w:ascii="Garamond" w:hAnsi="Garamond"/>
          <w:color w:val="000000" w:themeColor="text1"/>
        </w:rPr>
        <w:t>’</w:t>
      </w:r>
      <w:r w:rsidRPr="00F96D2C">
        <w:rPr>
          <w:rFonts w:ascii="Garamond" w:hAnsi="Garamond"/>
          <w:color w:val="000000" w:themeColor="text1"/>
        </w:rPr>
        <w:t xml:space="preserve">s power over a person turned strictly on “service of process within the State” (presence) “or [her] voluntary appearance” (consent). </w:t>
      </w:r>
      <w:r w:rsidRPr="00F96D2C">
        <w:rPr>
          <w:rFonts w:ascii="Garamond" w:hAnsi="Garamond"/>
          <w:i/>
          <w:color w:val="000000" w:themeColor="text1"/>
        </w:rPr>
        <w:t>Pennoyer v. Neff</w:t>
      </w:r>
      <w:r w:rsidRPr="00F96D2C">
        <w:rPr>
          <w:rFonts w:ascii="Garamond" w:hAnsi="Garamond"/>
          <w:color w:val="000000" w:themeColor="text1"/>
        </w:rPr>
        <w:t xml:space="preserve"> (1878). In response to changes in interstate business and transportation in the late 19th and early 20th centuries, States deployed new legal fictions designed to secure the presence or consent of nonresident individuals and foreign corporations. For example, state laws required nonresident drivers to give their “implied consent” to be sued for their in-state accidents as a condition of using the road. And foreign corporations, as we have discussed, were required by statute to “consent” to the appointment of a resident agent, so that the company could then be constructively “present” for in-state service.</w:t>
      </w:r>
    </w:p>
    <w:p w14:paraId="149D65ED" w14:textId="2D70E972" w:rsidR="00CE26EA" w:rsidRPr="00F96D2C" w:rsidRDefault="00CE26EA">
      <w:pPr>
        <w:spacing w:line="275" w:lineRule="atLeast"/>
        <w:jc w:val="both"/>
        <w:rPr>
          <w:rFonts w:ascii="Garamond" w:hAnsi="Garamond"/>
          <w:color w:val="000000" w:themeColor="text1"/>
        </w:rPr>
      </w:pPr>
    </w:p>
    <w:p w14:paraId="6454BCCA" w14:textId="12AC2A78"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xml:space="preserve">As Justice Scalia explained, such extensions of “consent and presence were purely fictional” and can no longer stand after </w:t>
      </w:r>
      <w:r w:rsidRPr="00F96D2C">
        <w:rPr>
          <w:rFonts w:ascii="Garamond" w:hAnsi="Garamond"/>
          <w:i/>
          <w:color w:val="000000" w:themeColor="text1"/>
        </w:rPr>
        <w:t>International Shoe</w:t>
      </w:r>
      <w:r w:rsidRPr="00F96D2C">
        <w:rPr>
          <w:rFonts w:ascii="Garamond" w:hAnsi="Garamond"/>
          <w:color w:val="000000" w:themeColor="text1"/>
        </w:rPr>
        <w:t xml:space="preserve">. </w:t>
      </w:r>
      <w:r w:rsidRPr="00F96D2C">
        <w:rPr>
          <w:rFonts w:ascii="Garamond" w:hAnsi="Garamond"/>
          <w:i/>
          <w:color w:val="000000" w:themeColor="text1"/>
        </w:rPr>
        <w:t>Burnham</w:t>
      </w:r>
      <w:r w:rsidR="00A46C24">
        <w:rPr>
          <w:rFonts w:ascii="Garamond" w:hAnsi="Garamond"/>
          <w:color w:val="000000" w:themeColor="text1"/>
        </w:rPr>
        <w:t>;</w:t>
      </w:r>
      <w:r w:rsidRPr="00F96D2C">
        <w:rPr>
          <w:rFonts w:ascii="Garamond" w:hAnsi="Garamond"/>
          <w:color w:val="000000" w:themeColor="text1"/>
        </w:rPr>
        <w:t xml:space="preserve"> see also, </w:t>
      </w:r>
      <w:r w:rsidRPr="00F96D2C">
        <w:rPr>
          <w:rFonts w:ascii="Garamond" w:hAnsi="Garamond"/>
          <w:i/>
          <w:color w:val="000000" w:themeColor="text1"/>
        </w:rPr>
        <w:t>e.g.</w:t>
      </w:r>
      <w:r w:rsidRPr="00F96D2C">
        <w:rPr>
          <w:rFonts w:ascii="Garamond" w:hAnsi="Garamond"/>
          <w:color w:val="000000" w:themeColor="text1"/>
        </w:rPr>
        <w:t xml:space="preserve">, </w:t>
      </w:r>
      <w:r w:rsidRPr="00F96D2C">
        <w:rPr>
          <w:rFonts w:ascii="Garamond" w:hAnsi="Garamond"/>
          <w:i/>
          <w:color w:val="000000" w:themeColor="text1"/>
        </w:rPr>
        <w:t xml:space="preserve">Shaffer v. </w:t>
      </w:r>
      <w:proofErr w:type="spellStart"/>
      <w:r w:rsidRPr="00F96D2C">
        <w:rPr>
          <w:rFonts w:ascii="Garamond" w:hAnsi="Garamond"/>
          <w:i/>
          <w:color w:val="000000" w:themeColor="text1"/>
        </w:rPr>
        <w:t>Heitner</w:t>
      </w:r>
      <w:proofErr w:type="spellEnd"/>
      <w:r w:rsidRPr="00F96D2C">
        <w:rPr>
          <w:rFonts w:ascii="Garamond" w:hAnsi="Garamond"/>
          <w:color w:val="000000" w:themeColor="text1"/>
        </w:rPr>
        <w:t xml:space="preserve"> (1977) (</w:t>
      </w:r>
      <w:r w:rsidRPr="00F96D2C">
        <w:rPr>
          <w:rFonts w:ascii="Garamond" w:hAnsi="Garamond"/>
          <w:i/>
          <w:color w:val="000000" w:themeColor="text1"/>
        </w:rPr>
        <w:t>International Shoe</w:t>
      </w:r>
      <w:r w:rsidRPr="00F96D2C">
        <w:rPr>
          <w:rFonts w:ascii="Garamond" w:hAnsi="Garamond"/>
          <w:color w:val="000000" w:themeColor="text1"/>
        </w:rPr>
        <w:t xml:space="preserve"> abandoned “both the fictions of implied consent to </w:t>
      </w:r>
      <w:r w:rsidRPr="00F96D2C">
        <w:rPr>
          <w:rFonts w:ascii="Garamond" w:hAnsi="Garamond"/>
          <w:color w:val="000000" w:themeColor="text1"/>
        </w:rPr>
        <w:t xml:space="preserve">service on the part of a foreign corporation and of corporate presence”); </w:t>
      </w:r>
      <w:r w:rsidRPr="00F96D2C">
        <w:rPr>
          <w:rFonts w:ascii="Garamond" w:hAnsi="Garamond"/>
          <w:i/>
          <w:color w:val="000000" w:themeColor="text1"/>
        </w:rPr>
        <w:t>McGee v. International Life Ins. Co.</w:t>
      </w:r>
      <w:r w:rsidRPr="00F96D2C">
        <w:rPr>
          <w:rFonts w:ascii="Garamond" w:hAnsi="Garamond"/>
          <w:color w:val="000000" w:themeColor="text1"/>
        </w:rPr>
        <w:t xml:space="preserve"> (1957) (</w:t>
      </w:r>
      <w:r w:rsidRPr="00F96D2C">
        <w:rPr>
          <w:rFonts w:ascii="Garamond" w:hAnsi="Garamond"/>
          <w:i/>
          <w:color w:val="000000" w:themeColor="text1"/>
        </w:rPr>
        <w:t>International Shoe</w:t>
      </w:r>
      <w:r w:rsidRPr="00F96D2C">
        <w:rPr>
          <w:rFonts w:ascii="Garamond" w:hAnsi="Garamond"/>
          <w:color w:val="000000" w:themeColor="text1"/>
        </w:rPr>
        <w:t xml:space="preserve"> “abandoned </w:t>
      </w:r>
      <w:r w:rsidR="005C058E">
        <w:rPr>
          <w:rFonts w:ascii="Garamond" w:hAnsi="Garamond"/>
          <w:color w:val="000000" w:themeColor="text1"/>
        </w:rPr>
        <w:t>‘</w:t>
      </w:r>
      <w:r w:rsidRPr="00F96D2C">
        <w:rPr>
          <w:rFonts w:ascii="Garamond" w:hAnsi="Garamond"/>
          <w:color w:val="000000" w:themeColor="text1"/>
        </w:rPr>
        <w:t>consent,</w:t>
      </w:r>
      <w:r w:rsidR="005C058E">
        <w:rPr>
          <w:rFonts w:ascii="Garamond" w:hAnsi="Garamond"/>
          <w:color w:val="000000" w:themeColor="text1"/>
        </w:rPr>
        <w:t>’</w:t>
      </w:r>
      <w:r w:rsidRPr="00F96D2C">
        <w:rPr>
          <w:rFonts w:ascii="Garamond" w:hAnsi="Garamond"/>
          <w:color w:val="000000" w:themeColor="text1"/>
        </w:rPr>
        <w:t xml:space="preserve"> </w:t>
      </w:r>
      <w:r w:rsidR="005C058E">
        <w:rPr>
          <w:rFonts w:ascii="Garamond" w:hAnsi="Garamond"/>
          <w:color w:val="000000" w:themeColor="text1"/>
        </w:rPr>
        <w:t>‘</w:t>
      </w:r>
      <w:r w:rsidRPr="00F96D2C">
        <w:rPr>
          <w:rFonts w:ascii="Garamond" w:hAnsi="Garamond"/>
          <w:color w:val="000000" w:themeColor="text1"/>
        </w:rPr>
        <w:t>doing business,</w:t>
      </w:r>
      <w:r w:rsidR="005C058E">
        <w:rPr>
          <w:rFonts w:ascii="Garamond" w:hAnsi="Garamond"/>
          <w:color w:val="000000" w:themeColor="text1"/>
        </w:rPr>
        <w:t>’</w:t>
      </w:r>
      <w:r w:rsidRPr="00F96D2C">
        <w:rPr>
          <w:rFonts w:ascii="Garamond" w:hAnsi="Garamond"/>
          <w:color w:val="000000" w:themeColor="text1"/>
        </w:rPr>
        <w:t xml:space="preserve"> and </w:t>
      </w:r>
      <w:r w:rsidR="005C058E">
        <w:rPr>
          <w:rFonts w:ascii="Garamond" w:hAnsi="Garamond"/>
          <w:color w:val="000000" w:themeColor="text1"/>
        </w:rPr>
        <w:t>‘</w:t>
      </w:r>
      <w:r w:rsidRPr="00F96D2C">
        <w:rPr>
          <w:rFonts w:ascii="Garamond" w:hAnsi="Garamond"/>
          <w:color w:val="000000" w:themeColor="text1"/>
        </w:rPr>
        <w:t>presence</w:t>
      </w:r>
      <w:r w:rsidR="005C058E">
        <w:rPr>
          <w:rFonts w:ascii="Garamond" w:hAnsi="Garamond"/>
          <w:color w:val="000000" w:themeColor="text1"/>
        </w:rPr>
        <w:t>’</w:t>
      </w:r>
      <w:r w:rsidRPr="00F96D2C">
        <w:rPr>
          <w:rFonts w:ascii="Garamond" w:hAnsi="Garamond"/>
          <w:color w:val="000000" w:themeColor="text1"/>
        </w:rPr>
        <w:t xml:space="preserve"> as the standard for measuring the extent of state judicial power over [foreign] corporations”). The very point of </w:t>
      </w:r>
      <w:r w:rsidRPr="00F96D2C">
        <w:rPr>
          <w:rFonts w:ascii="Garamond" w:hAnsi="Garamond"/>
          <w:i/>
          <w:color w:val="000000" w:themeColor="text1"/>
        </w:rPr>
        <w:t>International Shoe</w:t>
      </w:r>
      <w:r w:rsidRPr="00F96D2C">
        <w:rPr>
          <w:rFonts w:ascii="Garamond" w:hAnsi="Garamond"/>
          <w:color w:val="000000" w:themeColor="text1"/>
        </w:rPr>
        <w:t xml:space="preserve"> was to “cast ... aside” the legal fictions built on the old territorial approach to personal jurisdiction and replace them with its contacts-based test. In </w:t>
      </w:r>
      <w:r w:rsidRPr="00F96D2C">
        <w:rPr>
          <w:rFonts w:ascii="Garamond" w:hAnsi="Garamond"/>
          <w:i/>
          <w:color w:val="000000" w:themeColor="text1"/>
        </w:rPr>
        <w:t>Burnham</w:t>
      </w:r>
      <w:r w:rsidRPr="00F96D2C">
        <w:rPr>
          <w:rFonts w:ascii="Garamond" w:hAnsi="Garamond"/>
          <w:color w:val="000000" w:themeColor="text1"/>
        </w:rPr>
        <w:t xml:space="preserve">, we upheld tag jurisdiction because it is not one of those fictions—it </w:t>
      </w:r>
      <w:r w:rsidRPr="00F96D2C">
        <w:rPr>
          <w:rFonts w:ascii="Garamond" w:hAnsi="Garamond"/>
          <w:i/>
          <w:color w:val="000000" w:themeColor="text1"/>
        </w:rPr>
        <w:t xml:space="preserve">is </w:t>
      </w:r>
      <w:r w:rsidRPr="00F96D2C">
        <w:rPr>
          <w:rFonts w:ascii="Garamond" w:hAnsi="Garamond"/>
          <w:color w:val="000000" w:themeColor="text1"/>
        </w:rPr>
        <w:t>presence. By contrast, Pennsylvania</w:t>
      </w:r>
      <w:r w:rsidR="005C058E">
        <w:rPr>
          <w:rFonts w:ascii="Garamond" w:hAnsi="Garamond"/>
          <w:color w:val="000000" w:themeColor="text1"/>
        </w:rPr>
        <w:t>’</w:t>
      </w:r>
      <w:r w:rsidRPr="00F96D2C">
        <w:rPr>
          <w:rFonts w:ascii="Garamond" w:hAnsi="Garamond"/>
          <w:color w:val="000000" w:themeColor="text1"/>
        </w:rPr>
        <w:t xml:space="preserve">s registration statute is based on deemed consent. And this kind of legally implied consent is one of the very fictions that our decision in </w:t>
      </w:r>
      <w:r w:rsidRPr="00F96D2C">
        <w:rPr>
          <w:rFonts w:ascii="Garamond" w:hAnsi="Garamond"/>
          <w:i/>
          <w:color w:val="000000" w:themeColor="text1"/>
        </w:rPr>
        <w:t>International Shoe</w:t>
      </w:r>
      <w:r w:rsidRPr="00F96D2C">
        <w:rPr>
          <w:rFonts w:ascii="Garamond" w:hAnsi="Garamond"/>
          <w:color w:val="000000" w:themeColor="text1"/>
        </w:rPr>
        <w:t xml:space="preserve"> swept away.</w:t>
      </w:r>
    </w:p>
    <w:p w14:paraId="38C7A967" w14:textId="77777777" w:rsidR="00912D0B" w:rsidRDefault="00912D0B" w:rsidP="00912D0B">
      <w:pPr>
        <w:spacing w:line="275" w:lineRule="atLeast"/>
        <w:jc w:val="center"/>
        <w:rPr>
          <w:rFonts w:ascii="Garamond" w:hAnsi="Garamond"/>
          <w:color w:val="000000" w:themeColor="text1"/>
        </w:rPr>
      </w:pPr>
      <w:bookmarkStart w:id="43" w:name="co_anchor_Ibaa3c961307f11eeb5b7c8ccd2"/>
      <w:bookmarkStart w:id="44" w:name="co_anchor_Ibaa3c961307f11eeb5b7c8ccde3d"/>
    </w:p>
    <w:p w14:paraId="21DB6E85" w14:textId="41A6D860" w:rsidR="00CE26EA" w:rsidRPr="00F96D2C" w:rsidRDefault="00000000" w:rsidP="00912D0B">
      <w:pPr>
        <w:spacing w:line="275" w:lineRule="atLeast"/>
        <w:jc w:val="center"/>
        <w:rPr>
          <w:rFonts w:ascii="Garamond" w:hAnsi="Garamond"/>
          <w:color w:val="000000" w:themeColor="text1"/>
        </w:rPr>
      </w:pPr>
      <w:r w:rsidRPr="00F96D2C">
        <w:rPr>
          <w:rFonts w:ascii="Garamond" w:hAnsi="Garamond"/>
          <w:color w:val="000000" w:themeColor="text1"/>
        </w:rPr>
        <w:t>C</w:t>
      </w:r>
    </w:p>
    <w:bookmarkEnd w:id="43"/>
    <w:bookmarkEnd w:id="44"/>
    <w:p w14:paraId="0853A4B7" w14:textId="307D6762" w:rsidR="00CE26EA" w:rsidRPr="00F96D2C" w:rsidRDefault="00195E01">
      <w:pPr>
        <w:spacing w:line="275" w:lineRule="atLeast"/>
        <w:jc w:val="both"/>
        <w:rPr>
          <w:rFonts w:ascii="Garamond" w:hAnsi="Garamond"/>
          <w:color w:val="000000" w:themeColor="text1"/>
        </w:rPr>
      </w:pPr>
      <w:r>
        <w:rPr>
          <w:rFonts w:ascii="Garamond" w:hAnsi="Garamond"/>
          <w:color w:val="000000" w:themeColor="text1"/>
        </w:rPr>
        <w:t>. . .</w:t>
      </w:r>
    </w:p>
    <w:p w14:paraId="0BE2AB6B" w14:textId="55F3F62A" w:rsidR="00CE26EA" w:rsidRPr="00F96D2C" w:rsidRDefault="00CE26EA">
      <w:pPr>
        <w:spacing w:line="275" w:lineRule="atLeast"/>
        <w:jc w:val="both"/>
        <w:rPr>
          <w:rFonts w:ascii="Garamond" w:hAnsi="Garamond"/>
          <w:color w:val="000000" w:themeColor="text1"/>
        </w:rPr>
      </w:pPr>
    </w:p>
    <w:p w14:paraId="05257046" w14:textId="31710A42"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xml:space="preserve">The Court asserts that </w:t>
      </w:r>
      <w:r w:rsidRPr="00F96D2C">
        <w:rPr>
          <w:rFonts w:ascii="Garamond" w:hAnsi="Garamond"/>
          <w:i/>
          <w:color w:val="000000" w:themeColor="text1"/>
        </w:rPr>
        <w:t>Pennsylvania Fire</w:t>
      </w:r>
      <w:r w:rsidRPr="00F96D2C">
        <w:rPr>
          <w:rFonts w:ascii="Garamond" w:hAnsi="Garamond"/>
          <w:color w:val="000000" w:themeColor="text1"/>
        </w:rPr>
        <w:t xml:space="preserve"> controls our decision today. I disagree. The case was “decided before this Court</w:t>
      </w:r>
      <w:r w:rsidR="005C058E">
        <w:rPr>
          <w:rFonts w:ascii="Garamond" w:hAnsi="Garamond"/>
          <w:color w:val="000000" w:themeColor="text1"/>
        </w:rPr>
        <w:t>’</w:t>
      </w:r>
      <w:r w:rsidRPr="00F96D2C">
        <w:rPr>
          <w:rFonts w:ascii="Garamond" w:hAnsi="Garamond"/>
          <w:color w:val="000000" w:themeColor="text1"/>
        </w:rPr>
        <w:t>s transformative decision on per</w:t>
      </w:r>
      <w:r w:rsidR="00FB2942">
        <w:rPr>
          <w:rFonts w:ascii="Garamond" w:hAnsi="Garamond"/>
          <w:color w:val="000000" w:themeColor="text1"/>
        </w:rPr>
        <w:softHyphen/>
      </w:r>
      <w:r w:rsidRPr="00F96D2C">
        <w:rPr>
          <w:rFonts w:ascii="Garamond" w:hAnsi="Garamond"/>
          <w:color w:val="000000" w:themeColor="text1"/>
        </w:rPr>
        <w:t xml:space="preserve">sonal jurisdiction in </w:t>
      </w:r>
      <w:r w:rsidRPr="00F96D2C">
        <w:rPr>
          <w:rFonts w:ascii="Garamond" w:hAnsi="Garamond"/>
          <w:i/>
          <w:color w:val="000000" w:themeColor="text1"/>
        </w:rPr>
        <w:t>International Shoe</w:t>
      </w:r>
      <w:r w:rsidRPr="00F96D2C">
        <w:rPr>
          <w:rFonts w:ascii="Garamond" w:hAnsi="Garamond"/>
          <w:color w:val="000000" w:themeColor="text1"/>
        </w:rPr>
        <w:t>,” and we have already stated that “prior decisions [that] are incon</w:t>
      </w:r>
      <w:r w:rsidR="00FB2942">
        <w:rPr>
          <w:rFonts w:ascii="Garamond" w:hAnsi="Garamond"/>
          <w:color w:val="000000" w:themeColor="text1"/>
        </w:rPr>
        <w:softHyphen/>
      </w:r>
      <w:r w:rsidRPr="00F96D2C">
        <w:rPr>
          <w:rFonts w:ascii="Garamond" w:hAnsi="Garamond"/>
          <w:color w:val="000000" w:themeColor="text1"/>
        </w:rPr>
        <w:t xml:space="preserve">sistent with this standard ... are overruled,” </w:t>
      </w:r>
      <w:r w:rsidRPr="00F96D2C">
        <w:rPr>
          <w:rFonts w:ascii="Garamond" w:hAnsi="Garamond"/>
          <w:i/>
          <w:color w:val="000000" w:themeColor="text1"/>
        </w:rPr>
        <w:t>Shaffer</w:t>
      </w:r>
      <w:r w:rsidRPr="00F96D2C">
        <w:rPr>
          <w:rFonts w:ascii="Garamond" w:hAnsi="Garamond"/>
          <w:color w:val="000000" w:themeColor="text1"/>
        </w:rPr>
        <w:t xml:space="preserve">. </w:t>
      </w:r>
      <w:r w:rsidRPr="00F96D2C">
        <w:rPr>
          <w:rFonts w:ascii="Garamond" w:hAnsi="Garamond"/>
          <w:i/>
          <w:color w:val="000000" w:themeColor="text1"/>
        </w:rPr>
        <w:t>Pennsylvania Fire</w:t>
      </w:r>
      <w:r w:rsidRPr="00F96D2C">
        <w:rPr>
          <w:rFonts w:ascii="Garamond" w:hAnsi="Garamond"/>
          <w:color w:val="000000" w:themeColor="text1"/>
        </w:rPr>
        <w:t xml:space="preserve"> fits that bill. Time and again, we have reinforced that “</w:t>
      </w:r>
      <w:r w:rsidR="005C058E">
        <w:rPr>
          <w:rFonts w:ascii="Garamond" w:hAnsi="Garamond"/>
          <w:color w:val="000000" w:themeColor="text1"/>
        </w:rPr>
        <w:t>‘</w:t>
      </w:r>
      <w:r w:rsidRPr="00F96D2C">
        <w:rPr>
          <w:rFonts w:ascii="Garamond" w:hAnsi="Garamond"/>
          <w:color w:val="000000" w:themeColor="text1"/>
        </w:rPr>
        <w:t>doing business</w:t>
      </w:r>
      <w:r w:rsidR="005C058E">
        <w:rPr>
          <w:rFonts w:ascii="Garamond" w:hAnsi="Garamond"/>
          <w:color w:val="000000" w:themeColor="text1"/>
        </w:rPr>
        <w:t>’</w:t>
      </w:r>
      <w:r w:rsidRPr="00F96D2C">
        <w:rPr>
          <w:rFonts w:ascii="Garamond" w:hAnsi="Garamond"/>
          <w:color w:val="000000" w:themeColor="text1"/>
        </w:rPr>
        <w:t xml:space="preserve"> tests”—like those</w:t>
      </w:r>
      <w:r w:rsidR="00C53BFE">
        <w:rPr>
          <w:rFonts w:ascii="Garamond" w:hAnsi="Garamond"/>
          <w:color w:val="000000" w:themeColor="text1"/>
        </w:rPr>
        <w:t xml:space="preserve"> </w:t>
      </w:r>
      <w:r w:rsidRPr="00F96D2C">
        <w:rPr>
          <w:rFonts w:ascii="Garamond" w:hAnsi="Garamond"/>
          <w:color w:val="000000" w:themeColor="text1"/>
        </w:rPr>
        <w:t>“framed before specific jurisdiction evolved in the United States”—are not a valid basis for general jurisdiction. The only innovation of Pennsylvania</w:t>
      </w:r>
      <w:r w:rsidR="005C058E">
        <w:rPr>
          <w:rFonts w:ascii="Garamond" w:hAnsi="Garamond"/>
          <w:color w:val="000000" w:themeColor="text1"/>
        </w:rPr>
        <w:t>’</w:t>
      </w:r>
      <w:r w:rsidRPr="00F96D2C">
        <w:rPr>
          <w:rFonts w:ascii="Garamond" w:hAnsi="Garamond"/>
          <w:color w:val="000000" w:themeColor="text1"/>
        </w:rPr>
        <w:t xml:space="preserve">s statute is to make “doing business” synonymous with “consent.” If </w:t>
      </w:r>
      <w:r w:rsidRPr="00F96D2C">
        <w:rPr>
          <w:rFonts w:ascii="Garamond" w:hAnsi="Garamond"/>
          <w:i/>
          <w:color w:val="000000" w:themeColor="text1"/>
        </w:rPr>
        <w:t xml:space="preserve">Pennsylvania Fire </w:t>
      </w:r>
      <w:r w:rsidRPr="00F96D2C">
        <w:rPr>
          <w:rFonts w:ascii="Garamond" w:hAnsi="Garamond"/>
          <w:color w:val="000000" w:themeColor="text1"/>
        </w:rPr>
        <w:t xml:space="preserve">endorses that trick, then </w:t>
      </w:r>
      <w:r w:rsidRPr="00F96D2C">
        <w:rPr>
          <w:rFonts w:ascii="Garamond" w:hAnsi="Garamond"/>
          <w:i/>
          <w:color w:val="000000" w:themeColor="text1"/>
        </w:rPr>
        <w:t>Pennsylvania Fire</w:t>
      </w:r>
      <w:r w:rsidRPr="00F96D2C">
        <w:rPr>
          <w:rFonts w:ascii="Garamond" w:hAnsi="Garamond"/>
          <w:color w:val="000000" w:themeColor="text1"/>
        </w:rPr>
        <w:t xml:space="preserve"> is no longer good law.</w:t>
      </w:r>
    </w:p>
    <w:p w14:paraId="0850E4CE" w14:textId="7D6D4477" w:rsidR="00CE26EA" w:rsidRPr="00F96D2C" w:rsidRDefault="00CE26EA">
      <w:pPr>
        <w:spacing w:line="275" w:lineRule="atLeast"/>
        <w:jc w:val="both"/>
        <w:rPr>
          <w:rFonts w:ascii="Garamond" w:hAnsi="Garamond"/>
          <w:color w:val="000000" w:themeColor="text1"/>
        </w:rPr>
      </w:pPr>
    </w:p>
    <w:p w14:paraId="22666F3B" w14:textId="6BF7A8CF"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xml:space="preserve">The plurality tries to get around </w:t>
      </w:r>
      <w:r w:rsidRPr="00F96D2C">
        <w:rPr>
          <w:rFonts w:ascii="Garamond" w:hAnsi="Garamond"/>
          <w:i/>
          <w:color w:val="000000" w:themeColor="text1"/>
        </w:rPr>
        <w:t>International Shoe</w:t>
      </w:r>
      <w:r w:rsidRPr="00F96D2C">
        <w:rPr>
          <w:rFonts w:ascii="Garamond" w:hAnsi="Garamond"/>
          <w:color w:val="000000" w:themeColor="text1"/>
        </w:rPr>
        <w:t xml:space="preserve"> by claiming that it did no more than expand jurisdiction, affecting nothing that came before it. That is as fictional as the old concept of “corporate presence” on which the plurality relies. We have previously abandoned even “ancient” bases of jurisdiction for incompatibility with </w:t>
      </w:r>
      <w:r w:rsidRPr="00F96D2C">
        <w:rPr>
          <w:rFonts w:ascii="Garamond" w:hAnsi="Garamond"/>
          <w:i/>
          <w:color w:val="000000" w:themeColor="text1"/>
        </w:rPr>
        <w:t>International Shoe</w:t>
      </w:r>
      <w:r w:rsidRPr="00F96D2C">
        <w:rPr>
          <w:rFonts w:ascii="Garamond" w:hAnsi="Garamond"/>
          <w:color w:val="000000" w:themeColor="text1"/>
        </w:rPr>
        <w:t xml:space="preserve">. </w:t>
      </w:r>
      <w:r w:rsidRPr="00F96D2C">
        <w:rPr>
          <w:rFonts w:ascii="Garamond" w:hAnsi="Garamond"/>
          <w:i/>
          <w:color w:val="000000" w:themeColor="text1"/>
        </w:rPr>
        <w:t>Shaffer</w:t>
      </w:r>
      <w:r w:rsidRPr="00F96D2C">
        <w:rPr>
          <w:rFonts w:ascii="Garamond" w:hAnsi="Garamond"/>
          <w:color w:val="000000" w:themeColor="text1"/>
        </w:rPr>
        <w:t xml:space="preserve"> (repudiating </w:t>
      </w:r>
      <w:r w:rsidRPr="00F96D2C">
        <w:rPr>
          <w:rFonts w:ascii="Garamond" w:hAnsi="Garamond"/>
          <w:i/>
          <w:color w:val="000000" w:themeColor="text1"/>
        </w:rPr>
        <w:t>quasi</w:t>
      </w:r>
      <w:r w:rsidRPr="00F96D2C">
        <w:rPr>
          <w:rFonts w:ascii="Garamond" w:hAnsi="Garamond"/>
          <w:color w:val="000000" w:themeColor="text1"/>
        </w:rPr>
        <w:t xml:space="preserve"> </w:t>
      </w:r>
      <w:r w:rsidRPr="00F96D2C">
        <w:rPr>
          <w:rFonts w:ascii="Garamond" w:hAnsi="Garamond"/>
          <w:i/>
          <w:color w:val="000000" w:themeColor="text1"/>
        </w:rPr>
        <w:t>in rem</w:t>
      </w:r>
      <w:r w:rsidRPr="00F96D2C">
        <w:rPr>
          <w:rFonts w:ascii="Garamond" w:hAnsi="Garamond"/>
          <w:color w:val="000000" w:themeColor="text1"/>
        </w:rPr>
        <w:t xml:space="preserve"> jurisdiction). And we have repeatedly reminded litigants not to put much stock in our pre-</w:t>
      </w:r>
      <w:r w:rsidRPr="00F96D2C">
        <w:rPr>
          <w:rFonts w:ascii="Garamond" w:hAnsi="Garamond"/>
          <w:i/>
          <w:color w:val="000000" w:themeColor="text1"/>
        </w:rPr>
        <w:t xml:space="preserve">International Shoe </w:t>
      </w:r>
      <w:r w:rsidRPr="00F96D2C">
        <w:rPr>
          <w:rFonts w:ascii="Garamond" w:hAnsi="Garamond"/>
          <w:color w:val="000000" w:themeColor="text1"/>
        </w:rPr>
        <w:t xml:space="preserve">decisions. </w:t>
      </w:r>
      <w:r w:rsidRPr="00F96D2C">
        <w:rPr>
          <w:rFonts w:ascii="Garamond" w:hAnsi="Garamond"/>
          <w:i/>
          <w:color w:val="000000" w:themeColor="text1"/>
        </w:rPr>
        <w:t>Daimler</w:t>
      </w:r>
      <w:r w:rsidRPr="00F96D2C">
        <w:rPr>
          <w:rFonts w:ascii="Garamond" w:hAnsi="Garamond"/>
          <w:color w:val="000000" w:themeColor="text1"/>
        </w:rPr>
        <w:t xml:space="preserve"> itself reinforces that pre-</w:t>
      </w:r>
      <w:r w:rsidRPr="00F96D2C">
        <w:rPr>
          <w:rFonts w:ascii="Garamond" w:hAnsi="Garamond"/>
          <w:i/>
          <w:color w:val="000000" w:themeColor="text1"/>
        </w:rPr>
        <w:t>International Shoe</w:t>
      </w:r>
      <w:r w:rsidRPr="00F96D2C">
        <w:rPr>
          <w:rFonts w:ascii="Garamond" w:hAnsi="Garamond"/>
          <w:color w:val="000000" w:themeColor="text1"/>
        </w:rPr>
        <w:t xml:space="preserve"> decisions “should not attract heavy reliance today.” Over and over, we have reminded litigants that </w:t>
      </w:r>
      <w:r w:rsidRPr="00F96D2C">
        <w:rPr>
          <w:rFonts w:ascii="Garamond" w:hAnsi="Garamond"/>
          <w:i/>
          <w:color w:val="000000" w:themeColor="text1"/>
        </w:rPr>
        <w:t xml:space="preserve">International </w:t>
      </w:r>
      <w:r w:rsidRPr="00F96D2C">
        <w:rPr>
          <w:rFonts w:ascii="Garamond" w:hAnsi="Garamond"/>
          <w:i/>
          <w:color w:val="000000" w:themeColor="text1"/>
        </w:rPr>
        <w:lastRenderedPageBreak/>
        <w:t>Shoe</w:t>
      </w:r>
      <w:r w:rsidRPr="00F96D2C">
        <w:rPr>
          <w:rFonts w:ascii="Garamond" w:hAnsi="Garamond"/>
          <w:color w:val="000000" w:themeColor="text1"/>
        </w:rPr>
        <w:t xml:space="preserve"> is “canonical,” “seminal,” “</w:t>
      </w:r>
      <w:proofErr w:type="spellStart"/>
      <w:r w:rsidRPr="00F96D2C">
        <w:rPr>
          <w:rFonts w:ascii="Garamond" w:hAnsi="Garamond"/>
          <w:color w:val="000000" w:themeColor="text1"/>
        </w:rPr>
        <w:t>pathmarking</w:t>
      </w:r>
      <w:proofErr w:type="spellEnd"/>
      <w:r w:rsidRPr="00F96D2C">
        <w:rPr>
          <w:rFonts w:ascii="Garamond" w:hAnsi="Garamond"/>
          <w:color w:val="000000" w:themeColor="text1"/>
        </w:rPr>
        <w:t>,” and even “momentous”—to give just a few examples. Yet the Court acts as if none of this ever happened.</w:t>
      </w:r>
    </w:p>
    <w:p w14:paraId="4EC5ED58"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1A2F2AAE" w14:textId="29354366"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xml:space="preserve">In any event, I doubt </w:t>
      </w:r>
      <w:r w:rsidRPr="00F96D2C">
        <w:rPr>
          <w:rFonts w:ascii="Garamond" w:hAnsi="Garamond"/>
          <w:i/>
          <w:color w:val="000000" w:themeColor="text1"/>
        </w:rPr>
        <w:t>Pennsylvania Fire</w:t>
      </w:r>
      <w:r w:rsidRPr="00F96D2C">
        <w:rPr>
          <w:rFonts w:ascii="Garamond" w:hAnsi="Garamond"/>
          <w:color w:val="000000" w:themeColor="text1"/>
        </w:rPr>
        <w:t xml:space="preserve"> would control this case even if it remained valid. </w:t>
      </w:r>
      <w:r w:rsidRPr="00F96D2C">
        <w:rPr>
          <w:rFonts w:ascii="Garamond" w:hAnsi="Garamond"/>
          <w:i/>
          <w:color w:val="000000" w:themeColor="text1"/>
        </w:rPr>
        <w:t>Pennsylvania Fire</w:t>
      </w:r>
      <w:r w:rsidRPr="00F96D2C">
        <w:rPr>
          <w:rFonts w:ascii="Garamond" w:hAnsi="Garamond"/>
          <w:color w:val="000000" w:themeColor="text1"/>
        </w:rPr>
        <w:t xml:space="preserve"> distinguished between express consent (that is, consent “actually ... conferred by [the] document”) and deemed consent (inferred from doing business). As Judge Learned Hand emphasized in a decision invoked by the plurality, without “express consent,” the normal rules apply.</w:t>
      </w:r>
    </w:p>
    <w:p w14:paraId="1E85034B" w14:textId="77777777" w:rsidR="00CE26EA" w:rsidRPr="00F96D2C" w:rsidRDefault="00000000">
      <w:pPr>
        <w:spacing w:line="275" w:lineRule="atLeast"/>
        <w:jc w:val="both"/>
        <w:rPr>
          <w:rFonts w:ascii="Garamond" w:hAnsi="Garamond"/>
          <w:color w:val="000000" w:themeColor="text1"/>
        </w:rPr>
      </w:pPr>
      <w:r w:rsidRPr="00F96D2C">
        <w:rPr>
          <w:rFonts w:ascii="Garamond" w:hAnsi="Garamond"/>
          <w:color w:val="000000" w:themeColor="text1"/>
        </w:rPr>
        <w:t> </w:t>
      </w:r>
    </w:p>
    <w:p w14:paraId="7A0CB870" w14:textId="3A928BD0" w:rsidR="00CE26EA" w:rsidRPr="00F96D2C" w:rsidRDefault="00000000" w:rsidP="007449BD">
      <w:pPr>
        <w:spacing w:line="275" w:lineRule="atLeast"/>
        <w:jc w:val="both"/>
        <w:rPr>
          <w:rFonts w:ascii="Garamond" w:hAnsi="Garamond"/>
          <w:color w:val="000000" w:themeColor="text1"/>
        </w:rPr>
      </w:pPr>
      <w:r w:rsidRPr="00F96D2C">
        <w:rPr>
          <w:rFonts w:ascii="Garamond" w:hAnsi="Garamond"/>
          <w:color w:val="000000" w:themeColor="text1"/>
        </w:rPr>
        <w:t xml:space="preserve">The express power of attorney in </w:t>
      </w:r>
      <w:r w:rsidRPr="00F96D2C">
        <w:rPr>
          <w:rFonts w:ascii="Garamond" w:hAnsi="Garamond"/>
          <w:i/>
          <w:color w:val="000000" w:themeColor="text1"/>
        </w:rPr>
        <w:t>Pennsylvania Fire</w:t>
      </w:r>
      <w:r w:rsidRPr="00F96D2C">
        <w:rPr>
          <w:rFonts w:ascii="Garamond" w:hAnsi="Garamond"/>
          <w:color w:val="000000" w:themeColor="text1"/>
        </w:rPr>
        <w:t xml:space="preserve"> “made service on the [insurance] superintendent the equivalent of ... a corporate vote [that] had accepted service in this specific case.” Norfolk Southern, by contrast, “executed no document like the power of attorney there.” The Court makes much of what Norfolk Southern did write on its forms: It named a “Commercial Registered Office Provider,” it notified Pennsylvania of a merger, and it paid $70 to update its paperwork. None of those documents use the word “agent,” nothing hints at the word “jurisdiction,” and (as the Pennsylvania Supreme Court explained) nothing about that registration is “voluntary.” Consent in </w:t>
      </w:r>
      <w:r w:rsidRPr="00F96D2C">
        <w:rPr>
          <w:rFonts w:ascii="Garamond" w:hAnsi="Garamond"/>
          <w:i/>
          <w:color w:val="000000" w:themeColor="text1"/>
        </w:rPr>
        <w:t xml:space="preserve">Pennsylvania Fire </w:t>
      </w:r>
      <w:r w:rsidRPr="00F96D2C">
        <w:rPr>
          <w:rFonts w:ascii="Garamond" w:hAnsi="Garamond"/>
          <w:color w:val="000000" w:themeColor="text1"/>
        </w:rPr>
        <w:t>was con</w:t>
      </w:r>
      <w:r w:rsidR="002B1B95">
        <w:rPr>
          <w:rFonts w:ascii="Garamond" w:hAnsi="Garamond"/>
          <w:color w:val="000000" w:themeColor="text1"/>
        </w:rPr>
        <w:softHyphen/>
      </w:r>
      <w:r w:rsidRPr="00F96D2C">
        <w:rPr>
          <w:rFonts w:ascii="Garamond" w:hAnsi="Garamond"/>
          <w:color w:val="000000" w:themeColor="text1"/>
        </w:rPr>
        <w:t>tained in the document itself; here it is deemed by statute. If “mere formalities” matter as much as the plurality says they do, it should respect this one too.</w:t>
      </w:r>
    </w:p>
    <w:p w14:paraId="550C9068" w14:textId="77777777" w:rsidR="00CE26EA" w:rsidRPr="00F96D2C" w:rsidRDefault="00000000">
      <w:pPr>
        <w:spacing w:line="275" w:lineRule="atLeast"/>
        <w:jc w:val="center"/>
        <w:rPr>
          <w:rFonts w:ascii="Garamond" w:hAnsi="Garamond"/>
          <w:color w:val="000000" w:themeColor="text1"/>
        </w:rPr>
      </w:pPr>
      <w:r w:rsidRPr="00F96D2C">
        <w:rPr>
          <w:rFonts w:ascii="Garamond" w:hAnsi="Garamond"/>
          <w:color w:val="000000" w:themeColor="text1"/>
        </w:rPr>
        <w:t>***</w:t>
      </w:r>
    </w:p>
    <w:p w14:paraId="5E0CB906" w14:textId="1E4176CE" w:rsidR="00CE26EA" w:rsidRPr="00F96D2C" w:rsidRDefault="00CE26EA">
      <w:pPr>
        <w:spacing w:line="275" w:lineRule="atLeast"/>
        <w:jc w:val="both"/>
        <w:rPr>
          <w:rFonts w:ascii="Garamond" w:hAnsi="Garamond"/>
          <w:color w:val="000000" w:themeColor="text1"/>
        </w:rPr>
      </w:pPr>
    </w:p>
    <w:p w14:paraId="1A2E0B63" w14:textId="61AD31FA" w:rsidR="00937AE5" w:rsidRDefault="00000000" w:rsidP="00FF4CA7">
      <w:pPr>
        <w:spacing w:line="275" w:lineRule="atLeast"/>
        <w:jc w:val="both"/>
        <w:rPr>
          <w:rFonts w:ascii="Garamond" w:hAnsi="Garamond"/>
          <w:color w:val="000000" w:themeColor="text1"/>
        </w:rPr>
      </w:pPr>
      <w:r w:rsidRPr="00F96D2C">
        <w:rPr>
          <w:rFonts w:ascii="Garamond" w:hAnsi="Garamond"/>
          <w:color w:val="000000" w:themeColor="text1"/>
        </w:rPr>
        <w:t xml:space="preserve">Critics of </w:t>
      </w:r>
      <w:r w:rsidRPr="00F96D2C">
        <w:rPr>
          <w:rFonts w:ascii="Garamond" w:hAnsi="Garamond"/>
          <w:i/>
          <w:color w:val="000000" w:themeColor="text1"/>
        </w:rPr>
        <w:t>Daimler</w:t>
      </w:r>
      <w:r w:rsidRPr="00F96D2C">
        <w:rPr>
          <w:rFonts w:ascii="Garamond" w:hAnsi="Garamond"/>
          <w:color w:val="000000" w:themeColor="text1"/>
        </w:rPr>
        <w:t xml:space="preserve"> and </w:t>
      </w:r>
      <w:r w:rsidRPr="00F96D2C">
        <w:rPr>
          <w:rFonts w:ascii="Garamond" w:hAnsi="Garamond"/>
          <w:i/>
          <w:color w:val="000000" w:themeColor="text1"/>
        </w:rPr>
        <w:t>Goodyear</w:t>
      </w:r>
      <w:r w:rsidRPr="00F96D2C">
        <w:rPr>
          <w:rFonts w:ascii="Garamond" w:hAnsi="Garamond"/>
          <w:color w:val="000000" w:themeColor="text1"/>
        </w:rPr>
        <w:t xml:space="preserve"> may be happy to see them go. And make no mistake: They are halfway out the door. If States take up the Court</w:t>
      </w:r>
      <w:r w:rsidR="005C058E">
        <w:rPr>
          <w:rFonts w:ascii="Garamond" w:hAnsi="Garamond"/>
          <w:color w:val="000000" w:themeColor="text1"/>
        </w:rPr>
        <w:t>’</w:t>
      </w:r>
      <w:r w:rsidRPr="00F96D2C">
        <w:rPr>
          <w:rFonts w:ascii="Garamond" w:hAnsi="Garamond"/>
          <w:color w:val="000000" w:themeColor="text1"/>
        </w:rPr>
        <w:t xml:space="preserve">s invitation to manipulate registration, </w:t>
      </w:r>
      <w:r w:rsidRPr="00F96D2C">
        <w:rPr>
          <w:rFonts w:ascii="Garamond" w:hAnsi="Garamond"/>
          <w:i/>
          <w:color w:val="000000" w:themeColor="text1"/>
        </w:rPr>
        <w:t>Daimler</w:t>
      </w:r>
      <w:r w:rsidRPr="00F96D2C">
        <w:rPr>
          <w:rFonts w:ascii="Garamond" w:hAnsi="Garamond"/>
          <w:color w:val="000000" w:themeColor="text1"/>
        </w:rPr>
        <w:t xml:space="preserve"> and </w:t>
      </w:r>
      <w:r w:rsidRPr="00F96D2C">
        <w:rPr>
          <w:rFonts w:ascii="Garamond" w:hAnsi="Garamond"/>
          <w:i/>
          <w:color w:val="000000" w:themeColor="text1"/>
        </w:rPr>
        <w:t>Goodyear</w:t>
      </w:r>
      <w:r w:rsidRPr="00F96D2C">
        <w:rPr>
          <w:rFonts w:ascii="Garamond" w:hAnsi="Garamond"/>
          <w:color w:val="000000" w:themeColor="text1"/>
        </w:rPr>
        <w:t xml:space="preserve"> will be obsolete, and, at least for corporations, specific jurisdiction will be “superfluous.” Because I would not work this sea change, I respectfully dissent.</w:t>
      </w:r>
    </w:p>
    <w:p w14:paraId="6FA0E68F" w14:textId="77777777" w:rsidR="00937AE5" w:rsidRDefault="00937AE5" w:rsidP="00FF4CA7">
      <w:pPr>
        <w:spacing w:line="275" w:lineRule="atLeast"/>
        <w:jc w:val="both"/>
        <w:rPr>
          <w:rFonts w:ascii="Garamond" w:hAnsi="Garamond"/>
          <w:color w:val="000000" w:themeColor="text1"/>
        </w:rPr>
        <w:sectPr w:rsidR="00937AE5">
          <w:footerReference w:type="even" r:id="rId6"/>
          <w:footerReference w:type="default" r:id="rId7"/>
          <w:pgSz w:w="12240" w:h="15840"/>
          <w:pgMar w:top="1800" w:right="1080" w:bottom="1080" w:left="1080" w:header="720" w:footer="720" w:gutter="0"/>
          <w:pgNumType w:start="1"/>
          <w:cols w:num="2" w:space="240"/>
        </w:sectPr>
      </w:pPr>
    </w:p>
    <w:p w14:paraId="7E519150" w14:textId="77777777" w:rsidR="0089003E" w:rsidRPr="00F96D2C" w:rsidRDefault="0089003E" w:rsidP="008144CD">
      <w:pPr>
        <w:rPr>
          <w:rFonts w:ascii="Garamond" w:hAnsi="Garamond"/>
          <w:color w:val="000000" w:themeColor="text1"/>
        </w:rPr>
      </w:pPr>
    </w:p>
    <w:sectPr w:rsidR="0089003E" w:rsidRPr="00F96D2C">
      <w:pgSz w:w="12240" w:h="15840"/>
      <w:pgMar w:top="1800" w:right="1080" w:bottom="1080" w:left="108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17C7B2" w14:textId="77777777" w:rsidR="00632F9E" w:rsidRDefault="00632F9E">
      <w:r>
        <w:separator/>
      </w:r>
    </w:p>
  </w:endnote>
  <w:endnote w:type="continuationSeparator" w:id="0">
    <w:p w14:paraId="45468FEA" w14:textId="77777777" w:rsidR="00632F9E" w:rsidRDefault="00632F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aramond">
    <w:panose1 w:val="02020404030301010803"/>
    <w:charset w:val="00"/>
    <w:family w:val="roman"/>
    <w:pitch w:val="variable"/>
    <w:sig w:usb0="00000287" w:usb1="00000002"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Garamond" w:hAnsi="Garamond"/>
      </w:rPr>
      <w:id w:val="2058893781"/>
      <w:docPartObj>
        <w:docPartGallery w:val="Page Numbers (Bottom of Page)"/>
        <w:docPartUnique/>
      </w:docPartObj>
    </w:sdtPr>
    <w:sdtContent>
      <w:p w14:paraId="3E381F1C" w14:textId="1FE39863" w:rsidR="00A0506D" w:rsidRPr="001523B2" w:rsidRDefault="00A0506D" w:rsidP="00B874D7">
        <w:pPr>
          <w:pStyle w:val="Footer"/>
          <w:framePr w:wrap="none" w:vAnchor="text" w:hAnchor="margin" w:xAlign="center" w:y="1"/>
          <w:rPr>
            <w:rStyle w:val="PageNumber"/>
            <w:rFonts w:ascii="Garamond" w:hAnsi="Garamond"/>
          </w:rPr>
        </w:pPr>
        <w:r w:rsidRPr="001523B2">
          <w:rPr>
            <w:rStyle w:val="PageNumber"/>
            <w:rFonts w:ascii="Garamond" w:hAnsi="Garamond"/>
          </w:rPr>
          <w:fldChar w:fldCharType="begin"/>
        </w:r>
        <w:r w:rsidRPr="001523B2">
          <w:rPr>
            <w:rStyle w:val="PageNumber"/>
            <w:rFonts w:ascii="Garamond" w:hAnsi="Garamond"/>
          </w:rPr>
          <w:instrText xml:space="preserve"> PAGE </w:instrText>
        </w:r>
        <w:r w:rsidRPr="001523B2">
          <w:rPr>
            <w:rStyle w:val="PageNumber"/>
            <w:rFonts w:ascii="Garamond" w:hAnsi="Garamond"/>
          </w:rPr>
          <w:fldChar w:fldCharType="separate"/>
        </w:r>
        <w:r w:rsidRPr="001523B2">
          <w:rPr>
            <w:rStyle w:val="PageNumber"/>
            <w:rFonts w:ascii="Garamond" w:hAnsi="Garamond"/>
            <w:noProof/>
          </w:rPr>
          <w:t>26</w:t>
        </w:r>
        <w:r w:rsidRPr="001523B2">
          <w:rPr>
            <w:rStyle w:val="PageNumber"/>
            <w:rFonts w:ascii="Garamond" w:hAnsi="Garamond"/>
          </w:rPr>
          <w:fldChar w:fldCharType="end"/>
        </w:r>
      </w:p>
    </w:sdtContent>
  </w:sdt>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rStyle w:val="PageNumber"/>
        <w:rFonts w:ascii="Garamond" w:hAnsi="Garamond"/>
      </w:rPr>
      <w:id w:val="621657067"/>
      <w:docPartObj>
        <w:docPartGallery w:val="Page Numbers (Bottom of Page)"/>
        <w:docPartUnique/>
      </w:docPartObj>
    </w:sdtPr>
    <w:sdtContent>
      <w:p w14:paraId="7959DBAA" w14:textId="44D67257" w:rsidR="00A0506D" w:rsidRPr="00A0506D" w:rsidRDefault="00A0506D" w:rsidP="00B874D7">
        <w:pPr>
          <w:pStyle w:val="Footer"/>
          <w:framePr w:wrap="none" w:vAnchor="text" w:hAnchor="margin" w:xAlign="center" w:y="1"/>
          <w:rPr>
            <w:rStyle w:val="PageNumber"/>
            <w:rFonts w:ascii="Garamond" w:hAnsi="Garamond"/>
          </w:rPr>
        </w:pPr>
        <w:r w:rsidRPr="00A0506D">
          <w:rPr>
            <w:rStyle w:val="PageNumber"/>
            <w:rFonts w:ascii="Garamond" w:hAnsi="Garamond"/>
          </w:rPr>
          <w:fldChar w:fldCharType="begin"/>
        </w:r>
        <w:r w:rsidRPr="00A0506D">
          <w:rPr>
            <w:rStyle w:val="PageNumber"/>
            <w:rFonts w:ascii="Garamond" w:hAnsi="Garamond"/>
          </w:rPr>
          <w:instrText xml:space="preserve"> PAGE </w:instrText>
        </w:r>
        <w:r w:rsidRPr="00A0506D">
          <w:rPr>
            <w:rStyle w:val="PageNumber"/>
            <w:rFonts w:ascii="Garamond" w:hAnsi="Garamond"/>
          </w:rPr>
          <w:fldChar w:fldCharType="separate"/>
        </w:r>
        <w:r w:rsidRPr="00A0506D">
          <w:rPr>
            <w:rStyle w:val="PageNumber"/>
            <w:rFonts w:ascii="Garamond" w:hAnsi="Garamond"/>
            <w:noProof/>
          </w:rPr>
          <w:t>1</w:t>
        </w:r>
        <w:r w:rsidRPr="00A0506D">
          <w:rPr>
            <w:rStyle w:val="PageNumber"/>
            <w:rFonts w:ascii="Garamond" w:hAnsi="Garamond"/>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F1B376E" w14:textId="77777777" w:rsidR="00632F9E" w:rsidRDefault="00632F9E">
      <w:r>
        <w:separator/>
      </w:r>
    </w:p>
  </w:footnote>
  <w:footnote w:type="continuationSeparator" w:id="0">
    <w:p w14:paraId="471AF751" w14:textId="77777777" w:rsidR="00632F9E" w:rsidRDefault="00632F9E">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258"/>
  <w:bordersDoNotSurroundHeader/>
  <w:bordersDoNotSurroundFooter/>
  <w:proofState w:spelling="clean"/>
  <w:defaultTabStop w:val="720"/>
  <w:evenAndOddHeaders/>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CE26EA"/>
    <w:rsid w:val="00027874"/>
    <w:rsid w:val="00030A6E"/>
    <w:rsid w:val="000358A9"/>
    <w:rsid w:val="00072C44"/>
    <w:rsid w:val="00077238"/>
    <w:rsid w:val="000A4AC0"/>
    <w:rsid w:val="000B5DEB"/>
    <w:rsid w:val="000B6734"/>
    <w:rsid w:val="000C3203"/>
    <w:rsid w:val="000E2E7B"/>
    <w:rsid w:val="001257B6"/>
    <w:rsid w:val="00127360"/>
    <w:rsid w:val="00151EFE"/>
    <w:rsid w:val="001523B2"/>
    <w:rsid w:val="00156557"/>
    <w:rsid w:val="0018462F"/>
    <w:rsid w:val="001901A8"/>
    <w:rsid w:val="00195E01"/>
    <w:rsid w:val="001A6432"/>
    <w:rsid w:val="001B0EB9"/>
    <w:rsid w:val="001D2C56"/>
    <w:rsid w:val="001D3B0E"/>
    <w:rsid w:val="001D5F1B"/>
    <w:rsid w:val="001D7100"/>
    <w:rsid w:val="001E7839"/>
    <w:rsid w:val="001F008E"/>
    <w:rsid w:val="001F50A3"/>
    <w:rsid w:val="00202E3B"/>
    <w:rsid w:val="00216408"/>
    <w:rsid w:val="00233725"/>
    <w:rsid w:val="00247D45"/>
    <w:rsid w:val="0025015E"/>
    <w:rsid w:val="002534AD"/>
    <w:rsid w:val="00271958"/>
    <w:rsid w:val="0027607F"/>
    <w:rsid w:val="00285B33"/>
    <w:rsid w:val="00295FBA"/>
    <w:rsid w:val="00297D70"/>
    <w:rsid w:val="002B1507"/>
    <w:rsid w:val="002B1B95"/>
    <w:rsid w:val="002B69DE"/>
    <w:rsid w:val="002B7C6C"/>
    <w:rsid w:val="002E7D91"/>
    <w:rsid w:val="002F05B1"/>
    <w:rsid w:val="00343BBB"/>
    <w:rsid w:val="00346C60"/>
    <w:rsid w:val="00365545"/>
    <w:rsid w:val="00380DB7"/>
    <w:rsid w:val="00385563"/>
    <w:rsid w:val="00386FBD"/>
    <w:rsid w:val="0039775C"/>
    <w:rsid w:val="003C1CBA"/>
    <w:rsid w:val="003D6CF0"/>
    <w:rsid w:val="003D7139"/>
    <w:rsid w:val="003E1DBA"/>
    <w:rsid w:val="003F4979"/>
    <w:rsid w:val="00400762"/>
    <w:rsid w:val="00422644"/>
    <w:rsid w:val="00457F72"/>
    <w:rsid w:val="00460F03"/>
    <w:rsid w:val="00464348"/>
    <w:rsid w:val="0048781D"/>
    <w:rsid w:val="0049116D"/>
    <w:rsid w:val="00492902"/>
    <w:rsid w:val="00497B96"/>
    <w:rsid w:val="004B6845"/>
    <w:rsid w:val="004D1748"/>
    <w:rsid w:val="004D6DDE"/>
    <w:rsid w:val="004F57DC"/>
    <w:rsid w:val="00501A7A"/>
    <w:rsid w:val="005470CB"/>
    <w:rsid w:val="0057222A"/>
    <w:rsid w:val="00595815"/>
    <w:rsid w:val="005C058E"/>
    <w:rsid w:val="005C0FBF"/>
    <w:rsid w:val="005F44D6"/>
    <w:rsid w:val="00624EF9"/>
    <w:rsid w:val="00632930"/>
    <w:rsid w:val="00632F9E"/>
    <w:rsid w:val="006343E3"/>
    <w:rsid w:val="0066385C"/>
    <w:rsid w:val="00690514"/>
    <w:rsid w:val="006B756C"/>
    <w:rsid w:val="006E3E27"/>
    <w:rsid w:val="00704CAF"/>
    <w:rsid w:val="00710F23"/>
    <w:rsid w:val="00723E83"/>
    <w:rsid w:val="00735A9D"/>
    <w:rsid w:val="007449BD"/>
    <w:rsid w:val="0074558D"/>
    <w:rsid w:val="007710E0"/>
    <w:rsid w:val="007758FD"/>
    <w:rsid w:val="00776520"/>
    <w:rsid w:val="00796207"/>
    <w:rsid w:val="007C0074"/>
    <w:rsid w:val="008051AF"/>
    <w:rsid w:val="008144CD"/>
    <w:rsid w:val="0081683E"/>
    <w:rsid w:val="008223E9"/>
    <w:rsid w:val="00825422"/>
    <w:rsid w:val="0083209E"/>
    <w:rsid w:val="00836258"/>
    <w:rsid w:val="00865872"/>
    <w:rsid w:val="0088107B"/>
    <w:rsid w:val="008811C7"/>
    <w:rsid w:val="0089003E"/>
    <w:rsid w:val="00893913"/>
    <w:rsid w:val="008957BB"/>
    <w:rsid w:val="008A6B3D"/>
    <w:rsid w:val="008B14DF"/>
    <w:rsid w:val="008F0F18"/>
    <w:rsid w:val="008F43CD"/>
    <w:rsid w:val="00912D0B"/>
    <w:rsid w:val="00935924"/>
    <w:rsid w:val="00937AE5"/>
    <w:rsid w:val="00945182"/>
    <w:rsid w:val="009525BD"/>
    <w:rsid w:val="009615C6"/>
    <w:rsid w:val="009640A1"/>
    <w:rsid w:val="00977C5B"/>
    <w:rsid w:val="009820FF"/>
    <w:rsid w:val="00994C21"/>
    <w:rsid w:val="009B41C8"/>
    <w:rsid w:val="009C7CF1"/>
    <w:rsid w:val="009D6F4B"/>
    <w:rsid w:val="009E0BD5"/>
    <w:rsid w:val="009E473C"/>
    <w:rsid w:val="009F1261"/>
    <w:rsid w:val="009F7085"/>
    <w:rsid w:val="00A0506D"/>
    <w:rsid w:val="00A27F35"/>
    <w:rsid w:val="00A332A4"/>
    <w:rsid w:val="00A352E6"/>
    <w:rsid w:val="00A35837"/>
    <w:rsid w:val="00A46C24"/>
    <w:rsid w:val="00A47B4E"/>
    <w:rsid w:val="00A56B92"/>
    <w:rsid w:val="00A6385C"/>
    <w:rsid w:val="00A75077"/>
    <w:rsid w:val="00A7602C"/>
    <w:rsid w:val="00A85A32"/>
    <w:rsid w:val="00A86970"/>
    <w:rsid w:val="00AA032A"/>
    <w:rsid w:val="00AA4167"/>
    <w:rsid w:val="00AB6F7D"/>
    <w:rsid w:val="00AD1125"/>
    <w:rsid w:val="00B00567"/>
    <w:rsid w:val="00B17D79"/>
    <w:rsid w:val="00B415D9"/>
    <w:rsid w:val="00B47FBD"/>
    <w:rsid w:val="00B54F6F"/>
    <w:rsid w:val="00B61810"/>
    <w:rsid w:val="00B70992"/>
    <w:rsid w:val="00BA6C9D"/>
    <w:rsid w:val="00BD67F9"/>
    <w:rsid w:val="00BD6FB7"/>
    <w:rsid w:val="00BE3F4D"/>
    <w:rsid w:val="00BE6770"/>
    <w:rsid w:val="00BE794D"/>
    <w:rsid w:val="00C02BA5"/>
    <w:rsid w:val="00C53BFE"/>
    <w:rsid w:val="00C579C9"/>
    <w:rsid w:val="00C60E39"/>
    <w:rsid w:val="00C63F48"/>
    <w:rsid w:val="00C905F5"/>
    <w:rsid w:val="00CA0894"/>
    <w:rsid w:val="00CC3929"/>
    <w:rsid w:val="00CD35D5"/>
    <w:rsid w:val="00CD3B12"/>
    <w:rsid w:val="00CE26EA"/>
    <w:rsid w:val="00CE63A7"/>
    <w:rsid w:val="00D128A1"/>
    <w:rsid w:val="00D24A38"/>
    <w:rsid w:val="00D4318E"/>
    <w:rsid w:val="00D56E2F"/>
    <w:rsid w:val="00D844A4"/>
    <w:rsid w:val="00D909C2"/>
    <w:rsid w:val="00D90F02"/>
    <w:rsid w:val="00DC2260"/>
    <w:rsid w:val="00DD4D73"/>
    <w:rsid w:val="00DF0CBB"/>
    <w:rsid w:val="00E16E40"/>
    <w:rsid w:val="00E26DC6"/>
    <w:rsid w:val="00E44E64"/>
    <w:rsid w:val="00E558B2"/>
    <w:rsid w:val="00E64DBB"/>
    <w:rsid w:val="00E93862"/>
    <w:rsid w:val="00EC5D69"/>
    <w:rsid w:val="00EE03E1"/>
    <w:rsid w:val="00EE76FC"/>
    <w:rsid w:val="00F04231"/>
    <w:rsid w:val="00F26E76"/>
    <w:rsid w:val="00F2701B"/>
    <w:rsid w:val="00F27BAF"/>
    <w:rsid w:val="00F36CF7"/>
    <w:rsid w:val="00F37578"/>
    <w:rsid w:val="00F415D0"/>
    <w:rsid w:val="00F5240D"/>
    <w:rsid w:val="00F60909"/>
    <w:rsid w:val="00F6349B"/>
    <w:rsid w:val="00F700B2"/>
    <w:rsid w:val="00F84B81"/>
    <w:rsid w:val="00F96D2C"/>
    <w:rsid w:val="00FA51A1"/>
    <w:rsid w:val="00FA5ADF"/>
    <w:rsid w:val="00FB2942"/>
    <w:rsid w:val="00FC0CEA"/>
    <w:rsid w:val="00FC58F4"/>
    <w:rsid w:val="00FE20B1"/>
    <w:rsid w:val="00FF4CA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ecimalSymbol w:val="."/>
  <w:listSeparator w:val=","/>
  <w14:docId w14:val="752EE86B"/>
  <w15:docId w15:val="{8964C997-E0B1-904F-98DF-1F632217061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4"/>
        <w:szCs w:val="24"/>
        <w:lang w:val="en-US"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346C60"/>
    <w:pPr>
      <w:tabs>
        <w:tab w:val="center" w:pos="4680"/>
        <w:tab w:val="right" w:pos="9360"/>
      </w:tabs>
    </w:pPr>
  </w:style>
  <w:style w:type="character" w:customStyle="1" w:styleId="HeaderChar">
    <w:name w:val="Header Char"/>
    <w:basedOn w:val="DefaultParagraphFont"/>
    <w:link w:val="Header"/>
    <w:uiPriority w:val="99"/>
    <w:rsid w:val="00346C60"/>
  </w:style>
  <w:style w:type="paragraph" w:styleId="Footer">
    <w:name w:val="footer"/>
    <w:basedOn w:val="Normal"/>
    <w:link w:val="FooterChar"/>
    <w:uiPriority w:val="99"/>
    <w:unhideWhenUsed/>
    <w:rsid w:val="00346C60"/>
    <w:pPr>
      <w:tabs>
        <w:tab w:val="center" w:pos="4680"/>
        <w:tab w:val="right" w:pos="9360"/>
      </w:tabs>
    </w:pPr>
  </w:style>
  <w:style w:type="character" w:customStyle="1" w:styleId="FooterChar">
    <w:name w:val="Footer Char"/>
    <w:basedOn w:val="DefaultParagraphFont"/>
    <w:link w:val="Footer"/>
    <w:uiPriority w:val="99"/>
    <w:rsid w:val="00346C60"/>
  </w:style>
  <w:style w:type="character" w:styleId="PageNumber">
    <w:name w:val="page number"/>
    <w:basedOn w:val="DefaultParagraphFont"/>
    <w:uiPriority w:val="99"/>
    <w:semiHidden/>
    <w:unhideWhenUsed/>
    <w:rsid w:val="00A0506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2.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99</TotalTime>
  <Pages>10</Pages>
  <Words>5039</Words>
  <Characters>28726</Characters>
  <Application>Microsoft Office Word</Application>
  <DocSecurity>0</DocSecurity>
  <Lines>239</Lines>
  <Paragraphs>67</Paragraphs>
  <ScaleCrop>false</ScaleCrop>
  <Company/>
  <LinksUpToDate>false</LinksUpToDate>
  <CharactersWithSpaces>33698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Tomas Gomez</cp:lastModifiedBy>
  <cp:revision>208</cp:revision>
  <cp:lastPrinted>2023-08-08T02:18:00Z</cp:lastPrinted>
  <dcterms:created xsi:type="dcterms:W3CDTF">2023-08-07T05:38:00Z</dcterms:created>
  <dcterms:modified xsi:type="dcterms:W3CDTF">2023-08-08T03:47:00Z</dcterms:modified>
</cp:coreProperties>
</file>