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360E5" w14:textId="77777777" w:rsidR="00E20501" w:rsidRPr="00E20501" w:rsidRDefault="00E20501" w:rsidP="00E20501">
      <w:pPr>
        <w:spacing w:line="275" w:lineRule="atLeast"/>
        <w:jc w:val="center"/>
        <w:rPr>
          <w:rFonts w:ascii="Garamond" w:hAnsi="Garamond"/>
          <w:color w:val="000000" w:themeColor="text1"/>
        </w:rPr>
      </w:pPr>
      <w:r w:rsidRPr="00E20501">
        <w:rPr>
          <w:rFonts w:ascii="Garamond" w:hAnsi="Garamond"/>
          <w:color w:val="000000" w:themeColor="text1"/>
        </w:rPr>
        <w:t>24 F.4th 1039</w:t>
      </w:r>
    </w:p>
    <w:p w14:paraId="0AD92602" w14:textId="77777777" w:rsidR="00E20501" w:rsidRPr="00E20501" w:rsidRDefault="00E20501" w:rsidP="00E20501">
      <w:pPr>
        <w:spacing w:line="275" w:lineRule="atLeast"/>
        <w:jc w:val="center"/>
        <w:rPr>
          <w:rFonts w:ascii="Garamond" w:hAnsi="Garamond"/>
          <w:color w:val="000000" w:themeColor="text1"/>
        </w:rPr>
      </w:pPr>
      <w:r w:rsidRPr="00E20501">
        <w:rPr>
          <w:rFonts w:ascii="Garamond" w:hAnsi="Garamond"/>
          <w:color w:val="000000" w:themeColor="text1"/>
        </w:rPr>
        <w:t>United States Court of Appeals, Sixth Circuit.</w:t>
      </w:r>
    </w:p>
    <w:p w14:paraId="4793D505" w14:textId="77777777" w:rsidR="00E20501" w:rsidRPr="00E20501" w:rsidRDefault="00E20501" w:rsidP="00E20501">
      <w:pPr>
        <w:spacing w:line="275" w:lineRule="atLeast"/>
        <w:jc w:val="center"/>
        <w:rPr>
          <w:rFonts w:ascii="Garamond" w:hAnsi="Garamond"/>
          <w:color w:val="000000" w:themeColor="text1"/>
        </w:rPr>
      </w:pPr>
      <w:r w:rsidRPr="00E20501">
        <w:rPr>
          <w:rFonts w:ascii="Garamond" w:hAnsi="Garamond"/>
          <w:color w:val="000000" w:themeColor="text1"/>
        </w:rPr>
        <w:t>Sandra ALBRIGHT, Plaintiff-Appellant,</w:t>
      </w:r>
    </w:p>
    <w:p w14:paraId="0D6006CC" w14:textId="77777777" w:rsidR="00E20501" w:rsidRPr="00E20501" w:rsidRDefault="00E20501" w:rsidP="00E20501">
      <w:pPr>
        <w:spacing w:line="275" w:lineRule="atLeast"/>
        <w:jc w:val="center"/>
        <w:rPr>
          <w:rFonts w:ascii="Garamond" w:hAnsi="Garamond"/>
          <w:color w:val="000000" w:themeColor="text1"/>
        </w:rPr>
      </w:pPr>
      <w:r w:rsidRPr="00E20501">
        <w:rPr>
          <w:rFonts w:ascii="Garamond" w:hAnsi="Garamond"/>
          <w:color w:val="000000" w:themeColor="text1"/>
        </w:rPr>
        <w:t>v.</w:t>
      </w:r>
    </w:p>
    <w:p w14:paraId="37F17BC1" w14:textId="5393670B" w:rsidR="00E20501" w:rsidRPr="00E20501" w:rsidRDefault="00E20501" w:rsidP="00E20501">
      <w:pPr>
        <w:spacing w:line="275" w:lineRule="atLeast"/>
        <w:jc w:val="center"/>
        <w:rPr>
          <w:rFonts w:ascii="Garamond" w:hAnsi="Garamond"/>
          <w:color w:val="000000" w:themeColor="text1"/>
        </w:rPr>
      </w:pPr>
      <w:r w:rsidRPr="00E20501">
        <w:rPr>
          <w:rFonts w:ascii="Garamond" w:hAnsi="Garamond"/>
          <w:color w:val="000000" w:themeColor="text1"/>
        </w:rPr>
        <w:t>Carl CHRISTENSEN, M.D.; Christensen Recovery Services; Carl W. Christensen, M.D., PLLC, Defendants-Appellees.</w:t>
      </w:r>
    </w:p>
    <w:p w14:paraId="1230B962" w14:textId="60A34AD7" w:rsidR="00E20501" w:rsidRPr="00E20501" w:rsidRDefault="00E20501" w:rsidP="00E20501">
      <w:pPr>
        <w:spacing w:line="275" w:lineRule="atLeast"/>
        <w:jc w:val="center"/>
        <w:rPr>
          <w:rFonts w:ascii="Garamond" w:hAnsi="Garamond"/>
          <w:color w:val="000000" w:themeColor="text1"/>
        </w:rPr>
      </w:pPr>
    </w:p>
    <w:p w14:paraId="72449BAC" w14:textId="77777777" w:rsidR="00E20501" w:rsidRPr="00E20501" w:rsidRDefault="00E20501" w:rsidP="00E20501">
      <w:pPr>
        <w:spacing w:line="275" w:lineRule="atLeast"/>
        <w:jc w:val="center"/>
        <w:rPr>
          <w:rFonts w:ascii="Garamond" w:hAnsi="Garamond"/>
          <w:color w:val="000000" w:themeColor="text1"/>
        </w:rPr>
      </w:pPr>
      <w:r w:rsidRPr="00E20501">
        <w:rPr>
          <w:rFonts w:ascii="Garamond" w:hAnsi="Garamond"/>
          <w:color w:val="000000" w:themeColor="text1"/>
        </w:rPr>
        <w:t>Decided and Filed: January 31, 2022</w:t>
      </w:r>
    </w:p>
    <w:p w14:paraId="277DF779" w14:textId="660E37B4" w:rsidR="00CE26EA" w:rsidRPr="00E717D1" w:rsidRDefault="0083692E">
      <w:pPr>
        <w:keepNext/>
        <w:keepLines/>
        <w:spacing w:before="200" w:line="275" w:lineRule="atLeast"/>
        <w:jc w:val="both"/>
        <w:rPr>
          <w:rFonts w:ascii="Garamond" w:hAnsi="Garamond"/>
          <w:bCs/>
          <w:color w:val="000000" w:themeColor="text1"/>
        </w:rPr>
      </w:pPr>
      <w:bookmarkStart w:id="0" w:name="co_opinion_1"/>
      <w:r w:rsidRPr="00E717D1">
        <w:rPr>
          <w:rFonts w:ascii="Garamond" w:hAnsi="Garamond"/>
          <w:bCs/>
          <w:color w:val="000000" w:themeColor="text1"/>
        </w:rPr>
        <w:t>OPINION</w:t>
      </w:r>
    </w:p>
    <w:p w14:paraId="2487DEF3" w14:textId="3B57B585" w:rsidR="00D43136" w:rsidRPr="00D43136" w:rsidRDefault="00D43136" w:rsidP="00D43136">
      <w:pPr>
        <w:spacing w:before="200" w:line="275" w:lineRule="atLeast"/>
        <w:jc w:val="both"/>
        <w:rPr>
          <w:rFonts w:ascii="Garamond" w:hAnsi="Garamond"/>
          <w:b/>
          <w:bCs/>
          <w:color w:val="000000" w:themeColor="text1"/>
        </w:rPr>
      </w:pPr>
      <w:bookmarkStart w:id="1" w:name="co_anchor_Iba0825a2307f11eeb5b7c8ccde3d"/>
      <w:bookmarkEnd w:id="0"/>
      <w:r w:rsidRPr="00D43136">
        <w:rPr>
          <w:rFonts w:ascii="Garamond" w:hAnsi="Garamond"/>
          <w:b/>
          <w:bCs/>
          <w:color w:val="000000" w:themeColor="text1"/>
        </w:rPr>
        <w:t>KAREN NELSON MOORE, Circuit Judge.</w:t>
      </w:r>
    </w:p>
    <w:p w14:paraId="6B4C1673" w14:textId="437B676B"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Sandra Albright asked Dr. Carl W. Christensen to treat her opioid addiction. Christensen administered three drugs that allegedly caused Albright severe emotional and physical harm. Albright (an Ohio citizen) sued Christensen (a Michigan citizen) and his practice in federal court. Defendants would have us apply Michigan</w:t>
      </w:r>
      <w:r w:rsidR="00E02A29" w:rsidRPr="00B53922">
        <w:rPr>
          <w:rFonts w:ascii="Garamond" w:hAnsi="Garamond"/>
          <w:color w:val="000000" w:themeColor="text1"/>
        </w:rPr>
        <w:t>’</w:t>
      </w:r>
      <w:r w:rsidRPr="00D43136">
        <w:rPr>
          <w:rFonts w:ascii="Garamond" w:hAnsi="Garamond"/>
          <w:color w:val="000000" w:themeColor="text1"/>
        </w:rPr>
        <w:t xml:space="preserve">s affidavit-of-merit and presuit-notice rules for medical-malpractice actions in this diversity action; Albright insists that </w:t>
      </w:r>
      <w:r w:rsidRPr="00B53922">
        <w:rPr>
          <w:rFonts w:ascii="Garamond" w:hAnsi="Garamond"/>
          <w:color w:val="000000" w:themeColor="text1"/>
        </w:rPr>
        <w:t xml:space="preserve">. . . </w:t>
      </w:r>
      <w:r w:rsidRPr="00D43136">
        <w:rPr>
          <w:rFonts w:ascii="Garamond" w:hAnsi="Garamond"/>
          <w:color w:val="000000" w:themeColor="text1"/>
        </w:rPr>
        <w:t>these rules do not apply in the federal courts. We must confront two well-known cases—</w:t>
      </w:r>
      <w:r w:rsidRPr="00D43136">
        <w:rPr>
          <w:rFonts w:ascii="Garamond" w:hAnsi="Garamond"/>
          <w:i/>
          <w:color w:val="000000" w:themeColor="text1"/>
        </w:rPr>
        <w:t>Erie Railroad Co. v. Tompkins</w:t>
      </w:r>
      <w:r w:rsidRPr="00D43136">
        <w:rPr>
          <w:rFonts w:ascii="Garamond" w:hAnsi="Garamond"/>
          <w:color w:val="000000" w:themeColor="text1"/>
        </w:rPr>
        <w:t>, (</w:t>
      </w:r>
      <w:r w:rsidR="00366AE6" w:rsidRPr="00B53922">
        <w:rPr>
          <w:rFonts w:ascii="Garamond" w:hAnsi="Garamond"/>
          <w:color w:val="000000" w:themeColor="text1"/>
        </w:rPr>
        <w:t xml:space="preserve">U.S. </w:t>
      </w:r>
      <w:r w:rsidRPr="00D43136">
        <w:rPr>
          <w:rFonts w:ascii="Garamond" w:hAnsi="Garamond"/>
          <w:color w:val="000000" w:themeColor="text1"/>
        </w:rPr>
        <w:t xml:space="preserve">1938), and </w:t>
      </w:r>
      <w:r w:rsidRPr="00D43136">
        <w:rPr>
          <w:rFonts w:ascii="Garamond" w:hAnsi="Garamond"/>
          <w:i/>
          <w:color w:val="000000" w:themeColor="text1"/>
        </w:rPr>
        <w:t>Hanna v. Plumer</w:t>
      </w:r>
      <w:r w:rsidRPr="00D43136">
        <w:rPr>
          <w:rFonts w:ascii="Garamond" w:hAnsi="Garamond"/>
          <w:color w:val="000000" w:themeColor="text1"/>
        </w:rPr>
        <w:t xml:space="preserve"> (</w:t>
      </w:r>
      <w:r w:rsidR="00366AE6" w:rsidRPr="00B53922">
        <w:rPr>
          <w:rFonts w:ascii="Garamond" w:hAnsi="Garamond"/>
          <w:color w:val="000000" w:themeColor="text1"/>
        </w:rPr>
        <w:t xml:space="preserve">U.S. </w:t>
      </w:r>
      <w:r w:rsidRPr="00D43136">
        <w:rPr>
          <w:rFonts w:ascii="Garamond" w:hAnsi="Garamond"/>
          <w:color w:val="000000" w:themeColor="text1"/>
        </w:rPr>
        <w:t xml:space="preserve">1965)—to resolve this classic civil-procedure conundrum. </w:t>
      </w:r>
      <w:r w:rsidRPr="00D43136">
        <w:rPr>
          <w:rFonts w:ascii="Garamond" w:hAnsi="Garamond"/>
          <w:i/>
          <w:color w:val="000000" w:themeColor="text1"/>
        </w:rPr>
        <w:t>Hanna</w:t>
      </w:r>
      <w:r w:rsidRPr="00B53922">
        <w:rPr>
          <w:rFonts w:ascii="Garamond" w:hAnsi="Garamond"/>
          <w:color w:val="000000" w:themeColor="text1"/>
        </w:rPr>
        <w:t xml:space="preserve"> . . .</w:t>
      </w:r>
      <w:r w:rsidRPr="00D43136">
        <w:rPr>
          <w:rFonts w:ascii="Garamond" w:hAnsi="Garamond"/>
          <w:color w:val="000000" w:themeColor="text1"/>
        </w:rPr>
        <w:t xml:space="preserve"> requires us to hold that the Federal Rules of Civil Procedure conflict with Michigan</w:t>
      </w:r>
      <w:r w:rsidR="00E02A29" w:rsidRPr="00B53922">
        <w:rPr>
          <w:rFonts w:ascii="Garamond" w:hAnsi="Garamond"/>
          <w:color w:val="000000" w:themeColor="text1"/>
        </w:rPr>
        <w:t>’</w:t>
      </w:r>
      <w:r w:rsidRPr="00D43136">
        <w:rPr>
          <w:rFonts w:ascii="Garamond" w:hAnsi="Garamond"/>
          <w:color w:val="000000" w:themeColor="text1"/>
        </w:rPr>
        <w:t xml:space="preserve">s affidavit-of-merit and presuit-notice requirements. These state rules therefore do not apply in diversity cases in federal court. Because the district court mistakenly invoked </w:t>
      </w:r>
      <w:r w:rsidRPr="00D43136">
        <w:rPr>
          <w:rFonts w:ascii="Garamond" w:hAnsi="Garamond"/>
          <w:i/>
          <w:color w:val="000000" w:themeColor="text1"/>
        </w:rPr>
        <w:t>Erie</w:t>
      </w:r>
      <w:r w:rsidRPr="00D43136">
        <w:rPr>
          <w:rFonts w:ascii="Garamond" w:hAnsi="Garamond"/>
          <w:color w:val="000000" w:themeColor="text1"/>
        </w:rPr>
        <w:t xml:space="preserve"> and applied the presuit-notice rule in Albright</w:t>
      </w:r>
      <w:r w:rsidR="00E02A29" w:rsidRPr="00B53922">
        <w:rPr>
          <w:rFonts w:ascii="Garamond" w:hAnsi="Garamond"/>
          <w:color w:val="000000" w:themeColor="text1"/>
        </w:rPr>
        <w:t>’</w:t>
      </w:r>
      <w:r w:rsidRPr="00D43136">
        <w:rPr>
          <w:rFonts w:ascii="Garamond" w:hAnsi="Garamond"/>
          <w:color w:val="000000" w:themeColor="text1"/>
        </w:rPr>
        <w:t xml:space="preserve">s case, we </w:t>
      </w:r>
      <w:r w:rsidRPr="00D43136">
        <w:rPr>
          <w:rFonts w:ascii="Garamond" w:hAnsi="Garamond"/>
          <w:b/>
          <w:color w:val="000000" w:themeColor="text1"/>
        </w:rPr>
        <w:t>REVERSE</w:t>
      </w:r>
      <w:r w:rsidRPr="00D43136">
        <w:rPr>
          <w:rFonts w:ascii="Garamond" w:hAnsi="Garamond"/>
          <w:color w:val="000000" w:themeColor="text1"/>
        </w:rPr>
        <w:t xml:space="preserve"> and </w:t>
      </w:r>
      <w:r w:rsidRPr="00D43136">
        <w:rPr>
          <w:rFonts w:ascii="Garamond" w:hAnsi="Garamond"/>
          <w:b/>
          <w:color w:val="000000" w:themeColor="text1"/>
        </w:rPr>
        <w:t>REMAND</w:t>
      </w:r>
      <w:r w:rsidRPr="00D43136">
        <w:rPr>
          <w:rFonts w:ascii="Garamond" w:hAnsi="Garamond"/>
          <w:color w:val="000000" w:themeColor="text1"/>
        </w:rPr>
        <w:t>.</w:t>
      </w:r>
    </w:p>
    <w:p w14:paraId="61061BB5" w14:textId="77777777" w:rsidR="00D43136" w:rsidRPr="00D43136" w:rsidRDefault="00D43136" w:rsidP="00D43136">
      <w:pPr>
        <w:spacing w:before="200" w:line="275" w:lineRule="atLeast"/>
        <w:jc w:val="both"/>
        <w:rPr>
          <w:rFonts w:ascii="Garamond" w:hAnsi="Garamond"/>
          <w:color w:val="000000" w:themeColor="text1"/>
        </w:rPr>
      </w:pPr>
      <w:bookmarkStart w:id="2" w:name="co_anchor_I2d4280c11ebd11ef90a7bd7e7f2b"/>
      <w:r w:rsidRPr="00D43136">
        <w:rPr>
          <w:rFonts w:ascii="Garamond" w:hAnsi="Garamond"/>
          <w:b/>
          <w:color w:val="000000" w:themeColor="text1"/>
        </w:rPr>
        <w:t>I. BACKGROUND</w:t>
      </w:r>
    </w:p>
    <w:bookmarkEnd w:id="2"/>
    <w:p w14:paraId="3EAF25FE" w14:textId="00F01BC1"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Sandra Albright was severely injured in a car accident. Albright used opioids to manage her chr</w:t>
      </w:r>
      <w:r w:rsidR="00FE6813" w:rsidRPr="00B53922">
        <w:rPr>
          <w:rFonts w:ascii="Garamond" w:hAnsi="Garamond"/>
          <w:color w:val="000000" w:themeColor="text1"/>
        </w:rPr>
        <w:softHyphen/>
      </w:r>
      <w:r w:rsidRPr="00D43136">
        <w:rPr>
          <w:rFonts w:ascii="Garamond" w:hAnsi="Garamond"/>
          <w:color w:val="000000" w:themeColor="text1"/>
        </w:rPr>
        <w:t>on</w:t>
      </w:r>
      <w:r w:rsidR="00FE6813" w:rsidRPr="00B53922">
        <w:rPr>
          <w:rFonts w:ascii="Garamond" w:hAnsi="Garamond"/>
          <w:color w:val="000000" w:themeColor="text1"/>
        </w:rPr>
        <w:softHyphen/>
      </w:r>
      <w:r w:rsidRPr="00D43136">
        <w:rPr>
          <w:rFonts w:ascii="Garamond" w:hAnsi="Garamond"/>
          <w:color w:val="000000" w:themeColor="text1"/>
        </w:rPr>
        <w:t>ic pain due to her traumatic injuries; she became addicted to opioids. Seeking treatment for her addic</w:t>
      </w:r>
      <w:r w:rsidR="00FE6813" w:rsidRPr="00B53922">
        <w:rPr>
          <w:rFonts w:ascii="Garamond" w:hAnsi="Garamond"/>
          <w:color w:val="000000" w:themeColor="text1"/>
        </w:rPr>
        <w:softHyphen/>
      </w:r>
      <w:r w:rsidRPr="00D43136">
        <w:rPr>
          <w:rFonts w:ascii="Garamond" w:hAnsi="Garamond"/>
          <w:color w:val="000000" w:themeColor="text1"/>
        </w:rPr>
        <w:t>tion, Albright turned to Dr. Carl W. Christensen to administer a one-week in-patient detoxification program.</w:t>
      </w:r>
      <w:r w:rsidR="0021139D" w:rsidRPr="00B53922">
        <w:rPr>
          <w:rFonts w:ascii="Garamond" w:hAnsi="Garamond"/>
          <w:color w:val="000000" w:themeColor="text1"/>
        </w:rPr>
        <w:t xml:space="preserve"> . . </w:t>
      </w:r>
      <w:r w:rsidR="00651742" w:rsidRPr="00B53922">
        <w:rPr>
          <w:rFonts w:ascii="Garamond" w:hAnsi="Garamond"/>
          <w:color w:val="000000" w:themeColor="text1"/>
        </w:rPr>
        <w:t>. [She now accuses him of negligence].</w:t>
      </w:r>
    </w:p>
    <w:p w14:paraId="2A1610BF" w14:textId="30A6305B"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Invoking the federal courts</w:t>
      </w:r>
      <w:r w:rsidR="00E02A29" w:rsidRPr="00B53922">
        <w:rPr>
          <w:rFonts w:ascii="Garamond" w:hAnsi="Garamond"/>
          <w:color w:val="000000" w:themeColor="text1"/>
        </w:rPr>
        <w:t>’</w:t>
      </w:r>
      <w:r w:rsidRPr="00D43136">
        <w:rPr>
          <w:rFonts w:ascii="Garamond" w:hAnsi="Garamond"/>
          <w:color w:val="000000" w:themeColor="text1"/>
        </w:rPr>
        <w:t xml:space="preserve"> diversity jurisdiction, Albright sued Christensen and his practice in the U.S. District Court for the Eastern District of </w:t>
      </w:r>
      <w:r w:rsidRPr="00D43136">
        <w:rPr>
          <w:rFonts w:ascii="Garamond" w:hAnsi="Garamond"/>
          <w:color w:val="000000" w:themeColor="text1"/>
        </w:rPr>
        <w:t xml:space="preserve">Michigan. </w:t>
      </w:r>
      <w:r w:rsidR="000E285E" w:rsidRPr="00B53922">
        <w:rPr>
          <w:rFonts w:ascii="Garamond" w:hAnsi="Garamond"/>
          <w:color w:val="000000" w:themeColor="text1"/>
        </w:rPr>
        <w:t xml:space="preserve">. . . </w:t>
      </w:r>
      <w:r w:rsidRPr="00D43136">
        <w:rPr>
          <w:rFonts w:ascii="Garamond" w:hAnsi="Garamond"/>
          <w:color w:val="000000" w:themeColor="text1"/>
        </w:rPr>
        <w:t xml:space="preserve">Defendants filed </w:t>
      </w:r>
      <w:r w:rsidR="00431109" w:rsidRPr="00B53922">
        <w:rPr>
          <w:rFonts w:ascii="Garamond" w:hAnsi="Garamond"/>
          <w:color w:val="000000" w:themeColor="text1"/>
        </w:rPr>
        <w:t xml:space="preserve">. . . </w:t>
      </w:r>
      <w:r w:rsidRPr="00D43136">
        <w:rPr>
          <w:rFonts w:ascii="Garamond" w:hAnsi="Garamond"/>
          <w:color w:val="000000" w:themeColor="text1"/>
        </w:rPr>
        <w:t xml:space="preserve">a </w:t>
      </w:r>
      <w:r w:rsidR="00E42B2C" w:rsidRPr="00B53922">
        <w:rPr>
          <w:rFonts w:ascii="Garamond" w:hAnsi="Garamond"/>
          <w:color w:val="000000" w:themeColor="text1"/>
        </w:rPr>
        <w:t>[motion for summary judgment</w:t>
      </w:r>
      <w:r w:rsidR="005E021C" w:rsidRPr="00B53922">
        <w:rPr>
          <w:rFonts w:ascii="Garamond" w:hAnsi="Garamond"/>
          <w:color w:val="000000" w:themeColor="text1"/>
        </w:rPr>
        <w:t>,</w:t>
      </w:r>
      <w:r w:rsidR="00E42B2C" w:rsidRPr="00B53922">
        <w:rPr>
          <w:rFonts w:ascii="Garamond" w:hAnsi="Garamond"/>
          <w:color w:val="000000" w:themeColor="text1"/>
        </w:rPr>
        <w:t>]</w:t>
      </w:r>
      <w:r w:rsidRPr="00D43136">
        <w:rPr>
          <w:rFonts w:ascii="Garamond" w:hAnsi="Garamond"/>
          <w:color w:val="000000" w:themeColor="text1"/>
        </w:rPr>
        <w:t xml:space="preserve"> assert</w:t>
      </w:r>
      <w:r w:rsidR="005E021C" w:rsidRPr="00B53922">
        <w:rPr>
          <w:rFonts w:ascii="Garamond" w:hAnsi="Garamond"/>
          <w:color w:val="000000" w:themeColor="text1"/>
        </w:rPr>
        <w:t>[ing]</w:t>
      </w:r>
      <w:r w:rsidRPr="00D43136">
        <w:rPr>
          <w:rFonts w:ascii="Garamond" w:hAnsi="Garamond"/>
          <w:color w:val="000000" w:themeColor="text1"/>
        </w:rPr>
        <w:t xml:space="preserve"> that Albright</w:t>
      </w:r>
      <w:r w:rsidR="00E02A29" w:rsidRPr="00B53922">
        <w:rPr>
          <w:rFonts w:ascii="Garamond" w:hAnsi="Garamond"/>
          <w:color w:val="000000" w:themeColor="text1"/>
        </w:rPr>
        <w:t>’</w:t>
      </w:r>
      <w:r w:rsidRPr="00D43136">
        <w:rPr>
          <w:rFonts w:ascii="Garamond" w:hAnsi="Garamond"/>
          <w:color w:val="000000" w:themeColor="text1"/>
        </w:rPr>
        <w:t>s case is properly viewed as a medical-malpractice</w:t>
      </w:r>
      <w:r w:rsidR="00FE2427" w:rsidRPr="00B53922">
        <w:rPr>
          <w:rFonts w:ascii="Garamond" w:hAnsi="Garamond"/>
          <w:color w:val="000000" w:themeColor="text1"/>
        </w:rPr>
        <w:t xml:space="preserve"> </w:t>
      </w:r>
      <w:r w:rsidR="004F24D2" w:rsidRPr="00B53922">
        <w:rPr>
          <w:rFonts w:ascii="Garamond" w:hAnsi="Garamond"/>
          <w:color w:val="000000" w:themeColor="text1"/>
        </w:rPr>
        <w:t xml:space="preserve">[suit] </w:t>
      </w:r>
      <w:r w:rsidR="00FE2427" w:rsidRPr="00B53922">
        <w:rPr>
          <w:rFonts w:ascii="Garamond" w:hAnsi="Garamond"/>
          <w:color w:val="000000" w:themeColor="text1"/>
        </w:rPr>
        <w:t xml:space="preserve">. . . and that </w:t>
      </w:r>
      <w:r w:rsidRPr="00D43136">
        <w:rPr>
          <w:rFonts w:ascii="Garamond" w:hAnsi="Garamond"/>
          <w:color w:val="000000" w:themeColor="text1"/>
        </w:rPr>
        <w:t>Albright had failed to comply with Michigan rules for medical-malpractice actions.</w:t>
      </w:r>
    </w:p>
    <w:p w14:paraId="2B8D378B" w14:textId="5F345ECE"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Looking to Michigan law, the district court found that Albright raised a medical-malpractice claim. The district court turned to the question of whether two of Michigan</w:t>
      </w:r>
      <w:r w:rsidR="00E02A29" w:rsidRPr="00B53922">
        <w:rPr>
          <w:rFonts w:ascii="Garamond" w:hAnsi="Garamond"/>
          <w:color w:val="000000" w:themeColor="text1"/>
        </w:rPr>
        <w:t>’</w:t>
      </w:r>
      <w:r w:rsidRPr="00D43136">
        <w:rPr>
          <w:rFonts w:ascii="Garamond" w:hAnsi="Garamond"/>
          <w:color w:val="000000" w:themeColor="text1"/>
        </w:rPr>
        <w:t>s rules for medical-malpractice actions—§ 600.2912b and § 600.2912d—apply in diversity cases. Section 600.2912b contains Michi</w:t>
      </w:r>
      <w:r w:rsidR="00D97120" w:rsidRPr="00B53922">
        <w:rPr>
          <w:rFonts w:ascii="Garamond" w:hAnsi="Garamond"/>
          <w:color w:val="000000" w:themeColor="text1"/>
        </w:rPr>
        <w:softHyphen/>
      </w:r>
      <w:r w:rsidRPr="00D43136">
        <w:rPr>
          <w:rFonts w:ascii="Garamond" w:hAnsi="Garamond"/>
          <w:color w:val="000000" w:themeColor="text1"/>
        </w:rPr>
        <w:t>gan</w:t>
      </w:r>
      <w:r w:rsidR="00E02A29" w:rsidRPr="00B53922">
        <w:rPr>
          <w:rFonts w:ascii="Garamond" w:hAnsi="Garamond"/>
          <w:color w:val="000000" w:themeColor="text1"/>
        </w:rPr>
        <w:t>’</w:t>
      </w:r>
      <w:r w:rsidRPr="00D43136">
        <w:rPr>
          <w:rFonts w:ascii="Garamond" w:hAnsi="Garamond"/>
          <w:color w:val="000000" w:themeColor="text1"/>
        </w:rPr>
        <w:t xml:space="preserve">s presuit-notice rule </w:t>
      </w:r>
      <w:r w:rsidR="00226136">
        <w:rPr>
          <w:rFonts w:ascii="Garamond" w:hAnsi="Garamond"/>
          <w:color w:val="000000" w:themeColor="text1"/>
        </w:rPr>
        <w:t xml:space="preserve">. . . </w:t>
      </w:r>
      <w:r w:rsidRPr="00D43136">
        <w:rPr>
          <w:rFonts w:ascii="Garamond" w:hAnsi="Garamond"/>
          <w:color w:val="000000" w:themeColor="text1"/>
        </w:rPr>
        <w:t xml:space="preserve">: </w:t>
      </w:r>
      <w:r w:rsidR="00E02A29" w:rsidRPr="00B53922">
        <w:rPr>
          <w:rFonts w:ascii="Garamond" w:hAnsi="Garamond"/>
          <w:color w:val="000000" w:themeColor="text1"/>
        </w:rPr>
        <w:t>“</w:t>
      </w:r>
      <w:r w:rsidRPr="00D43136">
        <w:rPr>
          <w:rFonts w:ascii="Garamond" w:hAnsi="Garamond"/>
          <w:color w:val="000000" w:themeColor="text1"/>
        </w:rPr>
        <w:t>a person shall not commence an action alleging medical malpractice against a health professional or health facility unless the person has given the health professional or health facility written notice under this section not less than 182 days before the action is commenced.</w:t>
      </w:r>
      <w:r w:rsidR="00E02A29" w:rsidRPr="00B53922">
        <w:rPr>
          <w:rFonts w:ascii="Garamond" w:hAnsi="Garamond"/>
          <w:color w:val="000000" w:themeColor="text1"/>
        </w:rPr>
        <w:t>”</w:t>
      </w:r>
      <w:r w:rsidRPr="00D43136">
        <w:rPr>
          <w:rFonts w:ascii="Garamond" w:hAnsi="Garamond"/>
          <w:color w:val="000000" w:themeColor="text1"/>
        </w:rPr>
        <w:t xml:space="preserve"> Section 600.2912d contains Michigan</w:t>
      </w:r>
      <w:r w:rsidR="00E02A29" w:rsidRPr="00B53922">
        <w:rPr>
          <w:rFonts w:ascii="Garamond" w:hAnsi="Garamond"/>
          <w:color w:val="000000" w:themeColor="text1"/>
        </w:rPr>
        <w:t>’</w:t>
      </w:r>
      <w:r w:rsidRPr="00D43136">
        <w:rPr>
          <w:rFonts w:ascii="Garamond" w:hAnsi="Garamond"/>
          <w:color w:val="000000" w:themeColor="text1"/>
        </w:rPr>
        <w:t xml:space="preserve">s affidavit-of-merit rule: </w:t>
      </w:r>
      <w:r w:rsidR="00E02A29" w:rsidRPr="00B53922">
        <w:rPr>
          <w:rFonts w:ascii="Garamond" w:hAnsi="Garamond"/>
          <w:color w:val="000000" w:themeColor="text1"/>
        </w:rPr>
        <w:t>“</w:t>
      </w:r>
      <w:r w:rsidRPr="00D43136">
        <w:rPr>
          <w:rFonts w:ascii="Garamond" w:hAnsi="Garamond"/>
          <w:color w:val="000000" w:themeColor="text1"/>
        </w:rPr>
        <w:t>the plaintiff in an action alleging medical malpractice .</w:t>
      </w:r>
      <w:r w:rsidR="00857047" w:rsidRPr="00B53922">
        <w:rPr>
          <w:rFonts w:ascii="Garamond" w:hAnsi="Garamond"/>
          <w:color w:val="000000" w:themeColor="text1"/>
        </w:rPr>
        <w:t xml:space="preserve"> </w:t>
      </w:r>
      <w:r w:rsidRPr="00D43136">
        <w:rPr>
          <w:rFonts w:ascii="Garamond" w:hAnsi="Garamond"/>
          <w:color w:val="000000" w:themeColor="text1"/>
        </w:rPr>
        <w:t>.</w:t>
      </w:r>
      <w:r w:rsidR="00857047" w:rsidRPr="00B53922">
        <w:rPr>
          <w:rFonts w:ascii="Garamond" w:hAnsi="Garamond"/>
          <w:color w:val="000000" w:themeColor="text1"/>
        </w:rPr>
        <w:t xml:space="preserve"> </w:t>
      </w:r>
      <w:r w:rsidRPr="00D43136">
        <w:rPr>
          <w:rFonts w:ascii="Garamond" w:hAnsi="Garamond"/>
          <w:color w:val="000000" w:themeColor="text1"/>
        </w:rPr>
        <w:t>. shall file with the complaint an affidavit of merit signed by a health professional .</w:t>
      </w:r>
      <w:r w:rsidR="00857047" w:rsidRPr="00B53922">
        <w:rPr>
          <w:rFonts w:ascii="Garamond" w:hAnsi="Garamond"/>
          <w:color w:val="000000" w:themeColor="text1"/>
        </w:rPr>
        <w:t xml:space="preserve"> </w:t>
      </w:r>
      <w:r w:rsidRPr="00D43136">
        <w:rPr>
          <w:rFonts w:ascii="Garamond" w:hAnsi="Garamond"/>
          <w:color w:val="000000" w:themeColor="text1"/>
        </w:rPr>
        <w:t>.</w:t>
      </w:r>
      <w:r w:rsidR="00857047" w:rsidRPr="00B53922">
        <w:rPr>
          <w:rFonts w:ascii="Garamond" w:hAnsi="Garamond"/>
          <w:color w:val="000000" w:themeColor="text1"/>
        </w:rPr>
        <w:t xml:space="preserve"> </w:t>
      </w:r>
      <w:r w:rsidRPr="00D43136">
        <w:rPr>
          <w:rFonts w:ascii="Garamond" w:hAnsi="Garamond"/>
          <w:color w:val="000000" w:themeColor="text1"/>
        </w:rPr>
        <w:t>.</w:t>
      </w:r>
      <w:r w:rsidR="00857047" w:rsidRPr="00B53922">
        <w:rPr>
          <w:rFonts w:ascii="Garamond" w:hAnsi="Garamond"/>
          <w:color w:val="000000" w:themeColor="text1"/>
        </w:rPr>
        <w:t xml:space="preserve"> </w:t>
      </w:r>
      <w:r w:rsidRPr="00D43136">
        <w:rPr>
          <w:rFonts w:ascii="Garamond" w:hAnsi="Garamond"/>
          <w:color w:val="000000" w:themeColor="text1"/>
        </w:rPr>
        <w:t>.</w:t>
      </w:r>
      <w:r w:rsidR="00E02A29" w:rsidRPr="00B53922">
        <w:rPr>
          <w:rFonts w:ascii="Garamond" w:hAnsi="Garamond"/>
          <w:color w:val="000000" w:themeColor="text1"/>
        </w:rPr>
        <w:t>”</w:t>
      </w:r>
      <w:r w:rsidRPr="00D43136">
        <w:rPr>
          <w:rFonts w:ascii="Garamond" w:hAnsi="Garamond"/>
          <w:color w:val="000000" w:themeColor="text1"/>
        </w:rPr>
        <w:t xml:space="preserve"> The district court found that the affidavit-of-merit requirement does not apply in federal court but that the presuit-notice requirement does. Because Albright failed to comply with the presuit-notice requirement, the district court granted Defen</w:t>
      </w:r>
      <w:r w:rsidR="0091185B" w:rsidRPr="00B53922">
        <w:rPr>
          <w:rFonts w:ascii="Garamond" w:hAnsi="Garamond"/>
          <w:color w:val="000000" w:themeColor="text1"/>
        </w:rPr>
        <w:softHyphen/>
      </w:r>
      <w:r w:rsidRPr="00D43136">
        <w:rPr>
          <w:rFonts w:ascii="Garamond" w:hAnsi="Garamond"/>
          <w:color w:val="000000" w:themeColor="text1"/>
        </w:rPr>
        <w:t>dants</w:t>
      </w:r>
      <w:r w:rsidR="00E02A29" w:rsidRPr="00B53922">
        <w:rPr>
          <w:rFonts w:ascii="Garamond" w:hAnsi="Garamond"/>
          <w:color w:val="000000" w:themeColor="text1"/>
        </w:rPr>
        <w:t>’</w:t>
      </w:r>
      <w:r w:rsidRPr="00D43136">
        <w:rPr>
          <w:rFonts w:ascii="Garamond" w:hAnsi="Garamond"/>
          <w:color w:val="000000" w:themeColor="text1"/>
        </w:rPr>
        <w:t xml:space="preserve"> </w:t>
      </w:r>
      <w:r w:rsidR="00E02A29" w:rsidRPr="00B53922">
        <w:rPr>
          <w:rFonts w:ascii="Garamond" w:hAnsi="Garamond"/>
          <w:color w:val="000000" w:themeColor="text1"/>
        </w:rPr>
        <w:t>“</w:t>
      </w:r>
      <w:r w:rsidRPr="00D43136">
        <w:rPr>
          <w:rFonts w:ascii="Garamond" w:hAnsi="Garamond"/>
          <w:color w:val="000000" w:themeColor="text1"/>
        </w:rPr>
        <w:t>motion for summary judgment</w:t>
      </w:r>
      <w:r w:rsidR="00E02A29" w:rsidRPr="00B53922">
        <w:rPr>
          <w:rFonts w:ascii="Garamond" w:hAnsi="Garamond"/>
          <w:color w:val="000000" w:themeColor="text1"/>
        </w:rPr>
        <w:t>”</w:t>
      </w:r>
      <w:r w:rsidRPr="00D43136">
        <w:rPr>
          <w:rFonts w:ascii="Garamond" w:hAnsi="Garamond"/>
          <w:color w:val="000000" w:themeColor="text1"/>
        </w:rPr>
        <w:t xml:space="preserve"> and dis</w:t>
      </w:r>
      <w:r w:rsidR="0091185B" w:rsidRPr="00B53922">
        <w:rPr>
          <w:rFonts w:ascii="Garamond" w:hAnsi="Garamond"/>
          <w:color w:val="000000" w:themeColor="text1"/>
        </w:rPr>
        <w:softHyphen/>
      </w:r>
      <w:r w:rsidRPr="00D43136">
        <w:rPr>
          <w:rFonts w:ascii="Garamond" w:hAnsi="Garamond"/>
          <w:color w:val="000000" w:themeColor="text1"/>
        </w:rPr>
        <w:t>mis</w:t>
      </w:r>
      <w:r w:rsidR="0091185B" w:rsidRPr="00B53922">
        <w:rPr>
          <w:rFonts w:ascii="Garamond" w:hAnsi="Garamond"/>
          <w:color w:val="000000" w:themeColor="text1"/>
        </w:rPr>
        <w:softHyphen/>
      </w:r>
      <w:r w:rsidRPr="00D43136">
        <w:rPr>
          <w:rFonts w:ascii="Garamond" w:hAnsi="Garamond"/>
          <w:color w:val="000000" w:themeColor="text1"/>
        </w:rPr>
        <w:t>sed Albright</w:t>
      </w:r>
      <w:r w:rsidR="00E02A29" w:rsidRPr="00B53922">
        <w:rPr>
          <w:rFonts w:ascii="Garamond" w:hAnsi="Garamond"/>
          <w:color w:val="000000" w:themeColor="text1"/>
        </w:rPr>
        <w:t>’</w:t>
      </w:r>
      <w:r w:rsidRPr="00D43136">
        <w:rPr>
          <w:rFonts w:ascii="Garamond" w:hAnsi="Garamond"/>
          <w:color w:val="000000" w:themeColor="text1"/>
        </w:rPr>
        <w:t>s case with prejudice. Albright appealed.</w:t>
      </w:r>
    </w:p>
    <w:p w14:paraId="3AACAB50" w14:textId="76E6DDA1" w:rsidR="00D43136" w:rsidRPr="00D43136" w:rsidRDefault="005A3E87" w:rsidP="00D43136">
      <w:pPr>
        <w:spacing w:before="200" w:line="275" w:lineRule="atLeast"/>
        <w:jc w:val="both"/>
        <w:rPr>
          <w:rFonts w:ascii="Garamond" w:hAnsi="Garamond"/>
          <w:color w:val="000000" w:themeColor="text1"/>
        </w:rPr>
      </w:pPr>
      <w:r w:rsidRPr="00B53922">
        <w:rPr>
          <w:rFonts w:ascii="Garamond" w:hAnsi="Garamond"/>
          <w:color w:val="000000" w:themeColor="text1"/>
        </w:rPr>
        <w:t>. . .</w:t>
      </w:r>
    </w:p>
    <w:p w14:paraId="0D34E99E" w14:textId="77777777" w:rsidR="00D43136" w:rsidRPr="00D43136" w:rsidRDefault="00D43136" w:rsidP="00D43136">
      <w:pPr>
        <w:spacing w:before="200" w:line="275" w:lineRule="atLeast"/>
        <w:jc w:val="both"/>
        <w:rPr>
          <w:rFonts w:ascii="Garamond" w:hAnsi="Garamond"/>
          <w:color w:val="000000" w:themeColor="text1"/>
        </w:rPr>
      </w:pPr>
      <w:bookmarkStart w:id="3" w:name="co_anchor_I2d4a21e11ebd11ef90a7bd7e7f2b"/>
      <w:r w:rsidRPr="00D43136">
        <w:rPr>
          <w:rFonts w:ascii="Garamond" w:hAnsi="Garamond"/>
          <w:b/>
          <w:color w:val="000000" w:themeColor="text1"/>
        </w:rPr>
        <w:t>IV. ANALYSIS</w:t>
      </w:r>
    </w:p>
    <w:p w14:paraId="64786334" w14:textId="1A020A7B" w:rsidR="00D43136" w:rsidRPr="00D43136" w:rsidRDefault="005E4806" w:rsidP="00D43136">
      <w:pPr>
        <w:spacing w:before="200" w:line="275" w:lineRule="atLeast"/>
        <w:jc w:val="both"/>
        <w:rPr>
          <w:rFonts w:ascii="Garamond" w:hAnsi="Garamond"/>
          <w:bCs/>
          <w:color w:val="000000" w:themeColor="text1"/>
        </w:rPr>
      </w:pPr>
      <w:bookmarkStart w:id="4" w:name="co_anchor_I2d4a21e11ebd11ef90a7bd7e72"/>
      <w:bookmarkEnd w:id="3"/>
      <w:r w:rsidRPr="00B53922">
        <w:rPr>
          <w:rFonts w:ascii="Garamond" w:hAnsi="Garamond"/>
          <w:bCs/>
          <w:color w:val="000000" w:themeColor="text1"/>
        </w:rPr>
        <w:t xml:space="preserve">. . . </w:t>
      </w:r>
      <w:bookmarkEnd w:id="4"/>
      <w:r w:rsidR="00D43136" w:rsidRPr="00D43136">
        <w:rPr>
          <w:rFonts w:ascii="Garamond" w:hAnsi="Garamond"/>
          <w:color w:val="000000" w:themeColor="text1"/>
        </w:rPr>
        <w:t> </w:t>
      </w:r>
    </w:p>
    <w:p w14:paraId="7982A278" w14:textId="77777777" w:rsidR="00D43136" w:rsidRPr="00D43136" w:rsidRDefault="00D43136" w:rsidP="00D43136">
      <w:pPr>
        <w:spacing w:before="200" w:line="275" w:lineRule="atLeast"/>
        <w:jc w:val="both"/>
        <w:rPr>
          <w:rFonts w:ascii="Garamond" w:hAnsi="Garamond"/>
          <w:color w:val="000000" w:themeColor="text1"/>
        </w:rPr>
      </w:pPr>
      <w:bookmarkStart w:id="5" w:name="co_anchor_I2d4c6bd11ebd11ef90a7bd7e72"/>
      <w:bookmarkStart w:id="6" w:name="co_anchor_I2d4c6bd11ebd11ef90a7bd7e7f2b"/>
      <w:r w:rsidRPr="00D43136">
        <w:rPr>
          <w:rFonts w:ascii="Garamond" w:hAnsi="Garamond"/>
          <w:b/>
          <w:color w:val="000000" w:themeColor="text1"/>
        </w:rPr>
        <w:t>B. The Affidavit-of-Merit and Presuit-Notice Requirements</w:t>
      </w:r>
    </w:p>
    <w:bookmarkEnd w:id="5"/>
    <w:bookmarkEnd w:id="6"/>
    <w:p w14:paraId="46A01BDC" w14:textId="5A5BDD51"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Having decided that Albright has raised a medical-malpractice claim, we now determine whether Michigan</w:t>
      </w:r>
      <w:r w:rsidR="00E02A29" w:rsidRPr="00B53922">
        <w:rPr>
          <w:rFonts w:ascii="Garamond" w:hAnsi="Garamond"/>
          <w:color w:val="000000" w:themeColor="text1"/>
        </w:rPr>
        <w:t>’</w:t>
      </w:r>
      <w:r w:rsidRPr="00D43136">
        <w:rPr>
          <w:rFonts w:ascii="Garamond" w:hAnsi="Garamond"/>
          <w:color w:val="000000" w:themeColor="text1"/>
        </w:rPr>
        <w:t>s affidavit-of-merit and presuit-notice re</w:t>
      </w:r>
      <w:r w:rsidR="0069605B" w:rsidRPr="00B53922">
        <w:rPr>
          <w:rFonts w:ascii="Garamond" w:hAnsi="Garamond"/>
          <w:color w:val="000000" w:themeColor="text1"/>
        </w:rPr>
        <w:softHyphen/>
      </w:r>
      <w:r w:rsidRPr="00D43136">
        <w:rPr>
          <w:rFonts w:ascii="Garamond" w:hAnsi="Garamond"/>
          <w:color w:val="000000" w:themeColor="text1"/>
        </w:rPr>
        <w:t>quirements apply in federal court.</w:t>
      </w:r>
    </w:p>
    <w:p w14:paraId="07599081" w14:textId="77777777" w:rsidR="00D43136" w:rsidRPr="00D43136" w:rsidRDefault="00D43136" w:rsidP="00D43136">
      <w:pPr>
        <w:spacing w:before="200" w:line="275" w:lineRule="atLeast"/>
        <w:jc w:val="both"/>
        <w:rPr>
          <w:rFonts w:ascii="Garamond" w:hAnsi="Garamond"/>
          <w:color w:val="000000" w:themeColor="text1"/>
        </w:rPr>
      </w:pPr>
      <w:bookmarkStart w:id="7" w:name="co_anchor_I2d4cb9f11ebd11ef90a7bd7e72"/>
      <w:bookmarkStart w:id="8" w:name="co_anchor_I2d4cb9f11ebd11ef90a7bd7e7f2b"/>
      <w:r w:rsidRPr="00D43136">
        <w:rPr>
          <w:rFonts w:ascii="Garamond" w:hAnsi="Garamond"/>
          <w:b/>
          <w:color w:val="000000" w:themeColor="text1"/>
        </w:rPr>
        <w:t>1. The Multistep Test</w:t>
      </w:r>
    </w:p>
    <w:p w14:paraId="0DB0FAB5" w14:textId="01BE0A1F" w:rsidR="00D43136" w:rsidRPr="00D43136" w:rsidRDefault="00D43136" w:rsidP="00D43136">
      <w:pPr>
        <w:spacing w:before="200" w:line="275" w:lineRule="atLeast"/>
        <w:jc w:val="both"/>
        <w:rPr>
          <w:rFonts w:ascii="Garamond" w:hAnsi="Garamond"/>
          <w:color w:val="000000" w:themeColor="text1"/>
        </w:rPr>
      </w:pPr>
      <w:bookmarkStart w:id="9" w:name="co_anchor_B52055479956_1"/>
      <w:bookmarkStart w:id="10" w:name="co_anchor_B62055479956_1"/>
      <w:bookmarkEnd w:id="7"/>
      <w:bookmarkEnd w:id="8"/>
      <w:bookmarkEnd w:id="9"/>
      <w:bookmarkEnd w:id="10"/>
      <w:r w:rsidRPr="00D43136">
        <w:rPr>
          <w:rFonts w:ascii="Garamond" w:hAnsi="Garamond"/>
          <w:color w:val="000000" w:themeColor="text1"/>
        </w:rPr>
        <w:t xml:space="preserve">To decide which Michigan and federal laws apply in this diversity action, we must follow a familiar multistep choice-of-law framework. Under </w:t>
      </w:r>
      <w:r w:rsidRPr="00D43136">
        <w:rPr>
          <w:rFonts w:ascii="Garamond" w:hAnsi="Garamond"/>
          <w:i/>
          <w:color w:val="000000" w:themeColor="text1"/>
        </w:rPr>
        <w:t>Hanna</w:t>
      </w:r>
      <w:r w:rsidRPr="00D43136">
        <w:rPr>
          <w:rFonts w:ascii="Garamond" w:hAnsi="Garamond"/>
          <w:color w:val="000000" w:themeColor="text1"/>
        </w:rPr>
        <w:t xml:space="preserve">, </w:t>
      </w:r>
      <w:r w:rsidRPr="00D43136">
        <w:rPr>
          <w:rFonts w:ascii="Garamond" w:hAnsi="Garamond"/>
          <w:color w:val="000000" w:themeColor="text1"/>
        </w:rPr>
        <w:lastRenderedPageBreak/>
        <w:t xml:space="preserve">we must first decide whether state law conflicts with a valid federal rule of procedure on point. </w:t>
      </w:r>
      <w:r w:rsidR="00E02A29" w:rsidRPr="00B53922">
        <w:rPr>
          <w:rFonts w:ascii="Garamond" w:hAnsi="Garamond"/>
          <w:color w:val="000000" w:themeColor="text1"/>
        </w:rPr>
        <w:t>“</w:t>
      </w:r>
      <w:r w:rsidRPr="00D43136">
        <w:rPr>
          <w:rFonts w:ascii="Garamond" w:hAnsi="Garamond"/>
          <w:color w:val="000000" w:themeColor="text1"/>
        </w:rPr>
        <w:t xml:space="preserve">The initial step is to determine whether, when fairly construed, the scope of [a federal rule] is </w:t>
      </w:r>
      <w:r w:rsidR="00E02A29" w:rsidRPr="00B53922">
        <w:rPr>
          <w:rFonts w:ascii="Garamond" w:hAnsi="Garamond"/>
          <w:color w:val="000000" w:themeColor="text1"/>
        </w:rPr>
        <w:t>‘</w:t>
      </w:r>
      <w:r w:rsidRPr="00D43136">
        <w:rPr>
          <w:rFonts w:ascii="Garamond" w:hAnsi="Garamond"/>
          <w:color w:val="000000" w:themeColor="text1"/>
        </w:rPr>
        <w:t>sufficiently broad</w:t>
      </w:r>
      <w:r w:rsidR="00E02A29" w:rsidRPr="00B53922">
        <w:rPr>
          <w:rFonts w:ascii="Garamond" w:hAnsi="Garamond"/>
          <w:color w:val="000000" w:themeColor="text1"/>
        </w:rPr>
        <w:t>’</w:t>
      </w:r>
      <w:r w:rsidRPr="00D43136">
        <w:rPr>
          <w:rFonts w:ascii="Garamond" w:hAnsi="Garamond"/>
          <w:color w:val="000000" w:themeColor="text1"/>
        </w:rPr>
        <w:t xml:space="preserve"> to cause a </w:t>
      </w:r>
      <w:r w:rsidR="00E02A29" w:rsidRPr="00B53922">
        <w:rPr>
          <w:rFonts w:ascii="Garamond" w:hAnsi="Garamond"/>
          <w:color w:val="000000" w:themeColor="text1"/>
        </w:rPr>
        <w:t>‘</w:t>
      </w:r>
      <w:r w:rsidRPr="00D43136">
        <w:rPr>
          <w:rFonts w:ascii="Garamond" w:hAnsi="Garamond"/>
          <w:color w:val="000000" w:themeColor="text1"/>
        </w:rPr>
        <w:t>direct collision</w:t>
      </w:r>
      <w:r w:rsidR="00E02A29" w:rsidRPr="00B53922">
        <w:rPr>
          <w:rFonts w:ascii="Garamond" w:hAnsi="Garamond"/>
          <w:color w:val="000000" w:themeColor="text1"/>
        </w:rPr>
        <w:t>’</w:t>
      </w:r>
      <w:r w:rsidRPr="00D43136">
        <w:rPr>
          <w:rFonts w:ascii="Garamond" w:hAnsi="Garamond"/>
          <w:color w:val="000000" w:themeColor="text1"/>
        </w:rPr>
        <w:t xml:space="preserve"> with the state law or, implicitly, to </w:t>
      </w:r>
      <w:r w:rsidR="00E02A29" w:rsidRPr="00B53922">
        <w:rPr>
          <w:rFonts w:ascii="Garamond" w:hAnsi="Garamond"/>
          <w:color w:val="000000" w:themeColor="text1"/>
        </w:rPr>
        <w:t>‘</w:t>
      </w:r>
      <w:r w:rsidRPr="00D43136">
        <w:rPr>
          <w:rFonts w:ascii="Garamond" w:hAnsi="Garamond"/>
          <w:color w:val="000000" w:themeColor="text1"/>
        </w:rPr>
        <w:t>control the issue</w:t>
      </w:r>
      <w:r w:rsidR="00E02A29" w:rsidRPr="00B53922">
        <w:rPr>
          <w:rFonts w:ascii="Garamond" w:hAnsi="Garamond"/>
          <w:color w:val="000000" w:themeColor="text1"/>
        </w:rPr>
        <w:t>’</w:t>
      </w:r>
      <w:r w:rsidRPr="00D43136">
        <w:rPr>
          <w:rFonts w:ascii="Garamond" w:hAnsi="Garamond"/>
          <w:color w:val="000000" w:themeColor="text1"/>
        </w:rPr>
        <w:t xml:space="preserve"> before the court, thereby leaving no room for the operation of that law.</w:t>
      </w:r>
      <w:r w:rsidR="00E02A29" w:rsidRPr="00B53922">
        <w:rPr>
          <w:rFonts w:ascii="Garamond" w:hAnsi="Garamond"/>
          <w:color w:val="000000" w:themeColor="text1"/>
        </w:rPr>
        <w:t>”</w:t>
      </w:r>
      <w:r w:rsidRPr="00D43136">
        <w:rPr>
          <w:rFonts w:ascii="Garamond" w:hAnsi="Garamond"/>
          <w:color w:val="000000" w:themeColor="text1"/>
        </w:rPr>
        <w:t xml:space="preserve"> </w:t>
      </w:r>
      <w:r w:rsidRPr="00D43136">
        <w:rPr>
          <w:rFonts w:ascii="Garamond" w:hAnsi="Garamond"/>
          <w:i/>
          <w:color w:val="000000" w:themeColor="text1"/>
        </w:rPr>
        <w:t>Burlington N. R. Co. v. Woods</w:t>
      </w:r>
      <w:r w:rsidRPr="00D43136">
        <w:rPr>
          <w:rFonts w:ascii="Garamond" w:hAnsi="Garamond"/>
          <w:color w:val="000000" w:themeColor="text1"/>
        </w:rPr>
        <w:t xml:space="preserve"> (</w:t>
      </w:r>
      <w:r w:rsidR="00D32365" w:rsidRPr="00B53922">
        <w:rPr>
          <w:rFonts w:ascii="Garamond" w:hAnsi="Garamond"/>
          <w:color w:val="000000" w:themeColor="text1"/>
        </w:rPr>
        <w:t xml:space="preserve">U.S. </w:t>
      </w:r>
      <w:r w:rsidRPr="00D43136">
        <w:rPr>
          <w:rFonts w:ascii="Garamond" w:hAnsi="Garamond"/>
          <w:color w:val="000000" w:themeColor="text1"/>
        </w:rPr>
        <w:t xml:space="preserve">1987) </w:t>
      </w:r>
      <w:r w:rsidR="00394F89" w:rsidRPr="00B53922">
        <w:rPr>
          <w:rFonts w:ascii="Garamond" w:hAnsi="Garamond"/>
          <w:color w:val="000000" w:themeColor="text1"/>
        </w:rPr>
        <w:t xml:space="preserve">. . . </w:t>
      </w:r>
      <w:r w:rsidRPr="00D43136">
        <w:rPr>
          <w:rFonts w:ascii="Garamond" w:hAnsi="Garamond"/>
          <w:color w:val="000000" w:themeColor="text1"/>
        </w:rPr>
        <w:t xml:space="preserve">; </w:t>
      </w:r>
      <w:r w:rsidRPr="00D43136">
        <w:rPr>
          <w:rFonts w:ascii="Garamond" w:hAnsi="Garamond"/>
          <w:i/>
          <w:color w:val="000000" w:themeColor="text1"/>
        </w:rPr>
        <w:t>see also Gallivan v. United States</w:t>
      </w:r>
      <w:r w:rsidRPr="00D43136">
        <w:rPr>
          <w:rFonts w:ascii="Garamond" w:hAnsi="Garamond"/>
          <w:color w:val="000000" w:themeColor="text1"/>
        </w:rPr>
        <w:t xml:space="preserve"> (6th Cir. 2019) (</w:t>
      </w:r>
      <w:r w:rsidR="00E02A29" w:rsidRPr="00B53922">
        <w:rPr>
          <w:rFonts w:ascii="Garamond" w:hAnsi="Garamond"/>
          <w:color w:val="000000" w:themeColor="text1"/>
        </w:rPr>
        <w:t>“</w:t>
      </w:r>
      <w:r w:rsidRPr="00D43136">
        <w:rPr>
          <w:rFonts w:ascii="Garamond" w:hAnsi="Garamond"/>
          <w:color w:val="000000" w:themeColor="text1"/>
        </w:rPr>
        <w:t xml:space="preserve">In other words, do the Federal Rules answer </w:t>
      </w:r>
      <w:r w:rsidR="00E02A29" w:rsidRPr="00B53922">
        <w:rPr>
          <w:rFonts w:ascii="Garamond" w:hAnsi="Garamond"/>
          <w:color w:val="000000" w:themeColor="text1"/>
        </w:rPr>
        <w:t>‘</w:t>
      </w:r>
      <w:r w:rsidRPr="00D43136">
        <w:rPr>
          <w:rFonts w:ascii="Garamond" w:hAnsi="Garamond"/>
          <w:color w:val="000000" w:themeColor="text1"/>
        </w:rPr>
        <w:t>the same question</w:t>
      </w:r>
      <w:r w:rsidR="00E02A29" w:rsidRPr="00B53922">
        <w:rPr>
          <w:rFonts w:ascii="Garamond" w:hAnsi="Garamond"/>
          <w:color w:val="000000" w:themeColor="text1"/>
        </w:rPr>
        <w:t>’</w:t>
      </w:r>
      <w:r w:rsidRPr="00D43136">
        <w:rPr>
          <w:rFonts w:ascii="Garamond" w:hAnsi="Garamond"/>
          <w:color w:val="000000" w:themeColor="text1"/>
        </w:rPr>
        <w:t xml:space="preserve"> as the state rule?</w:t>
      </w:r>
      <w:r w:rsidR="00E02A29" w:rsidRPr="00B53922">
        <w:rPr>
          <w:rFonts w:ascii="Garamond" w:hAnsi="Garamond"/>
          <w:color w:val="000000" w:themeColor="text1"/>
        </w:rPr>
        <w:t>”</w:t>
      </w:r>
      <w:r w:rsidRPr="00D43136">
        <w:rPr>
          <w:rFonts w:ascii="Garamond" w:hAnsi="Garamond"/>
          <w:color w:val="000000" w:themeColor="text1"/>
        </w:rPr>
        <w:t>).</w:t>
      </w:r>
    </w:p>
    <w:p w14:paraId="53B873D3" w14:textId="3FDC9C88" w:rsidR="00D43136" w:rsidRPr="00D43136" w:rsidRDefault="00D43136" w:rsidP="00D43136">
      <w:pPr>
        <w:spacing w:before="200" w:line="275" w:lineRule="atLeast"/>
        <w:jc w:val="both"/>
        <w:rPr>
          <w:rFonts w:ascii="Garamond" w:hAnsi="Garamond"/>
          <w:color w:val="000000" w:themeColor="text1"/>
        </w:rPr>
      </w:pPr>
      <w:bookmarkStart w:id="11" w:name="co_anchor_B72055479956_1"/>
      <w:bookmarkEnd w:id="11"/>
      <w:r w:rsidRPr="00D43136">
        <w:rPr>
          <w:rFonts w:ascii="Garamond" w:hAnsi="Garamond"/>
          <w:color w:val="000000" w:themeColor="text1"/>
        </w:rPr>
        <w:t>If a state law collides with a federal rule, we must determine whether the federal rule applies under the Rules Enabling Act (REA) and relevant consti</w:t>
      </w:r>
      <w:r w:rsidR="00CE73CF" w:rsidRPr="00B53922">
        <w:rPr>
          <w:rFonts w:ascii="Garamond" w:hAnsi="Garamond"/>
          <w:color w:val="000000" w:themeColor="text1"/>
        </w:rPr>
        <w:softHyphen/>
      </w:r>
      <w:r w:rsidRPr="00D43136">
        <w:rPr>
          <w:rFonts w:ascii="Garamond" w:hAnsi="Garamond"/>
          <w:color w:val="000000" w:themeColor="text1"/>
        </w:rPr>
        <w:t>tu</w:t>
      </w:r>
      <w:r w:rsidR="00CE73CF" w:rsidRPr="00B53922">
        <w:rPr>
          <w:rFonts w:ascii="Garamond" w:hAnsi="Garamond"/>
          <w:color w:val="000000" w:themeColor="text1"/>
        </w:rPr>
        <w:softHyphen/>
      </w:r>
      <w:r w:rsidRPr="00D43136">
        <w:rPr>
          <w:rFonts w:ascii="Garamond" w:hAnsi="Garamond"/>
          <w:color w:val="000000" w:themeColor="text1"/>
        </w:rPr>
        <w:t>tional standards per Justice Stevens</w:t>
      </w:r>
      <w:r w:rsidR="00E02A29" w:rsidRPr="00B53922">
        <w:rPr>
          <w:rFonts w:ascii="Garamond" w:hAnsi="Garamond"/>
          <w:color w:val="000000" w:themeColor="text1"/>
        </w:rPr>
        <w:t>’</w:t>
      </w:r>
      <w:r w:rsidRPr="00D43136">
        <w:rPr>
          <w:rFonts w:ascii="Garamond" w:hAnsi="Garamond"/>
          <w:color w:val="000000" w:themeColor="text1"/>
        </w:rPr>
        <w:t xml:space="preserve">s controlling concurrence in </w:t>
      </w:r>
      <w:r w:rsidRPr="00D43136">
        <w:rPr>
          <w:rFonts w:ascii="Garamond" w:hAnsi="Garamond"/>
          <w:i/>
          <w:color w:val="000000" w:themeColor="text1"/>
        </w:rPr>
        <w:t>Shady Grove Orthopedic Associates, P.A. v. Allstate Insurance Co</w:t>
      </w:r>
      <w:r w:rsidR="007F7710" w:rsidRPr="00B53922">
        <w:rPr>
          <w:rFonts w:ascii="Garamond" w:hAnsi="Garamond"/>
          <w:i/>
          <w:color w:val="000000" w:themeColor="text1"/>
        </w:rPr>
        <w:t>.</w:t>
      </w:r>
      <w:r w:rsidRPr="00D43136">
        <w:rPr>
          <w:rFonts w:ascii="Garamond" w:hAnsi="Garamond"/>
          <w:color w:val="000000" w:themeColor="text1"/>
        </w:rPr>
        <w:t xml:space="preserve"> (</w:t>
      </w:r>
      <w:r w:rsidR="00740845" w:rsidRPr="00B53922">
        <w:rPr>
          <w:rFonts w:ascii="Garamond" w:hAnsi="Garamond"/>
          <w:color w:val="000000" w:themeColor="text1"/>
        </w:rPr>
        <w:t xml:space="preserve">U.S. </w:t>
      </w:r>
      <w:r w:rsidRPr="00D43136">
        <w:rPr>
          <w:rFonts w:ascii="Garamond" w:hAnsi="Garamond"/>
          <w:color w:val="000000" w:themeColor="text1"/>
        </w:rPr>
        <w:t>2010) (Stevens, J., con</w:t>
      </w:r>
      <w:r w:rsidR="00236363" w:rsidRPr="00B53922">
        <w:rPr>
          <w:rFonts w:ascii="Garamond" w:hAnsi="Garamond"/>
          <w:color w:val="000000" w:themeColor="text1"/>
        </w:rPr>
        <w:softHyphen/>
      </w:r>
      <w:r w:rsidRPr="00D43136">
        <w:rPr>
          <w:rFonts w:ascii="Garamond" w:hAnsi="Garamond"/>
          <w:color w:val="000000" w:themeColor="text1"/>
        </w:rPr>
        <w:t>trolling opinion).</w:t>
      </w:r>
      <w:r w:rsidR="00216AD5" w:rsidRPr="00B53922">
        <w:rPr>
          <w:rStyle w:val="FootnoteReference"/>
          <w:rFonts w:ascii="Garamond" w:hAnsi="Garamond"/>
          <w:color w:val="000000" w:themeColor="text1"/>
        </w:rPr>
        <w:footnoteReference w:id="1"/>
      </w:r>
      <w:r w:rsidRPr="00D43136">
        <w:rPr>
          <w:rFonts w:ascii="Garamond" w:hAnsi="Garamond"/>
          <w:color w:val="000000" w:themeColor="text1"/>
        </w:rPr>
        <w:t xml:space="preserve"> The relevant question is whether the federal rule is a </w:t>
      </w:r>
      <w:r w:rsidR="00E02A29" w:rsidRPr="00B53922">
        <w:rPr>
          <w:rFonts w:ascii="Garamond" w:hAnsi="Garamond"/>
          <w:color w:val="000000" w:themeColor="text1"/>
        </w:rPr>
        <w:t>“</w:t>
      </w:r>
      <w:r w:rsidRPr="00D43136">
        <w:rPr>
          <w:rFonts w:ascii="Garamond" w:hAnsi="Garamond"/>
          <w:color w:val="000000" w:themeColor="text1"/>
        </w:rPr>
        <w:t>general rule[] of practice and procedure</w:t>
      </w:r>
      <w:r w:rsidR="00E02A29" w:rsidRPr="00B53922">
        <w:rPr>
          <w:rFonts w:ascii="Garamond" w:hAnsi="Garamond"/>
          <w:color w:val="000000" w:themeColor="text1"/>
        </w:rPr>
        <w:t>”</w:t>
      </w:r>
      <w:r w:rsidRPr="00D43136">
        <w:rPr>
          <w:rFonts w:ascii="Garamond" w:hAnsi="Garamond"/>
          <w:color w:val="000000" w:themeColor="text1"/>
        </w:rPr>
        <w:t xml:space="preserve"> that does </w:t>
      </w:r>
      <w:r w:rsidR="00E02A29" w:rsidRPr="00B53922">
        <w:rPr>
          <w:rFonts w:ascii="Garamond" w:hAnsi="Garamond"/>
          <w:color w:val="000000" w:themeColor="text1"/>
        </w:rPr>
        <w:t>“</w:t>
      </w:r>
      <w:r w:rsidRPr="00D43136">
        <w:rPr>
          <w:rFonts w:ascii="Garamond" w:hAnsi="Garamond"/>
          <w:color w:val="000000" w:themeColor="text1"/>
        </w:rPr>
        <w:t>not abridge, enlarge or modify any substantive right</w:t>
      </w:r>
      <w:r w:rsidR="00E02A29" w:rsidRPr="00B53922">
        <w:rPr>
          <w:rFonts w:ascii="Garamond" w:hAnsi="Garamond"/>
          <w:color w:val="000000" w:themeColor="text1"/>
        </w:rPr>
        <w:t>”</w:t>
      </w:r>
      <w:r w:rsidRPr="00D43136">
        <w:rPr>
          <w:rFonts w:ascii="Garamond" w:hAnsi="Garamond"/>
          <w:color w:val="000000" w:themeColor="text1"/>
        </w:rPr>
        <w:t xml:space="preserve"> and is </w:t>
      </w:r>
      <w:r w:rsidR="00E02A29" w:rsidRPr="00B53922">
        <w:rPr>
          <w:rFonts w:ascii="Garamond" w:hAnsi="Garamond"/>
          <w:color w:val="000000" w:themeColor="text1"/>
        </w:rPr>
        <w:t>“</w:t>
      </w:r>
      <w:r w:rsidRPr="00D43136">
        <w:rPr>
          <w:rFonts w:ascii="Garamond" w:hAnsi="Garamond"/>
          <w:color w:val="000000" w:themeColor="text1"/>
        </w:rPr>
        <w:t>procedural in the ordinary use of the term.</w:t>
      </w:r>
      <w:r w:rsidR="00E02A29" w:rsidRPr="00B53922">
        <w:rPr>
          <w:rFonts w:ascii="Garamond" w:hAnsi="Garamond"/>
          <w:color w:val="000000" w:themeColor="text1"/>
        </w:rPr>
        <w:t>”</w:t>
      </w:r>
      <w:r w:rsidRPr="00D43136">
        <w:rPr>
          <w:rFonts w:ascii="Garamond" w:hAnsi="Garamond"/>
          <w:color w:val="000000" w:themeColor="text1"/>
        </w:rPr>
        <w:t xml:space="preserve"> </w:t>
      </w:r>
      <w:r w:rsidRPr="00D43136">
        <w:rPr>
          <w:rFonts w:ascii="Garamond" w:hAnsi="Garamond"/>
          <w:i/>
          <w:color w:val="000000" w:themeColor="text1"/>
        </w:rPr>
        <w:t>Shady Grove</w:t>
      </w:r>
      <w:r w:rsidRPr="00D43136">
        <w:rPr>
          <w:rFonts w:ascii="Garamond" w:hAnsi="Garamond"/>
          <w:color w:val="000000" w:themeColor="text1"/>
        </w:rPr>
        <w:t xml:space="preserve"> (Stevens, J., controlling opinion).</w:t>
      </w:r>
    </w:p>
    <w:p w14:paraId="4AEA49C5" w14:textId="70E8EFBF" w:rsidR="00D43136" w:rsidRPr="00D43136" w:rsidRDefault="00D43136" w:rsidP="00D43136">
      <w:pPr>
        <w:spacing w:before="200" w:line="275" w:lineRule="atLeast"/>
        <w:jc w:val="both"/>
        <w:rPr>
          <w:rFonts w:ascii="Garamond" w:hAnsi="Garamond"/>
          <w:color w:val="000000" w:themeColor="text1"/>
        </w:rPr>
      </w:pPr>
      <w:bookmarkStart w:id="12" w:name="co_anchor_B82055479956_1"/>
      <w:bookmarkEnd w:id="12"/>
      <w:r w:rsidRPr="00D43136">
        <w:rPr>
          <w:rFonts w:ascii="Garamond" w:hAnsi="Garamond"/>
          <w:color w:val="000000" w:themeColor="text1"/>
        </w:rPr>
        <w:t xml:space="preserve">If the state law does not conflict with a federal rule, we must assess whether the twin aims of </w:t>
      </w:r>
      <w:r w:rsidRPr="00D43136">
        <w:rPr>
          <w:rFonts w:ascii="Garamond" w:hAnsi="Garamond"/>
          <w:i/>
          <w:color w:val="000000" w:themeColor="text1"/>
        </w:rPr>
        <w:t>Erie</w:t>
      </w:r>
      <w:r w:rsidRPr="00D43136">
        <w:rPr>
          <w:rFonts w:ascii="Garamond" w:hAnsi="Garamond"/>
          <w:color w:val="000000" w:themeColor="text1"/>
        </w:rPr>
        <w:t xml:space="preserve"> are implicated, namely </w:t>
      </w:r>
      <w:r w:rsidR="00E02A29" w:rsidRPr="00B53922">
        <w:rPr>
          <w:rFonts w:ascii="Garamond" w:hAnsi="Garamond"/>
          <w:color w:val="000000" w:themeColor="text1"/>
        </w:rPr>
        <w:t>“</w:t>
      </w:r>
      <w:r w:rsidRPr="00D43136">
        <w:rPr>
          <w:rFonts w:ascii="Garamond" w:hAnsi="Garamond"/>
          <w:color w:val="000000" w:themeColor="text1"/>
        </w:rPr>
        <w:t>discouragement of forum-shop</w:t>
      </w:r>
      <w:r w:rsidR="00E733CF" w:rsidRPr="00B53922">
        <w:rPr>
          <w:rFonts w:ascii="Garamond" w:hAnsi="Garamond"/>
          <w:color w:val="000000" w:themeColor="text1"/>
        </w:rPr>
        <w:softHyphen/>
      </w:r>
      <w:r w:rsidRPr="00D43136">
        <w:rPr>
          <w:rFonts w:ascii="Garamond" w:hAnsi="Garamond"/>
          <w:color w:val="000000" w:themeColor="text1"/>
        </w:rPr>
        <w:t>ping and avoidance of inequitable administration of the laws.</w:t>
      </w:r>
      <w:r w:rsidR="00E02A29" w:rsidRPr="00B53922">
        <w:rPr>
          <w:rFonts w:ascii="Garamond" w:hAnsi="Garamond"/>
          <w:color w:val="000000" w:themeColor="text1"/>
        </w:rPr>
        <w:t>”</w:t>
      </w:r>
      <w:r w:rsidRPr="00D43136">
        <w:rPr>
          <w:rFonts w:ascii="Garamond" w:hAnsi="Garamond"/>
          <w:color w:val="000000" w:themeColor="text1"/>
        </w:rPr>
        <w:t xml:space="preserve"> </w:t>
      </w:r>
      <w:r w:rsidRPr="00D43136">
        <w:rPr>
          <w:rFonts w:ascii="Garamond" w:hAnsi="Garamond"/>
          <w:i/>
          <w:color w:val="000000" w:themeColor="text1"/>
        </w:rPr>
        <w:t>See Hanna</w:t>
      </w:r>
      <w:r w:rsidRPr="00D43136">
        <w:rPr>
          <w:rFonts w:ascii="Garamond" w:hAnsi="Garamond"/>
          <w:color w:val="000000" w:themeColor="text1"/>
        </w:rPr>
        <w:t xml:space="preserve">. If both </w:t>
      </w:r>
      <w:r w:rsidRPr="00D43136">
        <w:rPr>
          <w:rFonts w:ascii="Garamond" w:hAnsi="Garamond"/>
          <w:i/>
          <w:color w:val="000000" w:themeColor="text1"/>
        </w:rPr>
        <w:t>Erie</w:t>
      </w:r>
      <w:r w:rsidRPr="00D43136">
        <w:rPr>
          <w:rFonts w:ascii="Garamond" w:hAnsi="Garamond"/>
          <w:color w:val="000000" w:themeColor="text1"/>
        </w:rPr>
        <w:t xml:space="preserve"> prongs are met, we would then consider whether an overriding federal interest justifies the application of federal law. </w:t>
      </w:r>
      <w:r w:rsidRPr="00D43136">
        <w:rPr>
          <w:rFonts w:ascii="Garamond" w:hAnsi="Garamond"/>
          <w:i/>
          <w:color w:val="000000" w:themeColor="text1"/>
        </w:rPr>
        <w:t>See Byrd v. Blue Ridge Rural Elec. Co-op.</w:t>
      </w:r>
      <w:r w:rsidR="009B5CFE" w:rsidRPr="00B53922">
        <w:rPr>
          <w:rFonts w:ascii="Garamond" w:hAnsi="Garamond"/>
          <w:color w:val="000000" w:themeColor="text1"/>
        </w:rPr>
        <w:t xml:space="preserve"> </w:t>
      </w:r>
      <w:r w:rsidRPr="00D43136">
        <w:rPr>
          <w:rFonts w:ascii="Garamond" w:hAnsi="Garamond"/>
          <w:color w:val="000000" w:themeColor="text1"/>
        </w:rPr>
        <w:t>(</w:t>
      </w:r>
      <w:r w:rsidR="009012B7" w:rsidRPr="00B53922">
        <w:rPr>
          <w:rFonts w:ascii="Garamond" w:hAnsi="Garamond"/>
          <w:color w:val="000000" w:themeColor="text1"/>
        </w:rPr>
        <w:t xml:space="preserve">U.S. </w:t>
      </w:r>
      <w:r w:rsidRPr="00D43136">
        <w:rPr>
          <w:rFonts w:ascii="Garamond" w:hAnsi="Garamond"/>
          <w:color w:val="000000" w:themeColor="text1"/>
        </w:rPr>
        <w:t>1958)</w:t>
      </w:r>
      <w:r w:rsidR="009B5CFE" w:rsidRPr="00B53922">
        <w:rPr>
          <w:rFonts w:ascii="Garamond" w:hAnsi="Garamond"/>
          <w:color w:val="000000" w:themeColor="text1"/>
        </w:rPr>
        <w:t xml:space="preserve"> . . . </w:t>
      </w:r>
      <w:r w:rsidRPr="00D43136">
        <w:rPr>
          <w:rFonts w:ascii="Garamond" w:hAnsi="Garamond"/>
          <w:color w:val="000000" w:themeColor="text1"/>
        </w:rPr>
        <w:t>.</w:t>
      </w:r>
    </w:p>
    <w:p w14:paraId="191CF617" w14:textId="77777777" w:rsidR="00D43136" w:rsidRPr="00D43136" w:rsidRDefault="00D43136" w:rsidP="00D43136">
      <w:pPr>
        <w:spacing w:before="200" w:line="275" w:lineRule="atLeast"/>
        <w:jc w:val="both"/>
        <w:rPr>
          <w:rFonts w:ascii="Garamond" w:hAnsi="Garamond"/>
          <w:color w:val="000000" w:themeColor="text1"/>
        </w:rPr>
      </w:pPr>
      <w:bookmarkStart w:id="13" w:name="co_anchor_I2d52d4711ebd11ef90a7bd7e72"/>
      <w:bookmarkStart w:id="14" w:name="co_anchor_I2d52d4711ebd11ef90a7bd7e7f2b"/>
      <w:r w:rsidRPr="00D43136">
        <w:rPr>
          <w:rFonts w:ascii="Garamond" w:hAnsi="Garamond"/>
          <w:b/>
          <w:color w:val="000000" w:themeColor="text1"/>
        </w:rPr>
        <w:t>2. The Affidavit-of-Merit and Presuit Notice Requirements</w:t>
      </w:r>
    </w:p>
    <w:bookmarkEnd w:id="13"/>
    <w:bookmarkEnd w:id="14"/>
    <w:p w14:paraId="7CA648B9" w14:textId="324E0057"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Relevant to this case are Federal Rules of Civil Procedure 3, 8(a), 9, 11, and 12(b)(6). Rule 3 pro</w:t>
      </w:r>
      <w:r w:rsidR="00F653F7" w:rsidRPr="00B53922">
        <w:rPr>
          <w:rFonts w:ascii="Garamond" w:hAnsi="Garamond"/>
          <w:color w:val="000000" w:themeColor="text1"/>
        </w:rPr>
        <w:softHyphen/>
      </w:r>
      <w:r w:rsidRPr="00D43136">
        <w:rPr>
          <w:rFonts w:ascii="Garamond" w:hAnsi="Garamond"/>
          <w:color w:val="000000" w:themeColor="text1"/>
        </w:rPr>
        <w:t xml:space="preserve">vides that </w:t>
      </w:r>
      <w:r w:rsidR="00E02A29" w:rsidRPr="00B53922">
        <w:rPr>
          <w:rFonts w:ascii="Garamond" w:hAnsi="Garamond"/>
          <w:color w:val="000000" w:themeColor="text1"/>
        </w:rPr>
        <w:t>“</w:t>
      </w:r>
      <w:r w:rsidRPr="00D43136">
        <w:rPr>
          <w:rFonts w:ascii="Garamond" w:hAnsi="Garamond"/>
          <w:color w:val="000000" w:themeColor="text1"/>
        </w:rPr>
        <w:t>[a] civil action is commenced by filing a complaint with the court.</w:t>
      </w:r>
      <w:r w:rsidR="00E02A29" w:rsidRPr="00B53922">
        <w:rPr>
          <w:rFonts w:ascii="Garamond" w:hAnsi="Garamond"/>
          <w:color w:val="000000" w:themeColor="text1"/>
        </w:rPr>
        <w:t>”</w:t>
      </w:r>
      <w:r w:rsidRPr="00D43136">
        <w:rPr>
          <w:rFonts w:ascii="Garamond" w:hAnsi="Garamond"/>
          <w:color w:val="000000" w:themeColor="text1"/>
        </w:rPr>
        <w:t xml:space="preserve"> Rule 8(a) requires plead</w:t>
      </w:r>
      <w:r w:rsidR="00FD70EE" w:rsidRPr="00B53922">
        <w:rPr>
          <w:rFonts w:ascii="Garamond" w:hAnsi="Garamond"/>
          <w:color w:val="000000" w:themeColor="text1"/>
        </w:rPr>
        <w:softHyphen/>
      </w:r>
      <w:r w:rsidRPr="00D43136">
        <w:rPr>
          <w:rFonts w:ascii="Garamond" w:hAnsi="Garamond"/>
          <w:color w:val="000000" w:themeColor="text1"/>
        </w:rPr>
        <w:t xml:space="preserve">ings to contain </w:t>
      </w:r>
      <w:r w:rsidR="00E02A29" w:rsidRPr="00B53922">
        <w:rPr>
          <w:rFonts w:ascii="Garamond" w:hAnsi="Garamond"/>
          <w:color w:val="000000" w:themeColor="text1"/>
        </w:rPr>
        <w:t>“</w:t>
      </w:r>
      <w:r w:rsidRPr="00D43136">
        <w:rPr>
          <w:rFonts w:ascii="Garamond" w:hAnsi="Garamond"/>
          <w:color w:val="000000" w:themeColor="text1"/>
        </w:rPr>
        <w:t xml:space="preserve">a short and plain statement of the </w:t>
      </w:r>
      <w:r w:rsidRPr="00D43136">
        <w:rPr>
          <w:rFonts w:ascii="Garamond" w:hAnsi="Garamond"/>
          <w:color w:val="000000" w:themeColor="text1"/>
        </w:rPr>
        <w:t>claim.</w:t>
      </w:r>
      <w:r w:rsidR="00E02A29" w:rsidRPr="00B53922">
        <w:rPr>
          <w:rFonts w:ascii="Garamond" w:hAnsi="Garamond"/>
          <w:color w:val="000000" w:themeColor="text1"/>
        </w:rPr>
        <w:t>”</w:t>
      </w:r>
      <w:r w:rsidRPr="00D43136">
        <w:rPr>
          <w:rFonts w:ascii="Garamond" w:hAnsi="Garamond"/>
          <w:color w:val="000000" w:themeColor="text1"/>
        </w:rPr>
        <w:t xml:space="preserve"> Rule 9 specifies when heightened pleadings are required. Rule 11 wards against frivolous claims and defenses. </w:t>
      </w:r>
      <w:r w:rsidR="00AC6967" w:rsidRPr="00B53922">
        <w:rPr>
          <w:rFonts w:ascii="Garamond" w:hAnsi="Garamond"/>
          <w:i/>
          <w:color w:val="000000" w:themeColor="text1"/>
        </w:rPr>
        <w:t xml:space="preserve">. . . </w:t>
      </w:r>
      <w:r w:rsidRPr="00D43136">
        <w:rPr>
          <w:rFonts w:ascii="Garamond" w:hAnsi="Garamond"/>
          <w:color w:val="000000" w:themeColor="text1"/>
        </w:rPr>
        <w:t xml:space="preserve">Rule 11 states that </w:t>
      </w:r>
      <w:r w:rsidR="00E02A29" w:rsidRPr="00B53922">
        <w:rPr>
          <w:rFonts w:ascii="Garamond" w:hAnsi="Garamond"/>
          <w:color w:val="000000" w:themeColor="text1"/>
        </w:rPr>
        <w:t>“</w:t>
      </w:r>
      <w:r w:rsidRPr="00D43136">
        <w:rPr>
          <w:rFonts w:ascii="Garamond" w:hAnsi="Garamond"/>
          <w:color w:val="000000" w:themeColor="text1"/>
        </w:rPr>
        <w:t xml:space="preserve">Unless a </w:t>
      </w:r>
      <w:r w:rsidR="008378A9" w:rsidRPr="00B53922">
        <w:rPr>
          <w:rFonts w:ascii="Garamond" w:hAnsi="Garamond"/>
          <w:color w:val="000000" w:themeColor="text1"/>
        </w:rPr>
        <w:t xml:space="preserve">[federal] </w:t>
      </w:r>
      <w:r w:rsidRPr="00D43136">
        <w:rPr>
          <w:rFonts w:ascii="Garamond" w:hAnsi="Garamond"/>
          <w:color w:val="000000" w:themeColor="text1"/>
        </w:rPr>
        <w:t>rule or statute specifically states otherwise, a pleading need not be verified or accompanied by an affidavit</w:t>
      </w:r>
      <w:r w:rsidR="00E02A29" w:rsidRPr="00B53922">
        <w:rPr>
          <w:rFonts w:ascii="Garamond" w:hAnsi="Garamond"/>
          <w:color w:val="000000" w:themeColor="text1"/>
        </w:rPr>
        <w:t>”</w:t>
      </w:r>
      <w:r w:rsidRPr="00D43136">
        <w:rPr>
          <w:rFonts w:ascii="Garamond" w:hAnsi="Garamond"/>
          <w:color w:val="000000" w:themeColor="text1"/>
        </w:rPr>
        <w:t xml:space="preserve"> and that an attorney</w:t>
      </w:r>
      <w:r w:rsidR="00E02A29" w:rsidRPr="00B53922">
        <w:rPr>
          <w:rFonts w:ascii="Garamond" w:hAnsi="Garamond"/>
          <w:color w:val="000000" w:themeColor="text1"/>
        </w:rPr>
        <w:t>’</w:t>
      </w:r>
      <w:r w:rsidRPr="00D43136">
        <w:rPr>
          <w:rFonts w:ascii="Garamond" w:hAnsi="Garamond"/>
          <w:color w:val="000000" w:themeColor="text1"/>
        </w:rPr>
        <w:t>s signature on, submission of, or advocacy regarding a filing certifies that the argument is nonfrivolous. And Rule 12(b)(6) guarantees that a complaint that alleges sufficient facts will survive a motion to dismiss.</w:t>
      </w:r>
    </w:p>
    <w:p w14:paraId="5E172AAF" w14:textId="5B4F47AA" w:rsidR="00D43136" w:rsidRPr="00D43136" w:rsidRDefault="00D43136" w:rsidP="00D43136">
      <w:pPr>
        <w:spacing w:before="200" w:line="275" w:lineRule="atLeast"/>
        <w:jc w:val="both"/>
        <w:rPr>
          <w:rFonts w:ascii="Garamond" w:hAnsi="Garamond"/>
          <w:color w:val="000000" w:themeColor="text1"/>
        </w:rPr>
      </w:pPr>
      <w:bookmarkStart w:id="15" w:name="co_anchor_B92055479956_1"/>
      <w:bookmarkEnd w:id="15"/>
      <w:r w:rsidRPr="00D43136">
        <w:rPr>
          <w:rFonts w:ascii="Garamond" w:hAnsi="Garamond"/>
          <w:color w:val="000000" w:themeColor="text1"/>
        </w:rPr>
        <w:t>We agree with the district court</w:t>
      </w:r>
      <w:r w:rsidR="00E02A29" w:rsidRPr="00B53922">
        <w:rPr>
          <w:rFonts w:ascii="Garamond" w:hAnsi="Garamond"/>
          <w:color w:val="000000" w:themeColor="text1"/>
        </w:rPr>
        <w:t>’</w:t>
      </w:r>
      <w:r w:rsidRPr="00D43136">
        <w:rPr>
          <w:rFonts w:ascii="Garamond" w:hAnsi="Garamond"/>
          <w:color w:val="000000" w:themeColor="text1"/>
        </w:rPr>
        <w:t>s finding that Michigan</w:t>
      </w:r>
      <w:r w:rsidR="00E02A29" w:rsidRPr="00B53922">
        <w:rPr>
          <w:rFonts w:ascii="Garamond" w:hAnsi="Garamond"/>
          <w:color w:val="000000" w:themeColor="text1"/>
        </w:rPr>
        <w:t>’</w:t>
      </w:r>
      <w:r w:rsidRPr="00D43136">
        <w:rPr>
          <w:rFonts w:ascii="Garamond" w:hAnsi="Garamond"/>
          <w:color w:val="000000" w:themeColor="text1"/>
        </w:rPr>
        <w:t xml:space="preserve">s affidavit-of-merit requirement conflicts with the Federal Rules of Civil Procedure. The question in dispute is whether a plaintiff must provide an affidavit of merit in order to state a claim of medical malpractice. Directly relevant here is our recent decision </w:t>
      </w:r>
      <w:r w:rsidRPr="00D43136">
        <w:rPr>
          <w:rFonts w:ascii="Garamond" w:hAnsi="Garamond"/>
          <w:i/>
          <w:color w:val="000000" w:themeColor="text1"/>
        </w:rPr>
        <w:t>Gallivan</w:t>
      </w:r>
      <w:r w:rsidRPr="00D43136">
        <w:rPr>
          <w:rFonts w:ascii="Garamond" w:hAnsi="Garamond"/>
          <w:color w:val="000000" w:themeColor="text1"/>
        </w:rPr>
        <w:t xml:space="preserve">, in which we tackled an almost-identical Ohio affidavit-of-merit requirement. In </w:t>
      </w:r>
      <w:r w:rsidRPr="00D43136">
        <w:rPr>
          <w:rFonts w:ascii="Garamond" w:hAnsi="Garamond"/>
          <w:i/>
          <w:color w:val="000000" w:themeColor="text1"/>
        </w:rPr>
        <w:t>Gallivan</w:t>
      </w:r>
      <w:r w:rsidRPr="00D43136">
        <w:rPr>
          <w:rFonts w:ascii="Garamond" w:hAnsi="Garamond"/>
          <w:color w:val="000000" w:themeColor="text1"/>
        </w:rPr>
        <w:t>, we explained that Rules 8(a), 9, and 12(b)(6) do not require that plaintiffs file affidavits with their complaints in order to state a claim and held that these Federal Rules exclude other require</w:t>
      </w:r>
      <w:r w:rsidR="001B27C3" w:rsidRPr="00B53922">
        <w:rPr>
          <w:rFonts w:ascii="Garamond" w:hAnsi="Garamond"/>
          <w:color w:val="000000" w:themeColor="text1"/>
        </w:rPr>
        <w:softHyphen/>
      </w:r>
      <w:r w:rsidRPr="00D43136">
        <w:rPr>
          <w:rFonts w:ascii="Garamond" w:hAnsi="Garamond"/>
          <w:color w:val="000000" w:themeColor="text1"/>
        </w:rPr>
        <w:t xml:space="preserve">ments that must be satisfied for a complaint to state a claim. We thus concluded in </w:t>
      </w:r>
      <w:r w:rsidRPr="00D43136">
        <w:rPr>
          <w:rFonts w:ascii="Garamond" w:hAnsi="Garamond"/>
          <w:i/>
          <w:color w:val="000000" w:themeColor="text1"/>
        </w:rPr>
        <w:t>Gallivan</w:t>
      </w:r>
      <w:r w:rsidRPr="00D43136">
        <w:rPr>
          <w:rFonts w:ascii="Garamond" w:hAnsi="Garamond"/>
          <w:color w:val="000000" w:themeColor="text1"/>
        </w:rPr>
        <w:t xml:space="preserve"> that Rules 8(a), 9, and 12(b)(6) answer this question in dispute. We reach the same conclusion in the present case. Our decision is bolstered by Rule 11, which states outright that </w:t>
      </w:r>
      <w:r w:rsidR="00E02A29" w:rsidRPr="00B53922">
        <w:rPr>
          <w:rFonts w:ascii="Garamond" w:hAnsi="Garamond"/>
          <w:color w:val="000000" w:themeColor="text1"/>
        </w:rPr>
        <w:t>“</w:t>
      </w:r>
      <w:r w:rsidRPr="00D43136">
        <w:rPr>
          <w:rFonts w:ascii="Garamond" w:hAnsi="Garamond"/>
          <w:color w:val="000000" w:themeColor="text1"/>
        </w:rPr>
        <w:t>a pleading need not be verified or accompanied by an affidavit.</w:t>
      </w:r>
      <w:r w:rsidR="00E02A29" w:rsidRPr="00B53922">
        <w:rPr>
          <w:rFonts w:ascii="Garamond" w:hAnsi="Garamond"/>
          <w:color w:val="000000" w:themeColor="text1"/>
        </w:rPr>
        <w:t>”</w:t>
      </w:r>
      <w:r w:rsidRPr="00D43136">
        <w:rPr>
          <w:rFonts w:ascii="Garamond" w:hAnsi="Garamond"/>
          <w:color w:val="000000" w:themeColor="text1"/>
        </w:rPr>
        <w:t xml:space="preserve"> Because § 600.2912d collides with Rul</w:t>
      </w:r>
      <w:r w:rsidRPr="00D43136">
        <w:rPr>
          <w:rFonts w:ascii="Garamond" w:hAnsi="Garamond"/>
          <w:color w:val="000000" w:themeColor="text1"/>
        </w:rPr>
        <w:t>e</w:t>
      </w:r>
      <w:r w:rsidRPr="00D43136">
        <w:rPr>
          <w:rFonts w:ascii="Garamond" w:hAnsi="Garamond"/>
          <w:color w:val="000000" w:themeColor="text1"/>
        </w:rPr>
        <w:t>s 8(a), 9, 11, and 12(b)(6), we hold that Michigan</w:t>
      </w:r>
      <w:r w:rsidR="00E02A29" w:rsidRPr="00B53922">
        <w:rPr>
          <w:rFonts w:ascii="Garamond" w:hAnsi="Garamond"/>
          <w:color w:val="000000" w:themeColor="text1"/>
        </w:rPr>
        <w:t>’</w:t>
      </w:r>
      <w:r w:rsidRPr="00D43136">
        <w:rPr>
          <w:rFonts w:ascii="Garamond" w:hAnsi="Garamond"/>
          <w:color w:val="000000" w:themeColor="text1"/>
        </w:rPr>
        <w:t>s affidavit-of-merit requirement does not apply in federal court.</w:t>
      </w:r>
    </w:p>
    <w:p w14:paraId="1A62FADB" w14:textId="0339D624" w:rsidR="00D43136" w:rsidRPr="00D43136" w:rsidRDefault="00D43136" w:rsidP="00D43136">
      <w:pPr>
        <w:spacing w:before="200" w:line="275" w:lineRule="atLeast"/>
        <w:jc w:val="both"/>
        <w:rPr>
          <w:rFonts w:ascii="Garamond" w:hAnsi="Garamond"/>
          <w:color w:val="000000" w:themeColor="text1"/>
        </w:rPr>
      </w:pPr>
      <w:bookmarkStart w:id="16" w:name="co_anchor_B102055479956_1"/>
      <w:bookmarkEnd w:id="16"/>
      <w:r w:rsidRPr="00D43136">
        <w:rPr>
          <w:rFonts w:ascii="Garamond" w:hAnsi="Garamond"/>
          <w:color w:val="000000" w:themeColor="text1"/>
        </w:rPr>
        <w:t>We disagree, however, with the district court</w:t>
      </w:r>
      <w:r w:rsidR="00E02A29" w:rsidRPr="00B53922">
        <w:rPr>
          <w:rFonts w:ascii="Garamond" w:hAnsi="Garamond"/>
          <w:color w:val="000000" w:themeColor="text1"/>
        </w:rPr>
        <w:t>’</w:t>
      </w:r>
      <w:r w:rsidRPr="00D43136">
        <w:rPr>
          <w:rFonts w:ascii="Garamond" w:hAnsi="Garamond"/>
          <w:color w:val="000000" w:themeColor="text1"/>
        </w:rPr>
        <w:t>s treatment of Michigan</w:t>
      </w:r>
      <w:r w:rsidR="00E02A29" w:rsidRPr="00B53922">
        <w:rPr>
          <w:rFonts w:ascii="Garamond" w:hAnsi="Garamond"/>
          <w:color w:val="000000" w:themeColor="text1"/>
        </w:rPr>
        <w:t>’</w:t>
      </w:r>
      <w:r w:rsidRPr="00D43136">
        <w:rPr>
          <w:rFonts w:ascii="Garamond" w:hAnsi="Garamond"/>
          <w:color w:val="000000" w:themeColor="text1"/>
        </w:rPr>
        <w:t xml:space="preserve">s presuit-notice requirement. </w:t>
      </w:r>
      <w:r w:rsidR="00E02A29" w:rsidRPr="00B53922">
        <w:rPr>
          <w:rFonts w:ascii="Garamond" w:hAnsi="Garamond"/>
          <w:color w:val="000000" w:themeColor="text1"/>
        </w:rPr>
        <w:t>“</w:t>
      </w:r>
      <w:r w:rsidRPr="00D43136">
        <w:rPr>
          <w:rFonts w:ascii="Garamond" w:hAnsi="Garamond"/>
          <w:color w:val="000000" w:themeColor="text1"/>
        </w:rPr>
        <w:t xml:space="preserve">Under </w:t>
      </w:r>
      <w:r w:rsidRPr="00D43136">
        <w:rPr>
          <w:rFonts w:ascii="Garamond" w:hAnsi="Garamond"/>
          <w:i/>
          <w:color w:val="000000" w:themeColor="text1"/>
        </w:rPr>
        <w:t>Shady Grove</w:t>
      </w:r>
      <w:r w:rsidRPr="00D43136">
        <w:rPr>
          <w:rFonts w:ascii="Garamond" w:hAnsi="Garamond"/>
          <w:color w:val="000000" w:themeColor="text1"/>
        </w:rPr>
        <w:t xml:space="preserve">, what matters is whether the </w:t>
      </w:r>
      <w:r w:rsidR="00E02A29" w:rsidRPr="00B53922">
        <w:rPr>
          <w:rFonts w:ascii="Garamond" w:hAnsi="Garamond"/>
          <w:color w:val="000000" w:themeColor="text1"/>
        </w:rPr>
        <w:t>‘</w:t>
      </w:r>
      <w:r w:rsidRPr="00D43136">
        <w:rPr>
          <w:rFonts w:ascii="Garamond" w:hAnsi="Garamond"/>
          <w:color w:val="000000" w:themeColor="text1"/>
        </w:rPr>
        <w:t>one-size-fits-all formula</w:t>
      </w:r>
      <w:r w:rsidR="00E02A29" w:rsidRPr="00B53922">
        <w:rPr>
          <w:rFonts w:ascii="Garamond" w:hAnsi="Garamond"/>
          <w:color w:val="000000" w:themeColor="text1"/>
        </w:rPr>
        <w:t>’</w:t>
      </w:r>
      <w:r w:rsidRPr="00D43136">
        <w:rPr>
          <w:rFonts w:ascii="Garamond" w:hAnsi="Garamond"/>
          <w:color w:val="000000" w:themeColor="text1"/>
        </w:rPr>
        <w:t xml:space="preserve"> for filing and maintaining a complaint set out by the Federal Rules is enough to </w:t>
      </w:r>
      <w:r w:rsidR="00E02A29" w:rsidRPr="00B53922">
        <w:rPr>
          <w:rFonts w:ascii="Garamond" w:hAnsi="Garamond"/>
          <w:color w:val="000000" w:themeColor="text1"/>
        </w:rPr>
        <w:t>‘</w:t>
      </w:r>
      <w:r w:rsidRPr="00D43136">
        <w:rPr>
          <w:rFonts w:ascii="Garamond" w:hAnsi="Garamond"/>
          <w:color w:val="000000" w:themeColor="text1"/>
        </w:rPr>
        <w:t>provide[ ] an answer</w:t>
      </w:r>
      <w:r w:rsidR="00E02A29" w:rsidRPr="00B53922">
        <w:rPr>
          <w:rFonts w:ascii="Garamond" w:hAnsi="Garamond"/>
          <w:color w:val="000000" w:themeColor="text1"/>
        </w:rPr>
        <w:t>’</w:t>
      </w:r>
      <w:r w:rsidRPr="00D43136">
        <w:rPr>
          <w:rFonts w:ascii="Garamond" w:hAnsi="Garamond"/>
          <w:color w:val="000000" w:themeColor="text1"/>
        </w:rPr>
        <w:t xml:space="preserve"> to the question at issue:</w:t>
      </w:r>
      <w:r w:rsidR="00E02A29" w:rsidRPr="00B53922">
        <w:rPr>
          <w:rFonts w:ascii="Garamond" w:hAnsi="Garamond"/>
          <w:color w:val="000000" w:themeColor="text1"/>
        </w:rPr>
        <w:t>”</w:t>
      </w:r>
      <w:r w:rsidRPr="00D43136">
        <w:rPr>
          <w:rFonts w:ascii="Garamond" w:hAnsi="Garamond"/>
          <w:color w:val="000000" w:themeColor="text1"/>
        </w:rPr>
        <w:t xml:space="preserve"> whether Albright must supply presuit notice to file a lawsuit. </w:t>
      </w:r>
      <w:r w:rsidRPr="00D43136">
        <w:rPr>
          <w:rFonts w:ascii="Garamond" w:hAnsi="Garamond"/>
          <w:i/>
          <w:color w:val="000000" w:themeColor="text1"/>
        </w:rPr>
        <w:t>Pledger v. Lynch</w:t>
      </w:r>
      <w:r w:rsidRPr="00D43136">
        <w:rPr>
          <w:rFonts w:ascii="Garamond" w:hAnsi="Garamond"/>
          <w:color w:val="000000" w:themeColor="text1"/>
        </w:rPr>
        <w:t xml:space="preserve"> (4th Cir. 2021).</w:t>
      </w:r>
    </w:p>
    <w:p w14:paraId="0FBA021F" w14:textId="4D0899FB"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 xml:space="preserve">Of the relevant Federal Rules, Rule 3 most obviously resolves this disputed question. That rule requires only the filing of a complaint to commence an action—nothing more. </w:t>
      </w:r>
      <w:r w:rsidRPr="00D43136">
        <w:rPr>
          <w:rFonts w:ascii="Garamond" w:hAnsi="Garamond"/>
          <w:i/>
          <w:color w:val="000000" w:themeColor="text1"/>
        </w:rPr>
        <w:t>Compare</w:t>
      </w:r>
      <w:r w:rsidRPr="00D43136">
        <w:rPr>
          <w:rFonts w:ascii="Garamond" w:hAnsi="Garamond"/>
          <w:color w:val="000000" w:themeColor="text1"/>
        </w:rPr>
        <w:t xml:space="preserve"> Fed. R. Civ. P. 3 (</w:t>
      </w:r>
      <w:r w:rsidR="00E02A29" w:rsidRPr="00B53922">
        <w:rPr>
          <w:rFonts w:ascii="Garamond" w:hAnsi="Garamond"/>
          <w:color w:val="000000" w:themeColor="text1"/>
        </w:rPr>
        <w:t>“</w:t>
      </w:r>
      <w:r w:rsidRPr="00D43136">
        <w:rPr>
          <w:rFonts w:ascii="Garamond" w:hAnsi="Garamond"/>
          <w:color w:val="000000" w:themeColor="text1"/>
        </w:rPr>
        <w:t xml:space="preserve">A </w:t>
      </w:r>
      <w:r w:rsidRPr="00D43136">
        <w:rPr>
          <w:rFonts w:ascii="Garamond" w:hAnsi="Garamond"/>
          <w:color w:val="000000" w:themeColor="text1"/>
        </w:rPr>
        <w:lastRenderedPageBreak/>
        <w:t xml:space="preserve">civil action </w:t>
      </w:r>
      <w:r w:rsidRPr="00D43136">
        <w:rPr>
          <w:rFonts w:ascii="Garamond" w:hAnsi="Garamond"/>
          <w:i/>
          <w:color w:val="000000" w:themeColor="text1"/>
        </w:rPr>
        <w:t>is commenced</w:t>
      </w:r>
      <w:r w:rsidRPr="00D43136">
        <w:rPr>
          <w:rFonts w:ascii="Garamond" w:hAnsi="Garamond"/>
          <w:color w:val="000000" w:themeColor="text1"/>
        </w:rPr>
        <w:t xml:space="preserve"> by filing a complaint with the court</w:t>
      </w:r>
      <w:r w:rsidR="00E02A29" w:rsidRPr="00B53922">
        <w:rPr>
          <w:rFonts w:ascii="Garamond" w:hAnsi="Garamond"/>
          <w:color w:val="000000" w:themeColor="text1"/>
        </w:rPr>
        <w:t>”</w:t>
      </w:r>
      <w:r w:rsidRPr="00D43136">
        <w:rPr>
          <w:rFonts w:ascii="Garamond" w:hAnsi="Garamond"/>
          <w:color w:val="000000" w:themeColor="text1"/>
        </w:rPr>
        <w:t xml:space="preserve"> (emphasis added)) and </w:t>
      </w:r>
      <w:r w:rsidRPr="00D43136">
        <w:rPr>
          <w:rFonts w:ascii="Garamond" w:hAnsi="Garamond"/>
          <w:i/>
          <w:color w:val="000000" w:themeColor="text1"/>
        </w:rPr>
        <w:t>id.</w:t>
      </w:r>
      <w:r w:rsidRPr="00D43136">
        <w:rPr>
          <w:rFonts w:ascii="Garamond" w:hAnsi="Garamond"/>
          <w:color w:val="000000" w:themeColor="text1"/>
        </w:rPr>
        <w:t xml:space="preserve"> advisory com</w:t>
      </w:r>
      <w:r w:rsidR="00380D82" w:rsidRPr="00B53922">
        <w:rPr>
          <w:rFonts w:ascii="Garamond" w:hAnsi="Garamond"/>
          <w:color w:val="000000" w:themeColor="text1"/>
        </w:rPr>
        <w:softHyphen/>
      </w:r>
      <w:r w:rsidRPr="00D43136">
        <w:rPr>
          <w:rFonts w:ascii="Garamond" w:hAnsi="Garamond"/>
          <w:color w:val="000000" w:themeColor="text1"/>
        </w:rPr>
        <w:t>mittee</w:t>
      </w:r>
      <w:r w:rsidR="00E02A29" w:rsidRPr="00B53922">
        <w:rPr>
          <w:rFonts w:ascii="Garamond" w:hAnsi="Garamond"/>
          <w:color w:val="000000" w:themeColor="text1"/>
        </w:rPr>
        <w:t>’</w:t>
      </w:r>
      <w:r w:rsidRPr="00D43136">
        <w:rPr>
          <w:rFonts w:ascii="Garamond" w:hAnsi="Garamond"/>
          <w:color w:val="000000" w:themeColor="text1"/>
        </w:rPr>
        <w:t>s note to 1937 adoption (</w:t>
      </w:r>
      <w:r w:rsidR="00E02A29" w:rsidRPr="00B53922">
        <w:rPr>
          <w:rFonts w:ascii="Garamond" w:hAnsi="Garamond"/>
          <w:color w:val="000000" w:themeColor="text1"/>
        </w:rPr>
        <w:t>“</w:t>
      </w:r>
      <w:r w:rsidRPr="00D43136">
        <w:rPr>
          <w:rFonts w:ascii="Garamond" w:hAnsi="Garamond"/>
          <w:color w:val="000000" w:themeColor="text1"/>
        </w:rPr>
        <w:t xml:space="preserve">[Rule 3] provides that the </w:t>
      </w:r>
      <w:r w:rsidRPr="00D43136">
        <w:rPr>
          <w:rFonts w:ascii="Garamond" w:hAnsi="Garamond"/>
          <w:i/>
          <w:color w:val="000000" w:themeColor="text1"/>
        </w:rPr>
        <w:t>first step in an action</w:t>
      </w:r>
      <w:r w:rsidRPr="00D43136">
        <w:rPr>
          <w:rFonts w:ascii="Garamond" w:hAnsi="Garamond"/>
          <w:color w:val="000000" w:themeColor="text1"/>
        </w:rPr>
        <w:t xml:space="preserve"> is the filing of the complaint.</w:t>
      </w:r>
      <w:r w:rsidR="00E02A29" w:rsidRPr="00B53922">
        <w:rPr>
          <w:rFonts w:ascii="Garamond" w:hAnsi="Garamond"/>
          <w:color w:val="000000" w:themeColor="text1"/>
        </w:rPr>
        <w:t>”</w:t>
      </w:r>
      <w:r w:rsidRPr="00D43136">
        <w:rPr>
          <w:rFonts w:ascii="Garamond" w:hAnsi="Garamond"/>
          <w:color w:val="000000" w:themeColor="text1"/>
        </w:rPr>
        <w:t xml:space="preserve"> (emphasis added)), </w:t>
      </w:r>
      <w:r w:rsidRPr="00D43136">
        <w:rPr>
          <w:rFonts w:ascii="Garamond" w:hAnsi="Garamond"/>
          <w:i/>
          <w:color w:val="000000" w:themeColor="text1"/>
        </w:rPr>
        <w:t>with</w:t>
      </w:r>
      <w:r w:rsidRPr="00D43136">
        <w:rPr>
          <w:rFonts w:ascii="Garamond" w:hAnsi="Garamond"/>
          <w:color w:val="000000" w:themeColor="text1"/>
        </w:rPr>
        <w:t xml:space="preserve"> Mich. Comp. Laws § 600.2912b (</w:t>
      </w:r>
      <w:r w:rsidR="00E02A29" w:rsidRPr="00B53922">
        <w:rPr>
          <w:rFonts w:ascii="Garamond" w:hAnsi="Garamond"/>
          <w:color w:val="000000" w:themeColor="text1"/>
        </w:rPr>
        <w:t>“</w:t>
      </w:r>
      <w:r w:rsidRPr="00D43136">
        <w:rPr>
          <w:rFonts w:ascii="Garamond" w:hAnsi="Garamond"/>
          <w:color w:val="000000" w:themeColor="text1"/>
        </w:rPr>
        <w:t xml:space="preserve">[A] person </w:t>
      </w:r>
      <w:r w:rsidRPr="00D43136">
        <w:rPr>
          <w:rFonts w:ascii="Garamond" w:hAnsi="Garamond"/>
          <w:i/>
          <w:color w:val="000000" w:themeColor="text1"/>
        </w:rPr>
        <w:t>shall not commence an action</w:t>
      </w:r>
      <w:r w:rsidRPr="00D43136">
        <w:rPr>
          <w:rFonts w:ascii="Garamond" w:hAnsi="Garamond"/>
          <w:color w:val="000000" w:themeColor="text1"/>
        </w:rPr>
        <w:t xml:space="preserve"> alleging medical malpractice against a health professional or health facility unless the person has given the health professional or health facility written notice under this section not less than 182 days before the action is commenced.</w:t>
      </w:r>
      <w:r w:rsidR="00E02A29" w:rsidRPr="00B53922">
        <w:rPr>
          <w:rFonts w:ascii="Garamond" w:hAnsi="Garamond"/>
          <w:color w:val="000000" w:themeColor="text1"/>
        </w:rPr>
        <w:t>”</w:t>
      </w:r>
      <w:r w:rsidRPr="00D43136">
        <w:rPr>
          <w:rFonts w:ascii="Garamond" w:hAnsi="Garamond"/>
          <w:color w:val="000000" w:themeColor="text1"/>
        </w:rPr>
        <w:t xml:space="preserve"> (emphasis added)); </w:t>
      </w:r>
      <w:r w:rsidRPr="00D43136">
        <w:rPr>
          <w:rFonts w:ascii="Garamond" w:hAnsi="Garamond"/>
          <w:i/>
          <w:color w:val="000000" w:themeColor="text1"/>
        </w:rPr>
        <w:t>see also</w:t>
      </w:r>
      <w:r w:rsidRPr="00D43136">
        <w:rPr>
          <w:rFonts w:ascii="Garamond" w:hAnsi="Garamond"/>
          <w:color w:val="000000" w:themeColor="text1"/>
        </w:rPr>
        <w:t xml:space="preserve"> 4 Wright</w:t>
      </w:r>
      <w:r w:rsidR="00521C2F" w:rsidRPr="00B53922">
        <w:rPr>
          <w:rFonts w:ascii="Garamond" w:hAnsi="Garamond"/>
          <w:color w:val="000000" w:themeColor="text1"/>
        </w:rPr>
        <w:t xml:space="preserve"> et al.</w:t>
      </w:r>
      <w:r w:rsidRPr="00D43136">
        <w:rPr>
          <w:rFonts w:ascii="Garamond" w:hAnsi="Garamond"/>
          <w:color w:val="000000" w:themeColor="text1"/>
        </w:rPr>
        <w:t>, Federal Practice and Procedure § 1052 (2021) (</w:t>
      </w:r>
      <w:r w:rsidR="00E02A29" w:rsidRPr="00B53922">
        <w:rPr>
          <w:rFonts w:ascii="Garamond" w:hAnsi="Garamond"/>
          <w:color w:val="000000" w:themeColor="text1"/>
        </w:rPr>
        <w:t>“</w:t>
      </w:r>
      <w:r w:rsidRPr="00D43136">
        <w:rPr>
          <w:rFonts w:ascii="Garamond" w:hAnsi="Garamond"/>
          <w:color w:val="000000" w:themeColor="text1"/>
        </w:rPr>
        <w:t>In federal actions based on diversity of citizenship jurisdiction, federal courts apply state law to decide when a lawsuit was com</w:t>
      </w:r>
      <w:r w:rsidR="00EB720B" w:rsidRPr="00B53922">
        <w:rPr>
          <w:rFonts w:ascii="Garamond" w:hAnsi="Garamond"/>
          <w:color w:val="000000" w:themeColor="text1"/>
        </w:rPr>
        <w:softHyphen/>
      </w:r>
      <w:r w:rsidRPr="00D43136">
        <w:rPr>
          <w:rFonts w:ascii="Garamond" w:hAnsi="Garamond"/>
          <w:color w:val="000000" w:themeColor="text1"/>
        </w:rPr>
        <w:t xml:space="preserve">menced for purposes of computing limitations periods, as prescribed by the Supreme Court in </w:t>
      </w:r>
      <w:r w:rsidRPr="00D43136">
        <w:rPr>
          <w:rFonts w:ascii="Garamond" w:hAnsi="Garamond"/>
          <w:i/>
          <w:iCs/>
          <w:color w:val="000000" w:themeColor="text1"/>
        </w:rPr>
        <w:t>Walker v. Armco Steel Corporation</w:t>
      </w:r>
      <w:r w:rsidR="00462D8C">
        <w:rPr>
          <w:rFonts w:ascii="Garamond" w:hAnsi="Garamond"/>
          <w:i/>
          <w:iCs/>
          <w:color w:val="000000" w:themeColor="text1"/>
        </w:rPr>
        <w:t xml:space="preserve"> </w:t>
      </w:r>
      <w:r w:rsidR="00462D8C">
        <w:rPr>
          <w:rFonts w:ascii="Garamond" w:hAnsi="Garamond"/>
          <w:color w:val="000000" w:themeColor="text1"/>
        </w:rPr>
        <w:t>[(U.S. 1980)]</w:t>
      </w:r>
      <w:r w:rsidRPr="00D43136">
        <w:rPr>
          <w:rFonts w:ascii="Garamond" w:hAnsi="Garamond"/>
          <w:color w:val="000000" w:themeColor="text1"/>
        </w:rPr>
        <w:t>. Other than that, what constitutes filing under Rule 3 is governed by federal law.</w:t>
      </w:r>
      <w:r w:rsidR="00E02A29" w:rsidRPr="00B53922">
        <w:rPr>
          <w:rFonts w:ascii="Garamond" w:hAnsi="Garamond"/>
          <w:color w:val="000000" w:themeColor="text1"/>
        </w:rPr>
        <w:t>”</w:t>
      </w:r>
      <w:r w:rsidRPr="00D43136">
        <w:rPr>
          <w:rFonts w:ascii="Garamond" w:hAnsi="Garamond"/>
          <w:color w:val="000000" w:themeColor="text1"/>
        </w:rPr>
        <w:t>).</w:t>
      </w:r>
    </w:p>
    <w:p w14:paraId="2F61BEF2" w14:textId="0963071B" w:rsidR="00D43136" w:rsidRPr="00D43136" w:rsidRDefault="00D43136" w:rsidP="00D43136">
      <w:pPr>
        <w:spacing w:before="200" w:line="275" w:lineRule="atLeast"/>
        <w:jc w:val="both"/>
        <w:rPr>
          <w:rFonts w:ascii="Garamond" w:hAnsi="Garamond"/>
          <w:color w:val="000000" w:themeColor="text1"/>
        </w:rPr>
      </w:pPr>
      <w:bookmarkStart w:id="17" w:name="co_anchor_B112055479956_1"/>
      <w:bookmarkEnd w:id="17"/>
      <w:r w:rsidRPr="00D43136">
        <w:rPr>
          <w:rFonts w:ascii="Garamond" w:hAnsi="Garamond"/>
          <w:color w:val="000000" w:themeColor="text1"/>
        </w:rPr>
        <w:t xml:space="preserve">The dissent argues that presuit notice is a </w:t>
      </w:r>
      <w:r w:rsidRPr="00D43136">
        <w:rPr>
          <w:rFonts w:ascii="Garamond" w:hAnsi="Garamond"/>
          <w:i/>
          <w:color w:val="000000" w:themeColor="text1"/>
        </w:rPr>
        <w:t>prerequisite</w:t>
      </w:r>
      <w:r w:rsidRPr="00D43136">
        <w:rPr>
          <w:rFonts w:ascii="Garamond" w:hAnsi="Garamond"/>
          <w:color w:val="000000" w:themeColor="text1"/>
        </w:rPr>
        <w:t xml:space="preserve"> to the commencement of a medical malpractice suit and therefore does not conflict with Rule 3. In interpreting the presuit notice provision, however, the Michigan Supreme Court explained: </w:t>
      </w:r>
      <w:r w:rsidR="00E02A29" w:rsidRPr="00B53922">
        <w:rPr>
          <w:rFonts w:ascii="Garamond" w:hAnsi="Garamond"/>
          <w:color w:val="000000" w:themeColor="text1"/>
        </w:rPr>
        <w:t>“</w:t>
      </w:r>
      <w:r w:rsidRPr="00D43136">
        <w:rPr>
          <w:rFonts w:ascii="Garamond" w:hAnsi="Garamond"/>
          <w:color w:val="000000" w:themeColor="text1"/>
        </w:rPr>
        <w:t>Although a civil action is generally commenced by filing a complaint, a medical malpractice action can only be commenced by filing a timely [notice of intent] and then filing a complaint and an affidavit of merit .</w:t>
      </w:r>
      <w:r w:rsidR="00410030" w:rsidRPr="00B53922">
        <w:rPr>
          <w:rFonts w:ascii="Garamond" w:hAnsi="Garamond"/>
          <w:color w:val="000000" w:themeColor="text1"/>
        </w:rPr>
        <w:t xml:space="preserve"> </w:t>
      </w:r>
      <w:r w:rsidRPr="00D43136">
        <w:rPr>
          <w:rFonts w:ascii="Garamond" w:hAnsi="Garamond"/>
          <w:color w:val="000000" w:themeColor="text1"/>
        </w:rPr>
        <w:t>.</w:t>
      </w:r>
      <w:r w:rsidR="00410030" w:rsidRPr="00B53922">
        <w:rPr>
          <w:rFonts w:ascii="Garamond" w:hAnsi="Garamond"/>
          <w:color w:val="000000" w:themeColor="text1"/>
        </w:rPr>
        <w:t xml:space="preserve"> </w:t>
      </w:r>
      <w:r w:rsidRPr="00D43136">
        <w:rPr>
          <w:rFonts w:ascii="Garamond" w:hAnsi="Garamond"/>
          <w:color w:val="000000" w:themeColor="text1"/>
        </w:rPr>
        <w:t>.</w:t>
      </w:r>
      <w:r w:rsidR="00410030" w:rsidRPr="00B53922">
        <w:rPr>
          <w:rFonts w:ascii="Garamond" w:hAnsi="Garamond"/>
          <w:color w:val="000000" w:themeColor="text1"/>
        </w:rPr>
        <w:t xml:space="preserve"> </w:t>
      </w:r>
      <w:r w:rsidRPr="00D43136">
        <w:rPr>
          <w:rFonts w:ascii="Garamond" w:hAnsi="Garamond"/>
          <w:color w:val="000000" w:themeColor="text1"/>
        </w:rPr>
        <w:t>.</w:t>
      </w:r>
      <w:r w:rsidR="00E02A29" w:rsidRPr="00B53922">
        <w:rPr>
          <w:rFonts w:ascii="Garamond" w:hAnsi="Garamond"/>
          <w:color w:val="000000" w:themeColor="text1"/>
        </w:rPr>
        <w:t>”</w:t>
      </w:r>
      <w:r w:rsidRPr="00D43136">
        <w:rPr>
          <w:rFonts w:ascii="Garamond" w:hAnsi="Garamond"/>
          <w:color w:val="000000" w:themeColor="text1"/>
        </w:rPr>
        <w:t xml:space="preserve"> </w:t>
      </w:r>
      <w:r w:rsidRPr="00D43136">
        <w:rPr>
          <w:rFonts w:ascii="Garamond" w:hAnsi="Garamond"/>
          <w:i/>
          <w:color w:val="000000" w:themeColor="text1"/>
        </w:rPr>
        <w:t>Tyra v. Organ Procurement Agency of Mich.</w:t>
      </w:r>
      <w:r w:rsidRPr="00D43136">
        <w:rPr>
          <w:rFonts w:ascii="Garamond" w:hAnsi="Garamond"/>
          <w:color w:val="000000" w:themeColor="text1"/>
        </w:rPr>
        <w:t xml:space="preserve"> (</w:t>
      </w:r>
      <w:r w:rsidR="00410030" w:rsidRPr="00B53922">
        <w:rPr>
          <w:rFonts w:ascii="Garamond" w:hAnsi="Garamond"/>
          <w:color w:val="000000" w:themeColor="text1"/>
        </w:rPr>
        <w:t xml:space="preserve">Mich. </w:t>
      </w:r>
      <w:r w:rsidRPr="00D43136">
        <w:rPr>
          <w:rFonts w:ascii="Garamond" w:hAnsi="Garamond"/>
          <w:color w:val="000000" w:themeColor="text1"/>
        </w:rPr>
        <w:t>2015). The Michigan Supreme Court held that, for the purposes of determining how a civil action is commenced, the specific requirements of § 600.2912b(1) controlled over the more general terms of Mich. Comp. Laws § 600.1901, which is identical to Federal Rule 3. The Michigan Supreme Court</w:t>
      </w:r>
      <w:r w:rsidR="00E02A29" w:rsidRPr="00B53922">
        <w:rPr>
          <w:rFonts w:ascii="Garamond" w:hAnsi="Garamond"/>
          <w:color w:val="000000" w:themeColor="text1"/>
        </w:rPr>
        <w:t>’</w:t>
      </w:r>
      <w:r w:rsidRPr="00D43136">
        <w:rPr>
          <w:rFonts w:ascii="Garamond" w:hAnsi="Garamond"/>
          <w:color w:val="000000" w:themeColor="text1"/>
        </w:rPr>
        <w:t>s interpretation of this provision underscores its conflict with Rule 3.</w:t>
      </w:r>
    </w:p>
    <w:p w14:paraId="60C4694A" w14:textId="530FE76B"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i/>
          <w:color w:val="000000" w:themeColor="text1"/>
        </w:rPr>
        <w:t>Walker</w:t>
      </w:r>
      <w:r w:rsidRPr="00D43136">
        <w:rPr>
          <w:rFonts w:ascii="Garamond" w:hAnsi="Garamond"/>
          <w:color w:val="000000" w:themeColor="text1"/>
        </w:rPr>
        <w:t xml:space="preserve"> addresses a different question than the one at issue in this case. The </w:t>
      </w:r>
      <w:r w:rsidRPr="00D43136">
        <w:rPr>
          <w:rFonts w:ascii="Garamond" w:hAnsi="Garamond"/>
          <w:i/>
          <w:color w:val="000000" w:themeColor="text1"/>
        </w:rPr>
        <w:t>Walker</w:t>
      </w:r>
      <w:r w:rsidRPr="00D43136">
        <w:rPr>
          <w:rFonts w:ascii="Garamond" w:hAnsi="Garamond"/>
          <w:color w:val="000000" w:themeColor="text1"/>
        </w:rPr>
        <w:t xml:space="preserve"> Court considered whether Rule 3 conflicted with an Oklahoma statute that stated that the date of the commencement of an action for statute-of-limitations purposes turns on when the defendant is served. The Court explained that Rule 3 does not affect a state statute </w:t>
      </w:r>
      <w:r w:rsidRPr="00D43136">
        <w:rPr>
          <w:rFonts w:ascii="Garamond" w:hAnsi="Garamond"/>
          <w:color w:val="000000" w:themeColor="text1"/>
        </w:rPr>
        <w:t>of limitations.</w:t>
      </w:r>
      <w:r w:rsidR="001247CA" w:rsidRPr="00B53922">
        <w:rPr>
          <w:rFonts w:ascii="Garamond" w:hAnsi="Garamond"/>
          <w:color w:val="000000" w:themeColor="text1"/>
        </w:rPr>
        <w:t xml:space="preserve"> </w:t>
      </w:r>
      <w:r w:rsidRPr="00D43136">
        <w:rPr>
          <w:rFonts w:ascii="Garamond" w:hAnsi="Garamond"/>
          <w:color w:val="000000" w:themeColor="text1"/>
        </w:rPr>
        <w:t>But Section 600.2912b is disting</w:t>
      </w:r>
      <w:r w:rsidR="00F70AC3" w:rsidRPr="00B53922">
        <w:rPr>
          <w:rFonts w:ascii="Garamond" w:hAnsi="Garamond"/>
          <w:color w:val="000000" w:themeColor="text1"/>
        </w:rPr>
        <w:softHyphen/>
      </w:r>
      <w:r w:rsidRPr="00D43136">
        <w:rPr>
          <w:rFonts w:ascii="Garamond" w:hAnsi="Garamond"/>
          <w:color w:val="000000" w:themeColor="text1"/>
        </w:rPr>
        <w:t>uish</w:t>
      </w:r>
      <w:r w:rsidR="00BF59C1" w:rsidRPr="00B53922">
        <w:rPr>
          <w:rFonts w:ascii="Garamond" w:hAnsi="Garamond"/>
          <w:color w:val="000000" w:themeColor="text1"/>
        </w:rPr>
        <w:softHyphen/>
      </w:r>
      <w:r w:rsidRPr="00D43136">
        <w:rPr>
          <w:rFonts w:ascii="Garamond" w:hAnsi="Garamond"/>
          <w:color w:val="000000" w:themeColor="text1"/>
        </w:rPr>
        <w:t xml:space="preserve">able from the Oklahoma statute in </w:t>
      </w:r>
      <w:r w:rsidRPr="00D43136">
        <w:rPr>
          <w:rFonts w:ascii="Garamond" w:hAnsi="Garamond"/>
          <w:i/>
          <w:color w:val="000000" w:themeColor="text1"/>
        </w:rPr>
        <w:t>Walker</w:t>
      </w:r>
      <w:r w:rsidRPr="00D43136">
        <w:rPr>
          <w:rFonts w:ascii="Garamond" w:hAnsi="Garamond"/>
          <w:color w:val="000000" w:themeColor="text1"/>
        </w:rPr>
        <w:t>. The Oklahoma statute affected the commencement of an action only for calculating the statute of limit</w:t>
      </w:r>
      <w:r w:rsidR="00602EB1" w:rsidRPr="00B53922">
        <w:rPr>
          <w:rFonts w:ascii="Garamond" w:hAnsi="Garamond"/>
          <w:color w:val="000000" w:themeColor="text1"/>
        </w:rPr>
        <w:softHyphen/>
      </w:r>
      <w:r w:rsidRPr="00D43136">
        <w:rPr>
          <w:rFonts w:ascii="Garamond" w:hAnsi="Garamond"/>
          <w:color w:val="000000" w:themeColor="text1"/>
        </w:rPr>
        <w:t>a</w:t>
      </w:r>
      <w:r w:rsidR="00602EB1" w:rsidRPr="00B53922">
        <w:rPr>
          <w:rFonts w:ascii="Garamond" w:hAnsi="Garamond"/>
          <w:color w:val="000000" w:themeColor="text1"/>
        </w:rPr>
        <w:softHyphen/>
      </w:r>
      <w:r w:rsidRPr="00D43136">
        <w:rPr>
          <w:rFonts w:ascii="Garamond" w:hAnsi="Garamond"/>
          <w:color w:val="000000" w:themeColor="text1"/>
        </w:rPr>
        <w:t xml:space="preserve">tions: it impacts </w:t>
      </w:r>
      <w:r w:rsidRPr="00D43136">
        <w:rPr>
          <w:rFonts w:ascii="Garamond" w:hAnsi="Garamond"/>
          <w:i/>
          <w:color w:val="000000" w:themeColor="text1"/>
        </w:rPr>
        <w:t>when</w:t>
      </w:r>
      <w:r w:rsidRPr="00D43136">
        <w:rPr>
          <w:rFonts w:ascii="Garamond" w:hAnsi="Garamond"/>
          <w:color w:val="000000" w:themeColor="text1"/>
        </w:rPr>
        <w:t xml:space="preserve"> a lawsuit is commenced. In contrast, the Michigan statute—like Rule 3—affects </w:t>
      </w:r>
      <w:r w:rsidRPr="00D43136">
        <w:rPr>
          <w:rFonts w:ascii="Garamond" w:hAnsi="Garamond"/>
          <w:i/>
          <w:color w:val="000000" w:themeColor="text1"/>
        </w:rPr>
        <w:t>how</w:t>
      </w:r>
      <w:r w:rsidRPr="00D43136">
        <w:rPr>
          <w:rFonts w:ascii="Garamond" w:hAnsi="Garamond"/>
          <w:color w:val="000000" w:themeColor="text1"/>
        </w:rPr>
        <w:t xml:space="preserve"> a lawsuit is commenced. Unlike the Oklahoma statute, the Michigan statute adds steps to the process of commencing an action. Because both Section 600.2912b and Rule 3 govern how a lawsuit is commenced, the two clearly conflict. </w:t>
      </w:r>
      <w:r w:rsidRPr="00D43136">
        <w:rPr>
          <w:rFonts w:ascii="Garamond" w:hAnsi="Garamond"/>
          <w:i/>
          <w:color w:val="000000" w:themeColor="text1"/>
        </w:rPr>
        <w:t>See Walker</w:t>
      </w:r>
      <w:r w:rsidR="00411C1A" w:rsidRPr="00B53922">
        <w:rPr>
          <w:rFonts w:ascii="Garamond" w:hAnsi="Garamond"/>
          <w:color w:val="000000" w:themeColor="text1"/>
        </w:rPr>
        <w:t xml:space="preserve"> </w:t>
      </w:r>
      <w:r w:rsidRPr="00D43136">
        <w:rPr>
          <w:rFonts w:ascii="Garamond" w:hAnsi="Garamond"/>
          <w:color w:val="000000" w:themeColor="text1"/>
        </w:rPr>
        <w:t>(</w:t>
      </w:r>
      <w:r w:rsidR="00E02A29" w:rsidRPr="00B53922">
        <w:rPr>
          <w:rFonts w:ascii="Garamond" w:hAnsi="Garamond"/>
          <w:color w:val="000000" w:themeColor="text1"/>
        </w:rPr>
        <w:t>“</w:t>
      </w:r>
      <w:r w:rsidRPr="00D43136">
        <w:rPr>
          <w:rFonts w:ascii="Garamond" w:hAnsi="Garamond"/>
          <w:color w:val="000000" w:themeColor="text1"/>
        </w:rPr>
        <w:t xml:space="preserve">The Federal Rules should be given their plain meaning. If a direct collision with state law arises from that plain meaning, then the analysis developed in </w:t>
      </w:r>
      <w:r w:rsidRPr="00D43136">
        <w:rPr>
          <w:rFonts w:ascii="Garamond" w:hAnsi="Garamond"/>
          <w:i/>
          <w:color w:val="000000" w:themeColor="text1"/>
        </w:rPr>
        <w:t>Hanna v. Plumer</w:t>
      </w:r>
      <w:r w:rsidRPr="00D43136">
        <w:rPr>
          <w:rFonts w:ascii="Garamond" w:hAnsi="Garamond"/>
          <w:color w:val="000000" w:themeColor="text1"/>
        </w:rPr>
        <w:t xml:space="preserve"> applies.</w:t>
      </w:r>
      <w:r w:rsidR="00E02A29" w:rsidRPr="00B53922">
        <w:rPr>
          <w:rFonts w:ascii="Garamond" w:hAnsi="Garamond"/>
          <w:color w:val="000000" w:themeColor="text1"/>
        </w:rPr>
        <w:t>”</w:t>
      </w:r>
      <w:r w:rsidRPr="00D43136">
        <w:rPr>
          <w:rFonts w:ascii="Garamond" w:hAnsi="Garamond"/>
          <w:color w:val="000000" w:themeColor="text1"/>
        </w:rPr>
        <w:t>).</w:t>
      </w:r>
      <w:r w:rsidR="005C0187" w:rsidRPr="00B53922">
        <w:rPr>
          <w:rFonts w:ascii="Garamond" w:hAnsi="Garamond"/>
          <w:color w:val="000000" w:themeColor="text1"/>
        </w:rPr>
        <w:t xml:space="preserve"> </w:t>
      </w:r>
    </w:p>
    <w:p w14:paraId="56AB840C" w14:textId="331C4AC4"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Federal Rules 8(a), 9, 11, and 12 are on point, too. In its interpretation of § 600.2912b, the Michigan Sup</w:t>
      </w:r>
      <w:r w:rsidR="005677FB" w:rsidRPr="00B53922">
        <w:rPr>
          <w:rFonts w:ascii="Garamond" w:hAnsi="Garamond"/>
          <w:color w:val="000000" w:themeColor="text1"/>
        </w:rPr>
        <w:softHyphen/>
      </w:r>
      <w:r w:rsidRPr="00D43136">
        <w:rPr>
          <w:rFonts w:ascii="Garamond" w:hAnsi="Garamond"/>
          <w:color w:val="000000" w:themeColor="text1"/>
        </w:rPr>
        <w:t xml:space="preserve">reme Court explained: </w:t>
      </w:r>
      <w:r w:rsidR="00E02A29" w:rsidRPr="00B53922">
        <w:rPr>
          <w:rFonts w:ascii="Garamond" w:hAnsi="Garamond"/>
          <w:color w:val="000000" w:themeColor="text1"/>
        </w:rPr>
        <w:t>“</w:t>
      </w:r>
      <w:r w:rsidRPr="00D43136">
        <w:rPr>
          <w:rFonts w:ascii="Garamond" w:hAnsi="Garamond"/>
          <w:color w:val="000000" w:themeColor="text1"/>
        </w:rPr>
        <w:t xml:space="preserve">the failure to comply with the [presuit-notice] requirement </w:t>
      </w:r>
      <w:r w:rsidRPr="00D43136">
        <w:rPr>
          <w:rFonts w:ascii="Garamond" w:hAnsi="Garamond"/>
          <w:i/>
          <w:color w:val="000000" w:themeColor="text1"/>
        </w:rPr>
        <w:t>renders the com</w:t>
      </w:r>
      <w:r w:rsidR="00164056" w:rsidRPr="00B53922">
        <w:rPr>
          <w:rFonts w:ascii="Garamond" w:hAnsi="Garamond"/>
          <w:i/>
          <w:color w:val="000000" w:themeColor="text1"/>
        </w:rPr>
        <w:softHyphen/>
      </w:r>
      <w:r w:rsidRPr="00D43136">
        <w:rPr>
          <w:rFonts w:ascii="Garamond" w:hAnsi="Garamond"/>
          <w:i/>
          <w:color w:val="000000" w:themeColor="text1"/>
        </w:rPr>
        <w:t>plaint insufficient to commence the action</w:t>
      </w:r>
      <w:r w:rsidRPr="00D43136">
        <w:rPr>
          <w:rFonts w:ascii="Garamond" w:hAnsi="Garamond"/>
          <w:color w:val="000000" w:themeColor="text1"/>
        </w:rPr>
        <w:t>.</w:t>
      </w:r>
      <w:r w:rsidR="00E02A29" w:rsidRPr="00B53922">
        <w:rPr>
          <w:rFonts w:ascii="Garamond" w:hAnsi="Garamond"/>
          <w:color w:val="000000" w:themeColor="text1"/>
        </w:rPr>
        <w:t>”</w:t>
      </w:r>
      <w:r w:rsidRPr="00D43136">
        <w:rPr>
          <w:rFonts w:ascii="Garamond" w:hAnsi="Garamond"/>
          <w:color w:val="000000" w:themeColor="text1"/>
        </w:rPr>
        <w:t xml:space="preserve"> </w:t>
      </w:r>
      <w:r w:rsidRPr="00D43136">
        <w:rPr>
          <w:rFonts w:ascii="Garamond" w:hAnsi="Garamond"/>
          <w:i/>
          <w:color w:val="000000" w:themeColor="text1"/>
        </w:rPr>
        <w:t>Burton v. Reed City Hosp. Corp.</w:t>
      </w:r>
      <w:r w:rsidR="005C0187" w:rsidRPr="00B53922">
        <w:rPr>
          <w:rFonts w:ascii="Garamond" w:hAnsi="Garamond"/>
          <w:color w:val="000000" w:themeColor="text1"/>
        </w:rPr>
        <w:t xml:space="preserve"> </w:t>
      </w:r>
      <w:r w:rsidRPr="00D43136">
        <w:rPr>
          <w:rFonts w:ascii="Garamond" w:hAnsi="Garamond"/>
          <w:color w:val="000000" w:themeColor="text1"/>
        </w:rPr>
        <w:t>(</w:t>
      </w:r>
      <w:r w:rsidR="005C0187" w:rsidRPr="00B53922">
        <w:rPr>
          <w:rFonts w:ascii="Garamond" w:hAnsi="Garamond"/>
          <w:color w:val="000000" w:themeColor="text1"/>
        </w:rPr>
        <w:t xml:space="preserve">Mich. </w:t>
      </w:r>
      <w:r w:rsidRPr="00D43136">
        <w:rPr>
          <w:rFonts w:ascii="Garamond" w:hAnsi="Garamond"/>
          <w:color w:val="000000" w:themeColor="text1"/>
        </w:rPr>
        <w:t>2005) (emphasis added). The state high court clearly applies § 600.2912b(1) as a pleading requirement.</w:t>
      </w:r>
    </w:p>
    <w:p w14:paraId="0CF59675" w14:textId="62483703"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Because Michigan applies the pre-suit notice require</w:t>
      </w:r>
      <w:r w:rsidR="00E551EB" w:rsidRPr="00B53922">
        <w:rPr>
          <w:rFonts w:ascii="Garamond" w:hAnsi="Garamond"/>
          <w:color w:val="000000" w:themeColor="text1"/>
        </w:rPr>
        <w:softHyphen/>
      </w:r>
      <w:r w:rsidRPr="00D43136">
        <w:rPr>
          <w:rFonts w:ascii="Garamond" w:hAnsi="Garamond"/>
          <w:color w:val="000000" w:themeColor="text1"/>
        </w:rPr>
        <w:t>ment as a pleading standard, we are also persuaded by the Fourth Circuit</w:t>
      </w:r>
      <w:r w:rsidR="00E02A29" w:rsidRPr="00B53922">
        <w:rPr>
          <w:rFonts w:ascii="Garamond" w:hAnsi="Garamond"/>
          <w:color w:val="000000" w:themeColor="text1"/>
        </w:rPr>
        <w:t>’</w:t>
      </w:r>
      <w:r w:rsidRPr="00D43136">
        <w:rPr>
          <w:rFonts w:ascii="Garamond" w:hAnsi="Garamond"/>
          <w:color w:val="000000" w:themeColor="text1"/>
        </w:rPr>
        <w:t xml:space="preserve">s recent decision in </w:t>
      </w:r>
      <w:r w:rsidRPr="00D43136">
        <w:rPr>
          <w:rFonts w:ascii="Garamond" w:hAnsi="Garamond"/>
          <w:i/>
          <w:color w:val="000000" w:themeColor="text1"/>
        </w:rPr>
        <w:t>Pledger.</w:t>
      </w:r>
      <w:r w:rsidRPr="00D43136">
        <w:rPr>
          <w:rFonts w:ascii="Garamond" w:hAnsi="Garamond"/>
          <w:color w:val="000000" w:themeColor="text1"/>
        </w:rPr>
        <w:t xml:space="preserve"> The </w:t>
      </w:r>
      <w:r w:rsidRPr="00D43136">
        <w:rPr>
          <w:rFonts w:ascii="Garamond" w:hAnsi="Garamond"/>
          <w:i/>
          <w:color w:val="000000" w:themeColor="text1"/>
        </w:rPr>
        <w:t>Pledger</w:t>
      </w:r>
      <w:r w:rsidRPr="00D43136">
        <w:rPr>
          <w:rFonts w:ascii="Garamond" w:hAnsi="Garamond"/>
          <w:color w:val="000000" w:themeColor="text1"/>
        </w:rPr>
        <w:t xml:space="preserve"> court addressed whether the federal courts must apply West Virginia</w:t>
      </w:r>
      <w:r w:rsidR="00E02A29" w:rsidRPr="00B53922">
        <w:rPr>
          <w:rFonts w:ascii="Garamond" w:hAnsi="Garamond"/>
          <w:color w:val="000000" w:themeColor="text1"/>
        </w:rPr>
        <w:t>’</w:t>
      </w:r>
      <w:r w:rsidRPr="00D43136">
        <w:rPr>
          <w:rFonts w:ascii="Garamond" w:hAnsi="Garamond"/>
          <w:color w:val="000000" w:themeColor="text1"/>
        </w:rPr>
        <w:t xml:space="preserve">s </w:t>
      </w:r>
      <w:r w:rsidR="00E02A29" w:rsidRPr="00B53922">
        <w:rPr>
          <w:rFonts w:ascii="Garamond" w:hAnsi="Garamond"/>
          <w:color w:val="000000" w:themeColor="text1"/>
        </w:rPr>
        <w:t>“</w:t>
      </w:r>
      <w:r w:rsidRPr="00D43136">
        <w:rPr>
          <w:rFonts w:ascii="Garamond" w:hAnsi="Garamond"/>
          <w:color w:val="000000" w:themeColor="text1"/>
        </w:rPr>
        <w:t>pre-suit requirements</w:t>
      </w:r>
      <w:r w:rsidR="00E02A29" w:rsidRPr="00B53922">
        <w:rPr>
          <w:rFonts w:ascii="Garamond" w:hAnsi="Garamond"/>
          <w:color w:val="000000" w:themeColor="text1"/>
        </w:rPr>
        <w:t>”</w:t>
      </w:r>
      <w:r w:rsidRPr="00D43136">
        <w:rPr>
          <w:rFonts w:ascii="Garamond" w:hAnsi="Garamond"/>
          <w:color w:val="000000" w:themeColor="text1"/>
        </w:rPr>
        <w:t xml:space="preserve"> in diversity cases. Under West Virginia law,</w:t>
      </w:r>
    </w:p>
    <w:p w14:paraId="4499AEAA" w14:textId="4217E67E" w:rsidR="00D43136" w:rsidRPr="00D43136" w:rsidRDefault="00D43136" w:rsidP="000539B9">
      <w:pPr>
        <w:spacing w:before="200" w:line="275" w:lineRule="atLeast"/>
        <w:ind w:left="720"/>
        <w:jc w:val="both"/>
        <w:rPr>
          <w:rFonts w:ascii="Garamond" w:hAnsi="Garamond"/>
          <w:color w:val="000000" w:themeColor="text1"/>
        </w:rPr>
      </w:pPr>
      <w:r w:rsidRPr="00D43136">
        <w:rPr>
          <w:rFonts w:ascii="Garamond" w:hAnsi="Garamond"/>
          <w:color w:val="000000" w:themeColor="text1"/>
        </w:rPr>
        <w:t>[a]t least 30 days prior to the filing of a medical professional liability action against a health care provider, the claimant shall serve .</w:t>
      </w:r>
      <w:r w:rsidR="00645401" w:rsidRPr="00B53922">
        <w:rPr>
          <w:rFonts w:ascii="Garamond" w:hAnsi="Garamond"/>
          <w:color w:val="000000" w:themeColor="text1"/>
        </w:rPr>
        <w:t xml:space="preserve"> </w:t>
      </w:r>
      <w:r w:rsidRPr="00D43136">
        <w:rPr>
          <w:rFonts w:ascii="Garamond" w:hAnsi="Garamond"/>
          <w:color w:val="000000" w:themeColor="text1"/>
        </w:rPr>
        <w:t>.</w:t>
      </w:r>
      <w:r w:rsidR="00645401" w:rsidRPr="00B53922">
        <w:rPr>
          <w:rFonts w:ascii="Garamond" w:hAnsi="Garamond"/>
          <w:color w:val="000000" w:themeColor="text1"/>
        </w:rPr>
        <w:t xml:space="preserve"> </w:t>
      </w:r>
      <w:r w:rsidRPr="00D43136">
        <w:rPr>
          <w:rFonts w:ascii="Garamond" w:hAnsi="Garamond"/>
          <w:color w:val="000000" w:themeColor="text1"/>
        </w:rPr>
        <w:t xml:space="preserve">. </w:t>
      </w:r>
      <w:r w:rsidRPr="00D43136">
        <w:rPr>
          <w:rFonts w:ascii="Garamond" w:hAnsi="Garamond"/>
          <w:i/>
          <w:color w:val="000000" w:themeColor="text1"/>
        </w:rPr>
        <w:t>a notice of claim</w:t>
      </w:r>
      <w:r w:rsidRPr="00D43136">
        <w:rPr>
          <w:rFonts w:ascii="Garamond" w:hAnsi="Garamond"/>
          <w:color w:val="000000" w:themeColor="text1"/>
        </w:rPr>
        <w:t xml:space="preserve"> on each health care provider the claimant will join in litigation. .</w:t>
      </w:r>
      <w:r w:rsidR="00645401" w:rsidRPr="00B53922">
        <w:rPr>
          <w:rFonts w:ascii="Garamond" w:hAnsi="Garamond"/>
          <w:color w:val="000000" w:themeColor="text1"/>
        </w:rPr>
        <w:t xml:space="preserve"> </w:t>
      </w:r>
      <w:r w:rsidRPr="00D43136">
        <w:rPr>
          <w:rFonts w:ascii="Garamond" w:hAnsi="Garamond"/>
          <w:color w:val="000000" w:themeColor="text1"/>
        </w:rPr>
        <w:t>.</w:t>
      </w:r>
      <w:r w:rsidR="00645401" w:rsidRPr="00B53922">
        <w:rPr>
          <w:rFonts w:ascii="Garamond" w:hAnsi="Garamond"/>
          <w:color w:val="000000" w:themeColor="text1"/>
        </w:rPr>
        <w:t xml:space="preserve"> </w:t>
      </w:r>
      <w:r w:rsidRPr="00D43136">
        <w:rPr>
          <w:rFonts w:ascii="Garamond" w:hAnsi="Garamond"/>
          <w:color w:val="000000" w:themeColor="text1"/>
        </w:rPr>
        <w:t xml:space="preserve">. The notice of claim shall include a statement of the theory or theories of liability upon which a cause of action may be based, and a list of all health care providers and health care facilities to whom notices of claim are being sent, together with a </w:t>
      </w:r>
      <w:r w:rsidRPr="00D43136">
        <w:rPr>
          <w:rFonts w:ascii="Garamond" w:hAnsi="Garamond"/>
          <w:i/>
          <w:color w:val="000000" w:themeColor="text1"/>
        </w:rPr>
        <w:t>screening certificate of merit</w:t>
      </w:r>
      <w:r w:rsidRPr="00D43136">
        <w:rPr>
          <w:rFonts w:ascii="Garamond" w:hAnsi="Garamond"/>
          <w:color w:val="000000" w:themeColor="text1"/>
        </w:rPr>
        <w:t>. The screening certificate of merit shall be executed under oath by a health care provider .</w:t>
      </w:r>
      <w:r w:rsidR="00C32A90" w:rsidRPr="00B53922">
        <w:rPr>
          <w:rFonts w:ascii="Garamond" w:hAnsi="Garamond"/>
          <w:color w:val="000000" w:themeColor="text1"/>
        </w:rPr>
        <w:t xml:space="preserve"> </w:t>
      </w:r>
      <w:r w:rsidRPr="00D43136">
        <w:rPr>
          <w:rFonts w:ascii="Garamond" w:hAnsi="Garamond"/>
          <w:color w:val="000000" w:themeColor="text1"/>
        </w:rPr>
        <w:t>.</w:t>
      </w:r>
      <w:r w:rsidR="00C32A90" w:rsidRPr="00B53922">
        <w:rPr>
          <w:rFonts w:ascii="Garamond" w:hAnsi="Garamond"/>
          <w:color w:val="000000" w:themeColor="text1"/>
        </w:rPr>
        <w:t xml:space="preserve"> </w:t>
      </w:r>
      <w:r w:rsidRPr="00D43136">
        <w:rPr>
          <w:rFonts w:ascii="Garamond" w:hAnsi="Garamond"/>
          <w:color w:val="000000" w:themeColor="text1"/>
        </w:rPr>
        <w:t>.</w:t>
      </w:r>
      <w:r w:rsidR="00C32A90" w:rsidRPr="00B53922">
        <w:rPr>
          <w:rFonts w:ascii="Garamond" w:hAnsi="Garamond"/>
          <w:color w:val="000000" w:themeColor="text1"/>
        </w:rPr>
        <w:t xml:space="preserve"> </w:t>
      </w:r>
      <w:r w:rsidRPr="00D43136">
        <w:rPr>
          <w:rFonts w:ascii="Garamond" w:hAnsi="Garamond"/>
          <w:color w:val="000000" w:themeColor="text1"/>
        </w:rPr>
        <w:t>.</w:t>
      </w:r>
    </w:p>
    <w:p w14:paraId="4E926C75" w14:textId="3E1CFE95"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lastRenderedPageBreak/>
        <w:t>Put another way, West Virginia</w:t>
      </w:r>
      <w:r w:rsidR="00E02A29" w:rsidRPr="00B53922">
        <w:rPr>
          <w:rFonts w:ascii="Garamond" w:hAnsi="Garamond"/>
          <w:color w:val="000000" w:themeColor="text1"/>
        </w:rPr>
        <w:t>’</w:t>
      </w:r>
      <w:r w:rsidRPr="00D43136">
        <w:rPr>
          <w:rFonts w:ascii="Garamond" w:hAnsi="Garamond"/>
          <w:color w:val="000000" w:themeColor="text1"/>
        </w:rPr>
        <w:t>s presuit requirement is a hybrid of the two Michigan provisions at issue in Albright</w:t>
      </w:r>
      <w:r w:rsidR="00E02A29" w:rsidRPr="00B53922">
        <w:rPr>
          <w:rFonts w:ascii="Garamond" w:hAnsi="Garamond"/>
          <w:color w:val="000000" w:themeColor="text1"/>
        </w:rPr>
        <w:t>’</w:t>
      </w:r>
      <w:r w:rsidRPr="00D43136">
        <w:rPr>
          <w:rFonts w:ascii="Garamond" w:hAnsi="Garamond"/>
          <w:color w:val="000000" w:themeColor="text1"/>
        </w:rPr>
        <w:t>s case. Under West Virginia law, plaintiffs filing medical-malpractice claims must supply presuit notice to any defendant (analogous to § 600.2912b) that must include a certificate of merit (similar to § 600.2912d). </w:t>
      </w:r>
    </w:p>
    <w:p w14:paraId="57AA18E5" w14:textId="19EFF388"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 xml:space="preserve">That West Virginia requires the certificate of merit to be served before the complaint is filed did not, however, dissuade the Fourth Circuit. Citing </w:t>
      </w:r>
      <w:r w:rsidRPr="00D43136">
        <w:rPr>
          <w:rFonts w:ascii="Garamond" w:hAnsi="Garamond"/>
          <w:i/>
          <w:color w:val="000000" w:themeColor="text1"/>
        </w:rPr>
        <w:t>Gallivan</w:t>
      </w:r>
      <w:r w:rsidRPr="00D43136">
        <w:rPr>
          <w:rFonts w:ascii="Garamond" w:hAnsi="Garamond"/>
          <w:color w:val="000000" w:themeColor="text1"/>
        </w:rPr>
        <w:t xml:space="preserve">, the </w:t>
      </w:r>
      <w:r w:rsidRPr="00D43136">
        <w:rPr>
          <w:rFonts w:ascii="Garamond" w:hAnsi="Garamond"/>
          <w:i/>
          <w:color w:val="000000" w:themeColor="text1"/>
        </w:rPr>
        <w:t>Pledger</w:t>
      </w:r>
      <w:r w:rsidRPr="00D43136">
        <w:rPr>
          <w:rFonts w:ascii="Garamond" w:hAnsi="Garamond"/>
          <w:color w:val="000000" w:themeColor="text1"/>
        </w:rPr>
        <w:t xml:space="preserve"> court held that Rules 8(a), 9, 11, and 12 answer the question of </w:t>
      </w:r>
      <w:r w:rsidR="00E02A29" w:rsidRPr="00B53922">
        <w:rPr>
          <w:rFonts w:ascii="Garamond" w:hAnsi="Garamond"/>
          <w:color w:val="000000" w:themeColor="text1"/>
        </w:rPr>
        <w:t>“</w:t>
      </w:r>
      <w:r w:rsidRPr="00D43136">
        <w:rPr>
          <w:rFonts w:ascii="Garamond" w:hAnsi="Garamond"/>
          <w:color w:val="000000" w:themeColor="text1"/>
        </w:rPr>
        <w:t>whether a medical malpractice plaintiff must provide pre-suit expert support for his claim</w:t>
      </w:r>
      <w:r w:rsidR="00E02A29" w:rsidRPr="00B53922">
        <w:rPr>
          <w:rFonts w:ascii="Garamond" w:hAnsi="Garamond"/>
          <w:color w:val="000000" w:themeColor="text1"/>
        </w:rPr>
        <w:t>”</w:t>
      </w:r>
      <w:r w:rsidRPr="00D43136">
        <w:rPr>
          <w:rFonts w:ascii="Garamond" w:hAnsi="Garamond"/>
          <w:color w:val="000000" w:themeColor="text1"/>
        </w:rPr>
        <w:t xml:space="preserve"> and that </w:t>
      </w:r>
      <w:r w:rsidR="007F2232" w:rsidRPr="00B53922">
        <w:rPr>
          <w:rFonts w:ascii="Garamond" w:hAnsi="Garamond"/>
          <w:color w:val="000000" w:themeColor="text1"/>
        </w:rPr>
        <w:t xml:space="preserve">[the] West Virginia Code . . . </w:t>
      </w:r>
      <w:r w:rsidRPr="00D43136">
        <w:rPr>
          <w:rFonts w:ascii="Garamond" w:hAnsi="Garamond"/>
          <w:color w:val="000000" w:themeColor="text1"/>
        </w:rPr>
        <w:t xml:space="preserve">thus does not apply in diversity cases. That the affidavit of merit was required to be served </w:t>
      </w:r>
      <w:r w:rsidRPr="00D43136">
        <w:rPr>
          <w:rFonts w:ascii="Garamond" w:hAnsi="Garamond"/>
          <w:i/>
          <w:color w:val="000000" w:themeColor="text1"/>
        </w:rPr>
        <w:t>before</w:t>
      </w:r>
      <w:r w:rsidRPr="00D43136">
        <w:rPr>
          <w:rFonts w:ascii="Garamond" w:hAnsi="Garamond"/>
          <w:color w:val="000000" w:themeColor="text1"/>
        </w:rPr>
        <w:t xml:space="preserve"> the filing of the complaint, rather than filed </w:t>
      </w:r>
      <w:r w:rsidRPr="00D43136">
        <w:rPr>
          <w:rFonts w:ascii="Garamond" w:hAnsi="Garamond"/>
          <w:i/>
          <w:color w:val="000000" w:themeColor="text1"/>
        </w:rPr>
        <w:t>with</w:t>
      </w:r>
      <w:r w:rsidRPr="00D43136">
        <w:rPr>
          <w:rFonts w:ascii="Garamond" w:hAnsi="Garamond"/>
          <w:color w:val="000000" w:themeColor="text1"/>
        </w:rPr>
        <w:t xml:space="preserve"> the complaint, did not change the fact that the affidavit-of-merit requirement acted as a heightened pleading standard.</w:t>
      </w:r>
    </w:p>
    <w:p w14:paraId="3389FF81" w14:textId="3330B9A8"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The same reasoning applies to the pre-suit notice requirement. Section 600.2912b(4) requires that the notice include:</w:t>
      </w:r>
    </w:p>
    <w:p w14:paraId="501BCA6F" w14:textId="77777777" w:rsidR="00D43136" w:rsidRPr="00D43136" w:rsidRDefault="00D43136" w:rsidP="009E6C73">
      <w:pPr>
        <w:spacing w:before="200" w:line="275" w:lineRule="atLeast"/>
        <w:ind w:left="720"/>
        <w:jc w:val="both"/>
        <w:rPr>
          <w:rFonts w:ascii="Garamond" w:hAnsi="Garamond"/>
          <w:color w:val="000000" w:themeColor="text1"/>
        </w:rPr>
      </w:pPr>
      <w:r w:rsidRPr="00D43136">
        <w:rPr>
          <w:rFonts w:ascii="Garamond" w:hAnsi="Garamond"/>
          <w:color w:val="000000" w:themeColor="text1"/>
        </w:rPr>
        <w:t>(a) The factual basis for the claim.</w:t>
      </w:r>
    </w:p>
    <w:p w14:paraId="5531E49B" w14:textId="77777777" w:rsidR="00D43136" w:rsidRPr="00D43136" w:rsidRDefault="00D43136" w:rsidP="009E6C73">
      <w:pPr>
        <w:spacing w:before="200" w:line="275" w:lineRule="atLeast"/>
        <w:ind w:left="720"/>
        <w:jc w:val="both"/>
        <w:rPr>
          <w:rFonts w:ascii="Garamond" w:hAnsi="Garamond"/>
          <w:color w:val="000000" w:themeColor="text1"/>
        </w:rPr>
      </w:pPr>
      <w:r w:rsidRPr="00D43136">
        <w:rPr>
          <w:rFonts w:ascii="Garamond" w:hAnsi="Garamond"/>
          <w:color w:val="000000" w:themeColor="text1"/>
        </w:rPr>
        <w:t>(b) The applicable standard of practice or care alleged by the claimant.</w:t>
      </w:r>
    </w:p>
    <w:p w14:paraId="761BF7CE" w14:textId="77777777" w:rsidR="00D43136" w:rsidRPr="00D43136" w:rsidRDefault="00D43136" w:rsidP="009E6C73">
      <w:pPr>
        <w:spacing w:before="200" w:line="275" w:lineRule="atLeast"/>
        <w:ind w:left="720"/>
        <w:jc w:val="both"/>
        <w:rPr>
          <w:rFonts w:ascii="Garamond" w:hAnsi="Garamond"/>
          <w:color w:val="000000" w:themeColor="text1"/>
        </w:rPr>
      </w:pPr>
      <w:r w:rsidRPr="00D43136">
        <w:rPr>
          <w:rFonts w:ascii="Garamond" w:hAnsi="Garamond"/>
          <w:color w:val="000000" w:themeColor="text1"/>
        </w:rPr>
        <w:t>(c) The manner in which it is claimed that the applicable standard of practice or care was breached by the health professional or health facility.</w:t>
      </w:r>
    </w:p>
    <w:p w14:paraId="29FE9073" w14:textId="77777777" w:rsidR="00D43136" w:rsidRPr="00D43136" w:rsidRDefault="00D43136" w:rsidP="009E6C73">
      <w:pPr>
        <w:spacing w:before="200" w:line="275" w:lineRule="atLeast"/>
        <w:ind w:left="720"/>
        <w:jc w:val="both"/>
        <w:rPr>
          <w:rFonts w:ascii="Garamond" w:hAnsi="Garamond"/>
          <w:color w:val="000000" w:themeColor="text1"/>
        </w:rPr>
      </w:pPr>
      <w:r w:rsidRPr="00D43136">
        <w:rPr>
          <w:rFonts w:ascii="Garamond" w:hAnsi="Garamond"/>
          <w:color w:val="000000" w:themeColor="text1"/>
        </w:rPr>
        <w:t>(d) The alleged action that should have been taken to achieve compliance with the alleged standard of practice or care.</w:t>
      </w:r>
    </w:p>
    <w:p w14:paraId="25F853EF" w14:textId="77777777" w:rsidR="00D43136" w:rsidRPr="00D43136" w:rsidRDefault="00D43136" w:rsidP="009E6C73">
      <w:pPr>
        <w:spacing w:before="200" w:line="275" w:lineRule="atLeast"/>
        <w:ind w:left="720"/>
        <w:jc w:val="both"/>
        <w:rPr>
          <w:rFonts w:ascii="Garamond" w:hAnsi="Garamond"/>
          <w:color w:val="000000" w:themeColor="text1"/>
        </w:rPr>
      </w:pPr>
      <w:r w:rsidRPr="00D43136">
        <w:rPr>
          <w:rFonts w:ascii="Garamond" w:hAnsi="Garamond"/>
          <w:color w:val="000000" w:themeColor="text1"/>
        </w:rPr>
        <w:t>(e) The manner in which it is alleged the breach of the standard of practice or care was the proximate cause of the injury claimed in the notice.</w:t>
      </w:r>
    </w:p>
    <w:p w14:paraId="42B8CE97" w14:textId="77777777" w:rsidR="00D43136" w:rsidRPr="00D43136" w:rsidRDefault="00D43136" w:rsidP="009E6C73">
      <w:pPr>
        <w:spacing w:before="200" w:line="275" w:lineRule="atLeast"/>
        <w:ind w:left="720"/>
        <w:jc w:val="both"/>
        <w:rPr>
          <w:rFonts w:ascii="Garamond" w:hAnsi="Garamond"/>
          <w:color w:val="000000" w:themeColor="text1"/>
        </w:rPr>
      </w:pPr>
      <w:r w:rsidRPr="00D43136">
        <w:rPr>
          <w:rFonts w:ascii="Garamond" w:hAnsi="Garamond"/>
          <w:color w:val="000000" w:themeColor="text1"/>
        </w:rPr>
        <w:t>(f) The names of all health professionals and health facilities the claimant is notifying under this section in relation to the claim.</w:t>
      </w:r>
    </w:p>
    <w:p w14:paraId="424AB7D5" w14:textId="3E1248F5"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 xml:space="preserve">These requirements exceed those in Federal Rule 8(a), which requires only </w:t>
      </w:r>
      <w:r w:rsidR="00E02A29" w:rsidRPr="00B53922">
        <w:rPr>
          <w:rFonts w:ascii="Garamond" w:hAnsi="Garamond"/>
          <w:color w:val="000000" w:themeColor="text1"/>
        </w:rPr>
        <w:t>“</w:t>
      </w:r>
      <w:r w:rsidRPr="00D43136">
        <w:rPr>
          <w:rFonts w:ascii="Garamond" w:hAnsi="Garamond"/>
          <w:color w:val="000000" w:themeColor="text1"/>
        </w:rPr>
        <w:t>a short and plain state</w:t>
      </w:r>
      <w:r w:rsidR="005E31CD" w:rsidRPr="00B53922">
        <w:rPr>
          <w:rFonts w:ascii="Garamond" w:hAnsi="Garamond"/>
          <w:color w:val="000000" w:themeColor="text1"/>
        </w:rPr>
        <w:softHyphen/>
      </w:r>
      <w:r w:rsidRPr="00D43136">
        <w:rPr>
          <w:rFonts w:ascii="Garamond" w:hAnsi="Garamond"/>
          <w:color w:val="000000" w:themeColor="text1"/>
        </w:rPr>
        <w:t>ment of the grounds for the court</w:t>
      </w:r>
      <w:r w:rsidR="00E02A29" w:rsidRPr="00B53922">
        <w:rPr>
          <w:rFonts w:ascii="Garamond" w:hAnsi="Garamond"/>
          <w:color w:val="000000" w:themeColor="text1"/>
        </w:rPr>
        <w:t>’</w:t>
      </w:r>
      <w:r w:rsidRPr="00D43136">
        <w:rPr>
          <w:rFonts w:ascii="Garamond" w:hAnsi="Garamond"/>
          <w:color w:val="000000" w:themeColor="text1"/>
        </w:rPr>
        <w:t>s jurisdiction</w:t>
      </w:r>
      <w:r w:rsidR="00E02A29" w:rsidRPr="00B53922">
        <w:rPr>
          <w:rFonts w:ascii="Garamond" w:hAnsi="Garamond"/>
          <w:color w:val="000000" w:themeColor="text1"/>
        </w:rPr>
        <w:t>”</w:t>
      </w:r>
      <w:r w:rsidRPr="00D43136">
        <w:rPr>
          <w:rFonts w:ascii="Garamond" w:hAnsi="Garamond"/>
          <w:color w:val="000000" w:themeColor="text1"/>
        </w:rPr>
        <w:t xml:space="preserve">; </w:t>
      </w:r>
      <w:r w:rsidR="00E02A29" w:rsidRPr="00B53922">
        <w:rPr>
          <w:rFonts w:ascii="Garamond" w:hAnsi="Garamond"/>
          <w:color w:val="000000" w:themeColor="text1"/>
        </w:rPr>
        <w:t>“</w:t>
      </w:r>
      <w:r w:rsidRPr="00D43136">
        <w:rPr>
          <w:rFonts w:ascii="Garamond" w:hAnsi="Garamond"/>
          <w:color w:val="000000" w:themeColor="text1"/>
        </w:rPr>
        <w:t>a short and plain statement of the claim showing that the pleader is entitled to relief</w:t>
      </w:r>
      <w:r w:rsidR="00E02A29" w:rsidRPr="00B53922">
        <w:rPr>
          <w:rFonts w:ascii="Garamond" w:hAnsi="Garamond"/>
          <w:color w:val="000000" w:themeColor="text1"/>
        </w:rPr>
        <w:t>”</w:t>
      </w:r>
      <w:r w:rsidRPr="00D43136">
        <w:rPr>
          <w:rFonts w:ascii="Garamond" w:hAnsi="Garamond"/>
          <w:color w:val="000000" w:themeColor="text1"/>
        </w:rPr>
        <w:t xml:space="preserve">; and </w:t>
      </w:r>
      <w:r w:rsidR="00E02A29" w:rsidRPr="00B53922">
        <w:rPr>
          <w:rFonts w:ascii="Garamond" w:hAnsi="Garamond"/>
          <w:color w:val="000000" w:themeColor="text1"/>
        </w:rPr>
        <w:t>“</w:t>
      </w:r>
      <w:r w:rsidRPr="00D43136">
        <w:rPr>
          <w:rFonts w:ascii="Garamond" w:hAnsi="Garamond"/>
          <w:color w:val="000000" w:themeColor="text1"/>
        </w:rPr>
        <w:t>a demand for the relief sought.</w:t>
      </w:r>
      <w:r w:rsidR="00E02A29" w:rsidRPr="00B53922">
        <w:rPr>
          <w:rFonts w:ascii="Garamond" w:hAnsi="Garamond"/>
          <w:color w:val="000000" w:themeColor="text1"/>
        </w:rPr>
        <w:t>”</w:t>
      </w:r>
      <w:r w:rsidRPr="00D43136">
        <w:rPr>
          <w:rFonts w:ascii="Garamond" w:hAnsi="Garamond"/>
          <w:color w:val="000000" w:themeColor="text1"/>
        </w:rPr>
        <w:t xml:space="preserve"> If Michigan law provided that its requirements be included in the complaint, rather than in the notice, that law would clearly not apply federal court. The Fourth Circuit held in </w:t>
      </w:r>
      <w:r w:rsidRPr="00D43136">
        <w:rPr>
          <w:rFonts w:ascii="Garamond" w:hAnsi="Garamond"/>
          <w:i/>
          <w:color w:val="000000" w:themeColor="text1"/>
        </w:rPr>
        <w:t>Pledger</w:t>
      </w:r>
      <w:r w:rsidRPr="00D43136">
        <w:rPr>
          <w:rFonts w:ascii="Garamond" w:hAnsi="Garamond"/>
          <w:color w:val="000000" w:themeColor="text1"/>
        </w:rPr>
        <w:t xml:space="preserve"> that serving an affidavit of merit before a complaint conflicted with federal pleading requirements. In this instance, too, the state cannot circumvent federal pleading requirements by requiring plaintiffs to serve documents before filing the complaint. Otherwise, the state could create any pleading requirement it chose and label it a notice requirement, and it would apply in federal court. Such a result is inconsistent with both </w:t>
      </w:r>
      <w:r w:rsidRPr="00D43136">
        <w:rPr>
          <w:rFonts w:ascii="Garamond" w:hAnsi="Garamond"/>
          <w:i/>
          <w:color w:val="000000" w:themeColor="text1"/>
        </w:rPr>
        <w:t>Hanna</w:t>
      </w:r>
      <w:r w:rsidRPr="00D43136">
        <w:rPr>
          <w:rFonts w:ascii="Garamond" w:hAnsi="Garamond"/>
          <w:color w:val="000000" w:themeColor="text1"/>
        </w:rPr>
        <w:t xml:space="preserve"> and the Federal Rules of Civil Procedure. </w:t>
      </w:r>
    </w:p>
    <w:p w14:paraId="6010625B" w14:textId="0B25E485"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We must next decide whether the Federal Rules 3, 8(a), 9, 11, and 12 violate the REA or the Consti</w:t>
      </w:r>
      <w:r w:rsidR="000E3E81" w:rsidRPr="00B53922">
        <w:rPr>
          <w:rFonts w:ascii="Garamond" w:hAnsi="Garamond"/>
          <w:color w:val="000000" w:themeColor="text1"/>
        </w:rPr>
        <w:softHyphen/>
      </w:r>
      <w:r w:rsidRPr="00D43136">
        <w:rPr>
          <w:rFonts w:ascii="Garamond" w:hAnsi="Garamond"/>
          <w:color w:val="000000" w:themeColor="text1"/>
        </w:rPr>
        <w:t>tution under Justice Stevens</w:t>
      </w:r>
      <w:r w:rsidR="00E02A29" w:rsidRPr="00B53922">
        <w:rPr>
          <w:rFonts w:ascii="Garamond" w:hAnsi="Garamond"/>
          <w:color w:val="000000" w:themeColor="text1"/>
        </w:rPr>
        <w:t>’</w:t>
      </w:r>
      <w:r w:rsidRPr="00D43136">
        <w:rPr>
          <w:rFonts w:ascii="Garamond" w:hAnsi="Garamond"/>
          <w:color w:val="000000" w:themeColor="text1"/>
        </w:rPr>
        <w:t xml:space="preserve">s controlling test from </w:t>
      </w:r>
      <w:r w:rsidRPr="00D43136">
        <w:rPr>
          <w:rFonts w:ascii="Garamond" w:hAnsi="Garamond"/>
          <w:i/>
          <w:color w:val="000000" w:themeColor="text1"/>
        </w:rPr>
        <w:t>Shady Grove</w:t>
      </w:r>
      <w:r w:rsidRPr="00D43136">
        <w:rPr>
          <w:rFonts w:ascii="Garamond" w:hAnsi="Garamond"/>
          <w:color w:val="000000" w:themeColor="text1"/>
        </w:rPr>
        <w:t xml:space="preserve">. Our conclusion comes easily. </w:t>
      </w:r>
      <w:r w:rsidR="00E02A29" w:rsidRPr="00B53922">
        <w:rPr>
          <w:rFonts w:ascii="Garamond" w:hAnsi="Garamond"/>
          <w:color w:val="000000" w:themeColor="text1"/>
        </w:rPr>
        <w:t>“</w:t>
      </w:r>
      <w:r w:rsidRPr="00D43136">
        <w:rPr>
          <w:rFonts w:ascii="Garamond" w:hAnsi="Garamond"/>
          <w:color w:val="000000" w:themeColor="text1"/>
        </w:rPr>
        <w:t>The Supreme Court has rejected every challenge to the Federal Rules that it has considered under the Rules Enabling Act</w:t>
      </w:r>
      <w:r w:rsidR="00E02A29" w:rsidRPr="00B53922">
        <w:rPr>
          <w:rFonts w:ascii="Garamond" w:hAnsi="Garamond"/>
          <w:color w:val="000000" w:themeColor="text1"/>
        </w:rPr>
        <w:t>”</w:t>
      </w:r>
      <w:r w:rsidRPr="00D43136">
        <w:rPr>
          <w:rFonts w:ascii="Garamond" w:hAnsi="Garamond"/>
          <w:color w:val="000000" w:themeColor="text1"/>
        </w:rPr>
        <w:t xml:space="preserve"> and </w:t>
      </w:r>
      <w:r w:rsidR="00E02A29" w:rsidRPr="00B53922">
        <w:rPr>
          <w:rFonts w:ascii="Garamond" w:hAnsi="Garamond"/>
          <w:color w:val="000000" w:themeColor="text1"/>
        </w:rPr>
        <w:t>“</w:t>
      </w:r>
      <w:r w:rsidRPr="00D43136">
        <w:rPr>
          <w:rFonts w:ascii="Garamond" w:hAnsi="Garamond"/>
          <w:color w:val="000000" w:themeColor="text1"/>
        </w:rPr>
        <w:t>we have no reason to doubt the validity of the Federal Rules at issue here.</w:t>
      </w:r>
      <w:r w:rsidR="00E02A29" w:rsidRPr="00B53922">
        <w:rPr>
          <w:rFonts w:ascii="Garamond" w:hAnsi="Garamond"/>
          <w:color w:val="000000" w:themeColor="text1"/>
        </w:rPr>
        <w:t>”</w:t>
      </w:r>
      <w:r w:rsidRPr="00D43136">
        <w:rPr>
          <w:rFonts w:ascii="Garamond" w:hAnsi="Garamond"/>
          <w:color w:val="000000" w:themeColor="text1"/>
        </w:rPr>
        <w:t xml:space="preserve"> </w:t>
      </w:r>
      <w:r w:rsidRPr="00D43136">
        <w:rPr>
          <w:rFonts w:ascii="Garamond" w:hAnsi="Garamond"/>
          <w:i/>
          <w:color w:val="000000" w:themeColor="text1"/>
        </w:rPr>
        <w:t>Gallivan</w:t>
      </w:r>
      <w:r w:rsidRPr="00D43136">
        <w:rPr>
          <w:rFonts w:ascii="Garamond" w:hAnsi="Garamond"/>
          <w:color w:val="000000" w:themeColor="text1"/>
        </w:rPr>
        <w:t>.</w:t>
      </w:r>
    </w:p>
    <w:p w14:paraId="0938DB85" w14:textId="44BB1A80"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 xml:space="preserve">To conclude, we reiterate that the first stage of the multistep test is </w:t>
      </w:r>
      <w:r w:rsidR="00E02A29" w:rsidRPr="00B53922">
        <w:rPr>
          <w:rFonts w:ascii="Garamond" w:hAnsi="Garamond"/>
          <w:color w:val="000000" w:themeColor="text1"/>
        </w:rPr>
        <w:t>“</w:t>
      </w:r>
      <w:r w:rsidRPr="00D43136">
        <w:rPr>
          <w:rFonts w:ascii="Garamond" w:hAnsi="Garamond"/>
          <w:color w:val="000000" w:themeColor="text1"/>
        </w:rPr>
        <w:t xml:space="preserve">do the Federal Rules answer </w:t>
      </w:r>
      <w:r w:rsidR="00E02A29" w:rsidRPr="00B53922">
        <w:rPr>
          <w:rFonts w:ascii="Garamond" w:hAnsi="Garamond"/>
          <w:color w:val="000000" w:themeColor="text1"/>
        </w:rPr>
        <w:t>‘</w:t>
      </w:r>
      <w:r w:rsidRPr="00D43136">
        <w:rPr>
          <w:rFonts w:ascii="Garamond" w:hAnsi="Garamond"/>
          <w:color w:val="000000" w:themeColor="text1"/>
        </w:rPr>
        <w:t>the same question</w:t>
      </w:r>
      <w:r w:rsidR="00E02A29" w:rsidRPr="00B53922">
        <w:rPr>
          <w:rFonts w:ascii="Garamond" w:hAnsi="Garamond"/>
          <w:color w:val="000000" w:themeColor="text1"/>
        </w:rPr>
        <w:t>’</w:t>
      </w:r>
      <w:r w:rsidRPr="00D43136">
        <w:rPr>
          <w:rFonts w:ascii="Garamond" w:hAnsi="Garamond"/>
          <w:color w:val="000000" w:themeColor="text1"/>
        </w:rPr>
        <w:t xml:space="preserve"> as the state rule?</w:t>
      </w:r>
      <w:r w:rsidR="00E02A29" w:rsidRPr="00B53922">
        <w:rPr>
          <w:rFonts w:ascii="Garamond" w:hAnsi="Garamond"/>
          <w:color w:val="000000" w:themeColor="text1"/>
        </w:rPr>
        <w:t>”</w:t>
      </w:r>
      <w:r w:rsidRPr="00D43136">
        <w:rPr>
          <w:rFonts w:ascii="Garamond" w:hAnsi="Garamond"/>
          <w:color w:val="000000" w:themeColor="text1"/>
        </w:rPr>
        <w:t xml:space="preserve"> </w:t>
      </w:r>
      <w:r w:rsidRPr="00D43136">
        <w:rPr>
          <w:rFonts w:ascii="Garamond" w:hAnsi="Garamond"/>
          <w:i/>
          <w:color w:val="000000" w:themeColor="text1"/>
        </w:rPr>
        <w:t>Gallivan</w:t>
      </w:r>
      <w:r w:rsidRPr="00D43136">
        <w:rPr>
          <w:rFonts w:ascii="Garamond" w:hAnsi="Garamond"/>
          <w:color w:val="000000" w:themeColor="text1"/>
        </w:rPr>
        <w:t xml:space="preserve">. The answer is yes. Rules 3, 8(a), 9, 11, and 12(b)(6) answer the two questions in dispute—whether Albright needs to file an affidavit with her complaint in order to state a claim and whether Albright must file a presuit notice to commence an action. Under </w:t>
      </w:r>
      <w:r w:rsidRPr="00D43136">
        <w:rPr>
          <w:rFonts w:ascii="Garamond" w:hAnsi="Garamond"/>
          <w:i/>
          <w:color w:val="000000" w:themeColor="text1"/>
        </w:rPr>
        <w:t>Hanna</w:t>
      </w:r>
      <w:r w:rsidRPr="00D43136">
        <w:rPr>
          <w:rFonts w:ascii="Garamond" w:hAnsi="Garamond"/>
          <w:color w:val="000000" w:themeColor="text1"/>
        </w:rPr>
        <w:t xml:space="preserve">, </w:t>
      </w:r>
      <w:r w:rsidR="00E02A29" w:rsidRPr="00B53922">
        <w:rPr>
          <w:rFonts w:ascii="Garamond" w:hAnsi="Garamond"/>
          <w:color w:val="000000" w:themeColor="text1"/>
        </w:rPr>
        <w:t>“</w:t>
      </w:r>
      <w:r w:rsidRPr="00D43136">
        <w:rPr>
          <w:rFonts w:ascii="Garamond" w:hAnsi="Garamond"/>
          <w:color w:val="000000" w:themeColor="text1"/>
        </w:rPr>
        <w:t>[a]ll that matters is that there is a conflict (check) and a valid Federal Rule (check again).</w:t>
      </w:r>
      <w:r w:rsidR="00E02A29" w:rsidRPr="00B53922">
        <w:rPr>
          <w:rFonts w:ascii="Garamond" w:hAnsi="Garamond"/>
          <w:color w:val="000000" w:themeColor="text1"/>
        </w:rPr>
        <w:t>”</w:t>
      </w:r>
      <w:r w:rsidRPr="00D43136">
        <w:rPr>
          <w:rFonts w:ascii="Garamond" w:hAnsi="Garamond"/>
          <w:color w:val="000000" w:themeColor="text1"/>
        </w:rPr>
        <w:t xml:space="preserve"> </w:t>
      </w:r>
      <w:r w:rsidRPr="00D43136">
        <w:rPr>
          <w:rFonts w:ascii="Garamond" w:hAnsi="Garamond"/>
          <w:i/>
          <w:color w:val="000000" w:themeColor="text1"/>
        </w:rPr>
        <w:t>Gallivan</w:t>
      </w:r>
      <w:r w:rsidRPr="00D43136">
        <w:rPr>
          <w:rFonts w:ascii="Garamond" w:hAnsi="Garamond"/>
          <w:color w:val="000000" w:themeColor="text1"/>
        </w:rPr>
        <w:t xml:space="preserve">. We invoke </w:t>
      </w:r>
      <w:r w:rsidRPr="00D43136">
        <w:rPr>
          <w:rFonts w:ascii="Garamond" w:hAnsi="Garamond"/>
          <w:i/>
          <w:color w:val="000000" w:themeColor="text1"/>
        </w:rPr>
        <w:t>Erie</w:t>
      </w:r>
      <w:r w:rsidRPr="00D43136">
        <w:rPr>
          <w:rFonts w:ascii="Garamond" w:hAnsi="Garamond"/>
          <w:color w:val="000000" w:themeColor="text1"/>
        </w:rPr>
        <w:t xml:space="preserve"> only if no on-point, valid Federal Rule of Civil or Appellate Procedure exists. </w:t>
      </w:r>
      <w:r w:rsidRPr="00D43136">
        <w:rPr>
          <w:rFonts w:ascii="Garamond" w:hAnsi="Garamond"/>
          <w:i/>
          <w:color w:val="000000" w:themeColor="text1"/>
        </w:rPr>
        <w:t>See Shady Grove</w:t>
      </w:r>
      <w:r w:rsidRPr="00D43136">
        <w:rPr>
          <w:rFonts w:ascii="Garamond" w:hAnsi="Garamond"/>
          <w:color w:val="000000" w:themeColor="text1"/>
        </w:rPr>
        <w:t xml:space="preserve"> (Scalia, J.) (</w:t>
      </w:r>
      <w:r w:rsidR="00E02A29" w:rsidRPr="00B53922">
        <w:rPr>
          <w:rFonts w:ascii="Garamond" w:hAnsi="Garamond"/>
          <w:color w:val="000000" w:themeColor="text1"/>
        </w:rPr>
        <w:t>“</w:t>
      </w:r>
      <w:r w:rsidRPr="00D43136">
        <w:rPr>
          <w:rFonts w:ascii="Garamond" w:hAnsi="Garamond"/>
          <w:color w:val="000000" w:themeColor="text1"/>
        </w:rPr>
        <w:t xml:space="preserve">We do not wade into </w:t>
      </w:r>
      <w:r w:rsidRPr="00D43136">
        <w:rPr>
          <w:rFonts w:ascii="Garamond" w:hAnsi="Garamond"/>
          <w:i/>
          <w:color w:val="000000" w:themeColor="text1"/>
        </w:rPr>
        <w:t>Erie</w:t>
      </w:r>
      <w:r w:rsidR="00E02A29" w:rsidRPr="00B53922">
        <w:rPr>
          <w:rFonts w:ascii="Garamond" w:hAnsi="Garamond"/>
          <w:color w:val="000000" w:themeColor="text1"/>
        </w:rPr>
        <w:t>’</w:t>
      </w:r>
      <w:r w:rsidRPr="00D43136">
        <w:rPr>
          <w:rFonts w:ascii="Garamond" w:hAnsi="Garamond"/>
          <w:color w:val="000000" w:themeColor="text1"/>
        </w:rPr>
        <w:t>s murky waters unless the federal rule is inap</w:t>
      </w:r>
      <w:r w:rsidR="001E5AB3" w:rsidRPr="00B53922">
        <w:rPr>
          <w:rFonts w:ascii="Garamond" w:hAnsi="Garamond"/>
          <w:color w:val="000000" w:themeColor="text1"/>
        </w:rPr>
        <w:softHyphen/>
      </w:r>
      <w:r w:rsidRPr="00D43136">
        <w:rPr>
          <w:rFonts w:ascii="Garamond" w:hAnsi="Garamond"/>
          <w:color w:val="000000" w:themeColor="text1"/>
        </w:rPr>
        <w:t>plicable or invalid.</w:t>
      </w:r>
      <w:r w:rsidR="00E02A29" w:rsidRPr="00B53922">
        <w:rPr>
          <w:rFonts w:ascii="Garamond" w:hAnsi="Garamond"/>
          <w:color w:val="000000" w:themeColor="text1"/>
        </w:rPr>
        <w:t>”</w:t>
      </w:r>
      <w:r w:rsidRPr="00D43136">
        <w:rPr>
          <w:rFonts w:ascii="Garamond" w:hAnsi="Garamond"/>
          <w:color w:val="000000" w:themeColor="text1"/>
        </w:rPr>
        <w:t xml:space="preserve">). Pursuant to </w:t>
      </w:r>
      <w:r w:rsidRPr="00D43136">
        <w:rPr>
          <w:rFonts w:ascii="Garamond" w:hAnsi="Garamond"/>
          <w:i/>
          <w:color w:val="000000" w:themeColor="text1"/>
        </w:rPr>
        <w:t>Hanna</w:t>
      </w:r>
      <w:r w:rsidRPr="00D43136">
        <w:rPr>
          <w:rFonts w:ascii="Garamond" w:hAnsi="Garamond"/>
          <w:color w:val="000000" w:themeColor="text1"/>
        </w:rPr>
        <w:t>, we hold that Michigan</w:t>
      </w:r>
      <w:r w:rsidR="00E02A29" w:rsidRPr="00B53922">
        <w:rPr>
          <w:rFonts w:ascii="Garamond" w:hAnsi="Garamond"/>
          <w:color w:val="000000" w:themeColor="text1"/>
        </w:rPr>
        <w:t>’</w:t>
      </w:r>
      <w:r w:rsidRPr="00D43136">
        <w:rPr>
          <w:rFonts w:ascii="Garamond" w:hAnsi="Garamond"/>
          <w:color w:val="000000" w:themeColor="text1"/>
        </w:rPr>
        <w:t>s affidavit-of-merit and presuit-notice requirements in diversity cases do not apply in the federal courts.</w:t>
      </w:r>
    </w:p>
    <w:p w14:paraId="654A2481" w14:textId="77777777" w:rsidR="00D43136" w:rsidRPr="00D43136" w:rsidRDefault="00D43136" w:rsidP="00D43136">
      <w:pPr>
        <w:spacing w:before="200" w:line="275" w:lineRule="atLeast"/>
        <w:jc w:val="both"/>
        <w:rPr>
          <w:rFonts w:ascii="Garamond" w:hAnsi="Garamond"/>
          <w:color w:val="000000" w:themeColor="text1"/>
        </w:rPr>
      </w:pPr>
      <w:bookmarkStart w:id="18" w:name="co_anchor_I2d67e3111ebd11ef90a7bd7e7f2b"/>
      <w:r w:rsidRPr="00D43136">
        <w:rPr>
          <w:rFonts w:ascii="Garamond" w:hAnsi="Garamond"/>
          <w:b/>
          <w:color w:val="000000" w:themeColor="text1"/>
        </w:rPr>
        <w:lastRenderedPageBreak/>
        <w:t>V. CONCLUSION</w:t>
      </w:r>
    </w:p>
    <w:bookmarkEnd w:id="18"/>
    <w:p w14:paraId="5C73E531" w14:textId="2EB3766B"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Because Michigan</w:t>
      </w:r>
      <w:r w:rsidR="00E02A29" w:rsidRPr="00B53922">
        <w:rPr>
          <w:rFonts w:ascii="Garamond" w:hAnsi="Garamond"/>
          <w:color w:val="000000" w:themeColor="text1"/>
        </w:rPr>
        <w:t>’</w:t>
      </w:r>
      <w:r w:rsidRPr="00D43136">
        <w:rPr>
          <w:rFonts w:ascii="Garamond" w:hAnsi="Garamond"/>
          <w:color w:val="000000" w:themeColor="text1"/>
        </w:rPr>
        <w:t xml:space="preserve">s affidavit-of-merit and presuit-notice requirements do not apply in diversity actions, Albright did not need to comply with them when she brought her medical-malpractice action. We thus </w:t>
      </w:r>
      <w:r w:rsidRPr="00D43136">
        <w:rPr>
          <w:rFonts w:ascii="Garamond" w:hAnsi="Garamond"/>
          <w:b/>
          <w:color w:val="000000" w:themeColor="text1"/>
        </w:rPr>
        <w:t>REVERSE</w:t>
      </w:r>
      <w:r w:rsidRPr="00D43136">
        <w:rPr>
          <w:rFonts w:ascii="Garamond" w:hAnsi="Garamond"/>
          <w:color w:val="000000" w:themeColor="text1"/>
        </w:rPr>
        <w:t xml:space="preserve"> and </w:t>
      </w:r>
      <w:r w:rsidRPr="00D43136">
        <w:rPr>
          <w:rFonts w:ascii="Garamond" w:hAnsi="Garamond"/>
          <w:b/>
          <w:color w:val="000000" w:themeColor="text1"/>
        </w:rPr>
        <w:t>REMAND</w:t>
      </w:r>
      <w:r w:rsidRPr="00D43136">
        <w:rPr>
          <w:rFonts w:ascii="Garamond" w:hAnsi="Garamond"/>
          <w:color w:val="000000" w:themeColor="text1"/>
        </w:rPr>
        <w:t>.</w:t>
      </w:r>
    </w:p>
    <w:p w14:paraId="652C664F" w14:textId="6E46B9AB" w:rsidR="00D43136" w:rsidRPr="00D43136" w:rsidRDefault="00D43136" w:rsidP="00D43136">
      <w:pPr>
        <w:spacing w:before="200" w:line="275" w:lineRule="atLeast"/>
        <w:jc w:val="both"/>
        <w:rPr>
          <w:rFonts w:ascii="Garamond" w:hAnsi="Garamond"/>
          <w:b/>
          <w:bCs/>
          <w:color w:val="000000" w:themeColor="text1"/>
        </w:rPr>
      </w:pPr>
      <w:bookmarkStart w:id="19" w:name="co_anchor_I2d687f521ebd11ef90a7bd7e7f2b"/>
      <w:bookmarkStart w:id="20" w:name="co_cipdip_opinion_1"/>
      <w:r w:rsidRPr="00D43136">
        <w:rPr>
          <w:rFonts w:ascii="Garamond" w:hAnsi="Garamond"/>
          <w:b/>
          <w:bCs/>
          <w:color w:val="000000" w:themeColor="text1"/>
        </w:rPr>
        <w:t>SILER, Circuit Judge, concurring in part and dissenting in part.</w:t>
      </w:r>
    </w:p>
    <w:p w14:paraId="735DD8E9" w14:textId="02D3E3CC" w:rsidR="00D43136" w:rsidRPr="00D43136" w:rsidRDefault="00D43136" w:rsidP="00D43136">
      <w:pPr>
        <w:spacing w:before="200" w:line="275" w:lineRule="atLeast"/>
        <w:jc w:val="both"/>
        <w:rPr>
          <w:rFonts w:ascii="Garamond" w:hAnsi="Garamond"/>
          <w:bCs/>
          <w:color w:val="000000" w:themeColor="text1"/>
        </w:rPr>
      </w:pPr>
      <w:bookmarkStart w:id="21" w:name="co_anchor_I2d687f521ebd11ef90a7bd7e73"/>
      <w:bookmarkStart w:id="22" w:name="co_anchor_I2d687f521ebd11ef90a7bd7e72"/>
      <w:bookmarkEnd w:id="19"/>
      <w:bookmarkEnd w:id="20"/>
      <w:r w:rsidRPr="00D43136">
        <w:rPr>
          <w:rFonts w:ascii="Garamond" w:hAnsi="Garamond"/>
          <w:bCs/>
          <w:color w:val="000000" w:themeColor="text1"/>
        </w:rPr>
        <w:t>CONCURRING IN PART AND DISSENT</w:t>
      </w:r>
      <w:r w:rsidR="00655D74" w:rsidRPr="00D512A9">
        <w:rPr>
          <w:rFonts w:ascii="Garamond" w:hAnsi="Garamond"/>
          <w:bCs/>
          <w:color w:val="000000" w:themeColor="text1"/>
        </w:rPr>
        <w:softHyphen/>
      </w:r>
      <w:r w:rsidRPr="00D43136">
        <w:rPr>
          <w:rFonts w:ascii="Garamond" w:hAnsi="Garamond"/>
          <w:bCs/>
          <w:color w:val="000000" w:themeColor="text1"/>
        </w:rPr>
        <w:t>ING IN PART</w:t>
      </w:r>
    </w:p>
    <w:bookmarkEnd w:id="21"/>
    <w:bookmarkEnd w:id="22"/>
    <w:p w14:paraId="1BE2A2E4" w14:textId="0053576B" w:rsidR="00D43136" w:rsidRPr="00D43136" w:rsidRDefault="00086245" w:rsidP="00D43136">
      <w:pPr>
        <w:spacing w:before="200" w:line="275" w:lineRule="atLeast"/>
        <w:jc w:val="both"/>
        <w:rPr>
          <w:rFonts w:ascii="Garamond" w:hAnsi="Garamond"/>
          <w:color w:val="000000" w:themeColor="text1"/>
        </w:rPr>
      </w:pPr>
      <w:r w:rsidRPr="00B53922">
        <w:rPr>
          <w:rFonts w:ascii="Garamond" w:hAnsi="Garamond"/>
          <w:color w:val="000000" w:themeColor="text1"/>
        </w:rPr>
        <w:t>. . .</w:t>
      </w:r>
      <w:r w:rsidR="00D43136" w:rsidRPr="00D43136">
        <w:rPr>
          <w:rFonts w:ascii="Garamond" w:hAnsi="Garamond"/>
          <w:color w:val="000000" w:themeColor="text1"/>
        </w:rPr>
        <w:t xml:space="preserve"> The majority concludes that the Federal Rules of Civil Procedure bar the application of both require</w:t>
      </w:r>
      <w:r w:rsidR="0027482F" w:rsidRPr="00B53922">
        <w:rPr>
          <w:rFonts w:ascii="Garamond" w:hAnsi="Garamond"/>
          <w:color w:val="000000" w:themeColor="text1"/>
        </w:rPr>
        <w:softHyphen/>
      </w:r>
      <w:r w:rsidR="00D43136" w:rsidRPr="00D43136">
        <w:rPr>
          <w:rFonts w:ascii="Garamond" w:hAnsi="Garamond"/>
          <w:color w:val="000000" w:themeColor="text1"/>
        </w:rPr>
        <w:t>ments in federal court. I agree with the majority</w:t>
      </w:r>
      <w:r w:rsidR="00E02A29" w:rsidRPr="00B53922">
        <w:rPr>
          <w:rFonts w:ascii="Garamond" w:hAnsi="Garamond"/>
          <w:color w:val="000000" w:themeColor="text1"/>
        </w:rPr>
        <w:t>’</w:t>
      </w:r>
      <w:r w:rsidR="00D43136" w:rsidRPr="00D43136">
        <w:rPr>
          <w:rFonts w:ascii="Garamond" w:hAnsi="Garamond"/>
          <w:color w:val="000000" w:themeColor="text1"/>
        </w:rPr>
        <w:t>s two-step framework and its conclusion regarding the affidavit of merit requirement, but because the Federal Rules are silent about pre-suit requirements, I respectfully dissent.</w:t>
      </w:r>
    </w:p>
    <w:p w14:paraId="077E38E7" w14:textId="1DF1C1A4"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 xml:space="preserve">Begin, like the majority, with the question of conflict. A conflict arises when the Federal Rules </w:t>
      </w:r>
      <w:r w:rsidR="00E02A29" w:rsidRPr="00B53922">
        <w:rPr>
          <w:rFonts w:ascii="Garamond" w:hAnsi="Garamond"/>
          <w:color w:val="000000" w:themeColor="text1"/>
        </w:rPr>
        <w:t>“</w:t>
      </w:r>
      <w:r w:rsidRPr="00D43136">
        <w:rPr>
          <w:rFonts w:ascii="Garamond" w:hAnsi="Garamond"/>
          <w:color w:val="000000" w:themeColor="text1"/>
        </w:rPr>
        <w:t>provide [a] different answer to the question in dispute.</w:t>
      </w:r>
      <w:r w:rsidR="00E02A29" w:rsidRPr="00B53922">
        <w:rPr>
          <w:rFonts w:ascii="Garamond" w:hAnsi="Garamond"/>
          <w:color w:val="000000" w:themeColor="text1"/>
        </w:rPr>
        <w:t>”</w:t>
      </w:r>
      <w:r w:rsidRPr="00D43136">
        <w:rPr>
          <w:rFonts w:ascii="Garamond" w:hAnsi="Garamond"/>
          <w:color w:val="000000" w:themeColor="text1"/>
        </w:rPr>
        <w:t xml:space="preserve"> </w:t>
      </w:r>
      <w:r w:rsidRPr="00D43136">
        <w:rPr>
          <w:rFonts w:ascii="Garamond" w:hAnsi="Garamond"/>
          <w:i/>
          <w:color w:val="000000" w:themeColor="text1"/>
        </w:rPr>
        <w:t>Passmore v. Baylor Health Care System</w:t>
      </w:r>
      <w:r w:rsidRPr="00D43136">
        <w:rPr>
          <w:rFonts w:ascii="Garamond" w:hAnsi="Garamond"/>
          <w:color w:val="000000" w:themeColor="text1"/>
        </w:rPr>
        <w:t xml:space="preserve"> (5th Cir. 2016). But none of the Federal Rules governs conduct prior to the commencement of an action. And Michigan</w:t>
      </w:r>
      <w:r w:rsidR="00E02A29" w:rsidRPr="00B53922">
        <w:rPr>
          <w:rFonts w:ascii="Garamond" w:hAnsi="Garamond"/>
          <w:color w:val="000000" w:themeColor="text1"/>
        </w:rPr>
        <w:t>’</w:t>
      </w:r>
      <w:r w:rsidRPr="00D43136">
        <w:rPr>
          <w:rFonts w:ascii="Garamond" w:hAnsi="Garamond"/>
          <w:color w:val="000000" w:themeColor="text1"/>
        </w:rPr>
        <w:t>s pre-suit notice requirement, unlike its affidavit of merit requirement, governs a plain</w:t>
      </w:r>
      <w:r w:rsidR="001237F6" w:rsidRPr="00B53922">
        <w:rPr>
          <w:rFonts w:ascii="Garamond" w:hAnsi="Garamond"/>
          <w:color w:val="000000" w:themeColor="text1"/>
        </w:rPr>
        <w:softHyphen/>
      </w:r>
      <w:r w:rsidRPr="00D43136">
        <w:rPr>
          <w:rFonts w:ascii="Garamond" w:hAnsi="Garamond"/>
          <w:color w:val="000000" w:themeColor="text1"/>
        </w:rPr>
        <w:t>tiff</w:t>
      </w:r>
      <w:r w:rsidR="00E02A29" w:rsidRPr="00B53922">
        <w:rPr>
          <w:rFonts w:ascii="Garamond" w:hAnsi="Garamond"/>
          <w:color w:val="000000" w:themeColor="text1"/>
        </w:rPr>
        <w:t>’</w:t>
      </w:r>
      <w:r w:rsidRPr="00D43136">
        <w:rPr>
          <w:rFonts w:ascii="Garamond" w:hAnsi="Garamond"/>
          <w:color w:val="000000" w:themeColor="text1"/>
        </w:rPr>
        <w:t xml:space="preserve">s conduct before a claim is filed. Nonetheless, the majority finds that </w:t>
      </w:r>
      <w:r w:rsidR="00E02A29" w:rsidRPr="00B53922">
        <w:rPr>
          <w:rFonts w:ascii="Garamond" w:hAnsi="Garamond"/>
          <w:color w:val="000000" w:themeColor="text1"/>
        </w:rPr>
        <w:t>“</w:t>
      </w:r>
      <w:r w:rsidRPr="00D43136">
        <w:rPr>
          <w:rFonts w:ascii="Garamond" w:hAnsi="Garamond"/>
          <w:color w:val="000000" w:themeColor="text1"/>
        </w:rPr>
        <w:t>[Federal] Rule 3 most obviously resolves this disputed question.</w:t>
      </w:r>
      <w:r w:rsidR="00E02A29" w:rsidRPr="00B53922">
        <w:rPr>
          <w:rFonts w:ascii="Garamond" w:hAnsi="Garamond"/>
          <w:color w:val="000000" w:themeColor="text1"/>
        </w:rPr>
        <w:t>”</w:t>
      </w:r>
    </w:p>
    <w:p w14:paraId="5D92F908" w14:textId="7696CF78"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So, let</w:t>
      </w:r>
      <w:r w:rsidR="00E02A29" w:rsidRPr="00B53922">
        <w:rPr>
          <w:rFonts w:ascii="Garamond" w:hAnsi="Garamond"/>
          <w:color w:val="000000" w:themeColor="text1"/>
        </w:rPr>
        <w:t>’</w:t>
      </w:r>
      <w:r w:rsidRPr="00D43136">
        <w:rPr>
          <w:rFonts w:ascii="Garamond" w:hAnsi="Garamond"/>
          <w:color w:val="000000" w:themeColor="text1"/>
        </w:rPr>
        <w:t xml:space="preserve">s turn to the Federal Rule and the Michigan law. On one hand, Federal Rule 3 states that </w:t>
      </w:r>
      <w:r w:rsidR="00E02A29" w:rsidRPr="00B53922">
        <w:rPr>
          <w:rFonts w:ascii="Garamond" w:hAnsi="Garamond"/>
          <w:color w:val="000000" w:themeColor="text1"/>
        </w:rPr>
        <w:t>“</w:t>
      </w:r>
      <w:r w:rsidRPr="00D43136">
        <w:rPr>
          <w:rFonts w:ascii="Garamond" w:hAnsi="Garamond"/>
          <w:color w:val="000000" w:themeColor="text1"/>
        </w:rPr>
        <w:t>[a] civil action is commenced by filing a complaint with the court.</w:t>
      </w:r>
      <w:r w:rsidR="00E02A29" w:rsidRPr="00B53922">
        <w:rPr>
          <w:rFonts w:ascii="Garamond" w:hAnsi="Garamond"/>
          <w:color w:val="000000" w:themeColor="text1"/>
        </w:rPr>
        <w:t>”</w:t>
      </w:r>
      <w:r w:rsidRPr="00D43136">
        <w:rPr>
          <w:rFonts w:ascii="Garamond" w:hAnsi="Garamond"/>
          <w:color w:val="000000" w:themeColor="text1"/>
        </w:rPr>
        <w:t xml:space="preserve"> On the other hand, Michigan</w:t>
      </w:r>
      <w:r w:rsidR="00E02A29" w:rsidRPr="00B53922">
        <w:rPr>
          <w:rFonts w:ascii="Garamond" w:hAnsi="Garamond"/>
          <w:color w:val="000000" w:themeColor="text1"/>
        </w:rPr>
        <w:t>’</w:t>
      </w:r>
      <w:r w:rsidRPr="00D43136">
        <w:rPr>
          <w:rFonts w:ascii="Garamond" w:hAnsi="Garamond"/>
          <w:color w:val="000000" w:themeColor="text1"/>
        </w:rPr>
        <w:t xml:space="preserve">s pre-suit law states that </w:t>
      </w:r>
      <w:r w:rsidR="00E02A29" w:rsidRPr="00B53922">
        <w:rPr>
          <w:rFonts w:ascii="Garamond" w:hAnsi="Garamond"/>
          <w:color w:val="000000" w:themeColor="text1"/>
        </w:rPr>
        <w:t>“</w:t>
      </w:r>
      <w:r w:rsidRPr="00D43136">
        <w:rPr>
          <w:rFonts w:ascii="Garamond" w:hAnsi="Garamond"/>
          <w:color w:val="000000" w:themeColor="text1"/>
        </w:rPr>
        <w:t>a person shall not commence an action alleging medical malpractice against a health pro</w:t>
      </w:r>
      <w:r w:rsidR="000763E1" w:rsidRPr="00B53922">
        <w:rPr>
          <w:rFonts w:ascii="Garamond" w:hAnsi="Garamond"/>
          <w:color w:val="000000" w:themeColor="text1"/>
        </w:rPr>
        <w:softHyphen/>
      </w:r>
      <w:r w:rsidRPr="00D43136">
        <w:rPr>
          <w:rFonts w:ascii="Garamond" w:hAnsi="Garamond"/>
          <w:color w:val="000000" w:themeColor="text1"/>
        </w:rPr>
        <w:t>fessional or health facility unless the person has given the health professional or health facility written notice under this section not less than 182 days before the action is commenced.</w:t>
      </w:r>
      <w:r w:rsidR="00E02A29" w:rsidRPr="00B53922">
        <w:rPr>
          <w:rFonts w:ascii="Garamond" w:hAnsi="Garamond"/>
          <w:color w:val="000000" w:themeColor="text1"/>
        </w:rPr>
        <w:t>”</w:t>
      </w:r>
      <w:r w:rsidRPr="00D43136">
        <w:rPr>
          <w:rFonts w:ascii="Garamond" w:hAnsi="Garamond"/>
          <w:color w:val="000000" w:themeColor="text1"/>
        </w:rPr>
        <w:t xml:space="preserve"> The majority directs its attention to the language </w:t>
      </w:r>
      <w:r w:rsidR="00E02A29" w:rsidRPr="00B53922">
        <w:rPr>
          <w:rFonts w:ascii="Garamond" w:hAnsi="Garamond"/>
          <w:color w:val="000000" w:themeColor="text1"/>
        </w:rPr>
        <w:t>“</w:t>
      </w:r>
      <w:r w:rsidRPr="00D43136">
        <w:rPr>
          <w:rFonts w:ascii="Garamond" w:hAnsi="Garamond"/>
          <w:color w:val="000000" w:themeColor="text1"/>
        </w:rPr>
        <w:t>is commenced</w:t>
      </w:r>
      <w:r w:rsidR="00E02A29" w:rsidRPr="00B53922">
        <w:rPr>
          <w:rFonts w:ascii="Garamond" w:hAnsi="Garamond"/>
          <w:color w:val="000000" w:themeColor="text1"/>
        </w:rPr>
        <w:t>”</w:t>
      </w:r>
      <w:r w:rsidRPr="00D43136">
        <w:rPr>
          <w:rFonts w:ascii="Garamond" w:hAnsi="Garamond"/>
          <w:color w:val="000000" w:themeColor="text1"/>
        </w:rPr>
        <w:t xml:space="preserve"> in Federal Rule 3 and </w:t>
      </w:r>
      <w:r w:rsidR="00E02A29" w:rsidRPr="00B53922">
        <w:rPr>
          <w:rFonts w:ascii="Garamond" w:hAnsi="Garamond"/>
          <w:color w:val="000000" w:themeColor="text1"/>
        </w:rPr>
        <w:t>“</w:t>
      </w:r>
      <w:r w:rsidRPr="00D43136">
        <w:rPr>
          <w:rFonts w:ascii="Garamond" w:hAnsi="Garamond"/>
          <w:color w:val="000000" w:themeColor="text1"/>
        </w:rPr>
        <w:t>shall not commence</w:t>
      </w:r>
      <w:r w:rsidR="00E02A29" w:rsidRPr="00B53922">
        <w:rPr>
          <w:rFonts w:ascii="Garamond" w:hAnsi="Garamond"/>
          <w:color w:val="000000" w:themeColor="text1"/>
        </w:rPr>
        <w:t>”</w:t>
      </w:r>
      <w:r w:rsidRPr="00D43136">
        <w:rPr>
          <w:rFonts w:ascii="Garamond" w:hAnsi="Garamond"/>
          <w:color w:val="000000" w:themeColor="text1"/>
        </w:rPr>
        <w:t xml:space="preserve"> in Michigan</w:t>
      </w:r>
      <w:r w:rsidR="00E02A29" w:rsidRPr="00B53922">
        <w:rPr>
          <w:rFonts w:ascii="Garamond" w:hAnsi="Garamond"/>
          <w:color w:val="000000" w:themeColor="text1"/>
        </w:rPr>
        <w:t>’</w:t>
      </w:r>
      <w:r w:rsidRPr="00D43136">
        <w:rPr>
          <w:rFonts w:ascii="Garamond" w:hAnsi="Garamond"/>
          <w:color w:val="000000" w:themeColor="text1"/>
        </w:rPr>
        <w:t>s pre-suit notice law. Although that focus is understandable, it is misplaced.</w:t>
      </w:r>
      <w:r w:rsidR="007B3FBE" w:rsidRPr="00B53922">
        <w:rPr>
          <w:rFonts w:ascii="Garamond" w:hAnsi="Garamond"/>
          <w:color w:val="000000" w:themeColor="text1"/>
        </w:rPr>
        <w:t xml:space="preserve"> </w:t>
      </w:r>
    </w:p>
    <w:p w14:paraId="4709C544" w14:textId="040B9F3D"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 xml:space="preserve">States determine substantive rights. </w:t>
      </w:r>
      <w:r w:rsidRPr="00D43136">
        <w:rPr>
          <w:rFonts w:ascii="Garamond" w:hAnsi="Garamond"/>
          <w:i/>
          <w:color w:val="000000" w:themeColor="text1"/>
        </w:rPr>
        <w:t>See</w:t>
      </w:r>
      <w:r w:rsidRPr="00D43136">
        <w:rPr>
          <w:rFonts w:ascii="Garamond" w:hAnsi="Garamond"/>
          <w:color w:val="000000" w:themeColor="text1"/>
        </w:rPr>
        <w:t xml:space="preserve"> U.S. Const. amend. X. And the phrase </w:t>
      </w:r>
      <w:r w:rsidR="00E02A29" w:rsidRPr="00B53922">
        <w:rPr>
          <w:rFonts w:ascii="Garamond" w:hAnsi="Garamond"/>
          <w:color w:val="000000" w:themeColor="text1"/>
        </w:rPr>
        <w:t>“</w:t>
      </w:r>
      <w:r w:rsidRPr="00D43136">
        <w:rPr>
          <w:rFonts w:ascii="Garamond" w:hAnsi="Garamond"/>
          <w:color w:val="000000" w:themeColor="text1"/>
        </w:rPr>
        <w:t>shall not commence</w:t>
      </w:r>
      <w:r w:rsidR="00E02A29" w:rsidRPr="00B53922">
        <w:rPr>
          <w:rFonts w:ascii="Garamond" w:hAnsi="Garamond"/>
          <w:color w:val="000000" w:themeColor="text1"/>
        </w:rPr>
        <w:t>”</w:t>
      </w:r>
      <w:r w:rsidRPr="00D43136">
        <w:rPr>
          <w:rFonts w:ascii="Garamond" w:hAnsi="Garamond"/>
          <w:color w:val="000000" w:themeColor="text1"/>
        </w:rPr>
        <w:t xml:space="preserve"> only demonstrates that pre-suit notice is a pre</w:t>
      </w:r>
      <w:r w:rsidR="00CB77BB" w:rsidRPr="00B53922">
        <w:rPr>
          <w:rFonts w:ascii="Garamond" w:hAnsi="Garamond"/>
          <w:color w:val="000000" w:themeColor="text1"/>
        </w:rPr>
        <w:softHyphen/>
      </w:r>
      <w:r w:rsidRPr="00D43136">
        <w:rPr>
          <w:rFonts w:ascii="Garamond" w:hAnsi="Garamond"/>
          <w:color w:val="000000" w:themeColor="text1"/>
        </w:rPr>
        <w:t>requisite to or an element of a medical mal</w:t>
      </w:r>
      <w:r w:rsidR="006E0EAB" w:rsidRPr="00B53922">
        <w:rPr>
          <w:rFonts w:ascii="Garamond" w:hAnsi="Garamond"/>
          <w:color w:val="000000" w:themeColor="text1"/>
        </w:rPr>
        <w:softHyphen/>
      </w:r>
      <w:r w:rsidRPr="00D43136">
        <w:rPr>
          <w:rFonts w:ascii="Garamond" w:hAnsi="Garamond"/>
          <w:color w:val="000000" w:themeColor="text1"/>
        </w:rPr>
        <w:t xml:space="preserve">practice suit. </w:t>
      </w:r>
      <w:r w:rsidRPr="00D43136">
        <w:rPr>
          <w:rFonts w:ascii="Garamond" w:hAnsi="Garamond"/>
          <w:i/>
          <w:color w:val="000000" w:themeColor="text1"/>
        </w:rPr>
        <w:t>Burton v. Reed City Hosp. Corp.</w:t>
      </w:r>
      <w:r w:rsidRPr="00D43136">
        <w:rPr>
          <w:rFonts w:ascii="Garamond" w:hAnsi="Garamond"/>
          <w:color w:val="000000" w:themeColor="text1"/>
        </w:rPr>
        <w:t xml:space="preserve"> (</w:t>
      </w:r>
      <w:r w:rsidR="00640EE8" w:rsidRPr="00B53922">
        <w:rPr>
          <w:rFonts w:ascii="Garamond" w:hAnsi="Garamond"/>
          <w:color w:val="000000" w:themeColor="text1"/>
        </w:rPr>
        <w:t xml:space="preserve">Mich. </w:t>
      </w:r>
      <w:r w:rsidRPr="00D43136">
        <w:rPr>
          <w:rFonts w:ascii="Garamond" w:hAnsi="Garamond"/>
          <w:color w:val="000000" w:themeColor="text1"/>
        </w:rPr>
        <w:t>2005). As a result, Michigan courts have enforced the Michigan legislature</w:t>
      </w:r>
      <w:r w:rsidR="00E02A29" w:rsidRPr="00B53922">
        <w:rPr>
          <w:rFonts w:ascii="Garamond" w:hAnsi="Garamond"/>
          <w:color w:val="000000" w:themeColor="text1"/>
        </w:rPr>
        <w:t>’</w:t>
      </w:r>
      <w:r w:rsidRPr="00D43136">
        <w:rPr>
          <w:rFonts w:ascii="Garamond" w:hAnsi="Garamond"/>
          <w:color w:val="000000" w:themeColor="text1"/>
        </w:rPr>
        <w:t xml:space="preserve">s words as written. </w:t>
      </w:r>
      <w:r w:rsidRPr="00D43136">
        <w:rPr>
          <w:rFonts w:ascii="Garamond" w:hAnsi="Garamond"/>
          <w:i/>
          <w:color w:val="000000" w:themeColor="text1"/>
        </w:rPr>
        <w:t>See Trow</w:t>
      </w:r>
      <w:r w:rsidR="00175DFC" w:rsidRPr="00B53922">
        <w:rPr>
          <w:rFonts w:ascii="Garamond" w:hAnsi="Garamond"/>
          <w:i/>
          <w:color w:val="000000" w:themeColor="text1"/>
        </w:rPr>
        <w:softHyphen/>
      </w:r>
      <w:r w:rsidRPr="00D43136">
        <w:rPr>
          <w:rFonts w:ascii="Garamond" w:hAnsi="Garamond"/>
          <w:i/>
          <w:color w:val="000000" w:themeColor="text1"/>
        </w:rPr>
        <w:t>ell v. Providence Hosp. and Med. Ctrs., Inc.</w:t>
      </w:r>
      <w:r w:rsidRPr="00D43136">
        <w:rPr>
          <w:rFonts w:ascii="Garamond" w:hAnsi="Garamond"/>
          <w:color w:val="000000" w:themeColor="text1"/>
        </w:rPr>
        <w:t xml:space="preserve"> (</w:t>
      </w:r>
      <w:r w:rsidR="00F65DC3" w:rsidRPr="00B53922">
        <w:rPr>
          <w:rFonts w:ascii="Garamond" w:hAnsi="Garamond"/>
          <w:color w:val="000000" w:themeColor="text1"/>
        </w:rPr>
        <w:t xml:space="preserve">Mich. </w:t>
      </w:r>
      <w:r w:rsidRPr="00D43136">
        <w:rPr>
          <w:rFonts w:ascii="Garamond" w:hAnsi="Garamond"/>
          <w:color w:val="000000" w:themeColor="text1"/>
        </w:rPr>
        <w:t>2018).</w:t>
      </w:r>
    </w:p>
    <w:p w14:paraId="54474A1E" w14:textId="5C8333A0"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Consider also the implications of the majority</w:t>
      </w:r>
      <w:r w:rsidR="00E02A29" w:rsidRPr="00B53922">
        <w:rPr>
          <w:rFonts w:ascii="Garamond" w:hAnsi="Garamond"/>
          <w:color w:val="000000" w:themeColor="text1"/>
        </w:rPr>
        <w:t>’</w:t>
      </w:r>
      <w:r w:rsidRPr="00D43136">
        <w:rPr>
          <w:rFonts w:ascii="Garamond" w:hAnsi="Garamond"/>
          <w:color w:val="000000" w:themeColor="text1"/>
        </w:rPr>
        <w:t>s expansive view of conflict under Federal Rule 3. Can a plaintiff now bring a products liability suit without first purchasing the defective item? After all, both pre-suit notice and actual purchase are actions taken by a plaintiff to make out a claim.</w:t>
      </w:r>
    </w:p>
    <w:p w14:paraId="09601C78" w14:textId="33390027"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The majority</w:t>
      </w:r>
      <w:r w:rsidR="00E02A29" w:rsidRPr="00B53922">
        <w:rPr>
          <w:rFonts w:ascii="Garamond" w:hAnsi="Garamond"/>
          <w:color w:val="000000" w:themeColor="text1"/>
        </w:rPr>
        <w:t>’</w:t>
      </w:r>
      <w:r w:rsidRPr="00D43136">
        <w:rPr>
          <w:rFonts w:ascii="Garamond" w:hAnsi="Garamond"/>
          <w:color w:val="000000" w:themeColor="text1"/>
        </w:rPr>
        <w:t>s view, moreover, far exceeds Federal Rule 3</w:t>
      </w:r>
      <w:r w:rsidR="005578FD" w:rsidRPr="00B53922">
        <w:rPr>
          <w:rFonts w:ascii="Garamond" w:hAnsi="Garamond"/>
          <w:color w:val="000000" w:themeColor="text1"/>
        </w:rPr>
        <w:t>’</w:t>
      </w:r>
      <w:r w:rsidRPr="00D43136">
        <w:rPr>
          <w:rFonts w:ascii="Garamond" w:hAnsi="Garamond"/>
          <w:color w:val="000000" w:themeColor="text1"/>
        </w:rPr>
        <w:t xml:space="preserve">s purpose. </w:t>
      </w:r>
      <w:r w:rsidR="00E02A29" w:rsidRPr="00B53922">
        <w:rPr>
          <w:rFonts w:ascii="Garamond" w:hAnsi="Garamond"/>
          <w:color w:val="000000" w:themeColor="text1"/>
        </w:rPr>
        <w:t>“</w:t>
      </w:r>
      <w:r w:rsidRPr="00D43136">
        <w:rPr>
          <w:rFonts w:ascii="Garamond" w:hAnsi="Garamond"/>
          <w:color w:val="000000" w:themeColor="text1"/>
        </w:rPr>
        <w:t>[T]he Federal Rules determine the date from which various timing requirements begin to run.</w:t>
      </w:r>
      <w:r w:rsidR="00E02A29" w:rsidRPr="00B53922">
        <w:rPr>
          <w:rFonts w:ascii="Garamond" w:hAnsi="Garamond"/>
          <w:color w:val="000000" w:themeColor="text1"/>
        </w:rPr>
        <w:t>”</w:t>
      </w:r>
      <w:r w:rsidRPr="00D43136">
        <w:rPr>
          <w:rFonts w:ascii="Garamond" w:hAnsi="Garamond"/>
          <w:color w:val="000000" w:themeColor="text1"/>
        </w:rPr>
        <w:t xml:space="preserve"> </w:t>
      </w:r>
      <w:r w:rsidRPr="00D43136">
        <w:rPr>
          <w:rFonts w:ascii="Garamond" w:hAnsi="Garamond"/>
          <w:i/>
          <w:color w:val="000000" w:themeColor="text1"/>
        </w:rPr>
        <w:t>Larsen v. May Med. Ctr.</w:t>
      </w:r>
      <w:r w:rsidR="001D6255" w:rsidRPr="00B53922">
        <w:rPr>
          <w:rFonts w:ascii="Garamond" w:hAnsi="Garamond"/>
          <w:color w:val="000000" w:themeColor="text1"/>
        </w:rPr>
        <w:t xml:space="preserve"> </w:t>
      </w:r>
      <w:r w:rsidRPr="00D43136">
        <w:rPr>
          <w:rFonts w:ascii="Garamond" w:hAnsi="Garamond"/>
          <w:color w:val="000000" w:themeColor="text1"/>
        </w:rPr>
        <w:t>(8th Cir. 2000). That is, Federal Rule 3 is meant to establish with certainty when a suit has started. The majority employs Federal Rule 3 far afield from its purpose when using it to bar the application of a state substantive element of a claim.</w:t>
      </w:r>
    </w:p>
    <w:p w14:paraId="3B36B1D8" w14:textId="55BE7D7F"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 xml:space="preserve">Even if the majority is correct that the pre-suit requirement relates only to the commencement of an action, its conclusion remains incorrect. The commencement of an action is decided by state law, not federal law. In </w:t>
      </w:r>
      <w:r w:rsidRPr="00D43136">
        <w:rPr>
          <w:rFonts w:ascii="Garamond" w:hAnsi="Garamond"/>
          <w:i/>
          <w:color w:val="000000" w:themeColor="text1"/>
        </w:rPr>
        <w:t>Walker v. Armco Steel Corp.</w:t>
      </w:r>
      <w:r w:rsidRPr="00D43136">
        <w:rPr>
          <w:rFonts w:ascii="Garamond" w:hAnsi="Garamond"/>
          <w:color w:val="000000" w:themeColor="text1"/>
        </w:rPr>
        <w:t xml:space="preserve"> (</w:t>
      </w:r>
      <w:r w:rsidR="00C30851">
        <w:rPr>
          <w:rFonts w:ascii="Garamond" w:hAnsi="Garamond"/>
          <w:color w:val="000000" w:themeColor="text1"/>
        </w:rPr>
        <w:t xml:space="preserve">U.S. </w:t>
      </w:r>
      <w:r w:rsidRPr="00D43136">
        <w:rPr>
          <w:rFonts w:ascii="Garamond" w:hAnsi="Garamond"/>
          <w:color w:val="000000" w:themeColor="text1"/>
        </w:rPr>
        <w:t>1980), ineffective appropriate service failed to toll the statute of limitations and the claim was time-barred. So too here, Albright failed to give ap</w:t>
      </w:r>
      <w:r w:rsidR="00A9216E">
        <w:rPr>
          <w:rFonts w:ascii="Garamond" w:hAnsi="Garamond"/>
          <w:color w:val="000000" w:themeColor="text1"/>
        </w:rPr>
        <w:softHyphen/>
      </w:r>
      <w:r w:rsidRPr="00D43136">
        <w:rPr>
          <w:rFonts w:ascii="Garamond" w:hAnsi="Garamond"/>
          <w:color w:val="000000" w:themeColor="text1"/>
        </w:rPr>
        <w:t>pro</w:t>
      </w:r>
      <w:r w:rsidR="00A9216E">
        <w:rPr>
          <w:rFonts w:ascii="Garamond" w:hAnsi="Garamond"/>
          <w:color w:val="000000" w:themeColor="text1"/>
        </w:rPr>
        <w:softHyphen/>
      </w:r>
      <w:r w:rsidRPr="00D43136">
        <w:rPr>
          <w:rFonts w:ascii="Garamond" w:hAnsi="Garamond"/>
          <w:color w:val="000000" w:themeColor="text1"/>
        </w:rPr>
        <w:t>pr</w:t>
      </w:r>
      <w:r w:rsidR="00A9216E">
        <w:rPr>
          <w:rFonts w:ascii="Garamond" w:hAnsi="Garamond"/>
          <w:color w:val="000000" w:themeColor="text1"/>
        </w:rPr>
        <w:softHyphen/>
      </w:r>
      <w:r w:rsidRPr="00D43136">
        <w:rPr>
          <w:rFonts w:ascii="Garamond" w:hAnsi="Garamond"/>
          <w:color w:val="000000" w:themeColor="text1"/>
        </w:rPr>
        <w:t>i</w:t>
      </w:r>
      <w:r w:rsidR="00A9216E">
        <w:rPr>
          <w:rFonts w:ascii="Garamond" w:hAnsi="Garamond"/>
          <w:color w:val="000000" w:themeColor="text1"/>
        </w:rPr>
        <w:softHyphen/>
      </w:r>
      <w:r w:rsidRPr="00D43136">
        <w:rPr>
          <w:rFonts w:ascii="Garamond" w:hAnsi="Garamond"/>
          <w:color w:val="000000" w:themeColor="text1"/>
        </w:rPr>
        <w:t>ate pre-suit notice and her claim may be time-barred. Both statutes matter because of their relationship to the statute of limitations. In other words, a claim</w:t>
      </w:r>
      <w:r w:rsidR="00E02A29" w:rsidRPr="00B53922">
        <w:rPr>
          <w:rFonts w:ascii="Garamond" w:hAnsi="Garamond"/>
          <w:color w:val="000000" w:themeColor="text1"/>
        </w:rPr>
        <w:t>’</w:t>
      </w:r>
      <w:r w:rsidRPr="00D43136">
        <w:rPr>
          <w:rFonts w:ascii="Garamond" w:hAnsi="Garamond"/>
          <w:color w:val="000000" w:themeColor="text1"/>
        </w:rPr>
        <w:t>s failure to commence because of improper service or a claim</w:t>
      </w:r>
      <w:r w:rsidR="00E02A29" w:rsidRPr="00B53922">
        <w:rPr>
          <w:rFonts w:ascii="Garamond" w:hAnsi="Garamond"/>
          <w:color w:val="000000" w:themeColor="text1"/>
        </w:rPr>
        <w:t>’</w:t>
      </w:r>
      <w:r w:rsidRPr="00D43136">
        <w:rPr>
          <w:rFonts w:ascii="Garamond" w:hAnsi="Garamond"/>
          <w:color w:val="000000" w:themeColor="text1"/>
        </w:rPr>
        <w:t>s failure to commence because of a lack of pre-suit notice results in the same outcome. The majority gives no reason to treat them differently</w:t>
      </w:r>
      <w:r w:rsidR="007B2E07" w:rsidRPr="00B53922">
        <w:rPr>
          <w:rFonts w:ascii="Garamond" w:hAnsi="Garamond"/>
          <w:color w:val="000000" w:themeColor="text1"/>
        </w:rPr>
        <w:t>.</w:t>
      </w:r>
      <w:r w:rsidRPr="00D43136">
        <w:rPr>
          <w:rFonts w:ascii="Garamond" w:hAnsi="Garamond"/>
          <w:color w:val="000000" w:themeColor="text1"/>
        </w:rPr>
        <w:t> </w:t>
      </w:r>
    </w:p>
    <w:p w14:paraId="20066745" w14:textId="6A135D86" w:rsidR="00D43136" w:rsidRPr="00D43136" w:rsidRDefault="00D43136" w:rsidP="00D43136">
      <w:pPr>
        <w:spacing w:before="200" w:line="275" w:lineRule="atLeast"/>
        <w:jc w:val="both"/>
        <w:rPr>
          <w:rFonts w:ascii="Garamond" w:hAnsi="Garamond"/>
          <w:color w:val="000000" w:themeColor="text1"/>
        </w:rPr>
      </w:pPr>
      <w:r w:rsidRPr="00D43136">
        <w:rPr>
          <w:rFonts w:ascii="Garamond" w:hAnsi="Garamond"/>
          <w:color w:val="000000" w:themeColor="text1"/>
        </w:rPr>
        <w:t xml:space="preserve">Because the pre-suit notice does not conflict with the Federal Rules, the requirement should apply in federal court if it is substantive. </w:t>
      </w:r>
      <w:r w:rsidRPr="00D43136">
        <w:rPr>
          <w:rFonts w:ascii="Garamond" w:hAnsi="Garamond"/>
          <w:i/>
          <w:color w:val="000000" w:themeColor="text1"/>
        </w:rPr>
        <w:t>Hanna v. Plumer</w:t>
      </w:r>
      <w:r w:rsidR="006D6858">
        <w:rPr>
          <w:rFonts w:ascii="Garamond" w:hAnsi="Garamond"/>
          <w:color w:val="000000" w:themeColor="text1"/>
        </w:rPr>
        <w:t xml:space="preserve"> (U.S. </w:t>
      </w:r>
      <w:r w:rsidRPr="00D43136">
        <w:rPr>
          <w:rFonts w:ascii="Garamond" w:hAnsi="Garamond"/>
          <w:color w:val="000000" w:themeColor="text1"/>
        </w:rPr>
        <w:t xml:space="preserve">1965). To determine whether the requirement is substantive, the court should look at the </w:t>
      </w:r>
      <w:r w:rsidR="00E02A29" w:rsidRPr="00B53922">
        <w:rPr>
          <w:rFonts w:ascii="Garamond" w:hAnsi="Garamond"/>
          <w:color w:val="000000" w:themeColor="text1"/>
        </w:rPr>
        <w:t>“</w:t>
      </w:r>
      <w:r w:rsidRPr="00D43136">
        <w:rPr>
          <w:rFonts w:ascii="Garamond" w:hAnsi="Garamond"/>
          <w:color w:val="000000" w:themeColor="text1"/>
        </w:rPr>
        <w:t xml:space="preserve">twin aims of the </w:t>
      </w:r>
      <w:r w:rsidRPr="00D43136">
        <w:rPr>
          <w:rFonts w:ascii="Garamond" w:hAnsi="Garamond"/>
          <w:i/>
          <w:color w:val="000000" w:themeColor="text1"/>
        </w:rPr>
        <w:t>Erie</w:t>
      </w:r>
      <w:r w:rsidRPr="00D43136">
        <w:rPr>
          <w:rFonts w:ascii="Garamond" w:hAnsi="Garamond"/>
          <w:color w:val="000000" w:themeColor="text1"/>
        </w:rPr>
        <w:t xml:space="preserve"> rule: discouragement of forum-shopping </w:t>
      </w:r>
      <w:r w:rsidRPr="00D43136">
        <w:rPr>
          <w:rFonts w:ascii="Garamond" w:hAnsi="Garamond"/>
          <w:color w:val="000000" w:themeColor="text1"/>
        </w:rPr>
        <w:lastRenderedPageBreak/>
        <w:t>and avoidance of inequitable administration of the laws.</w:t>
      </w:r>
      <w:r w:rsidR="00E02A29" w:rsidRPr="00B53922">
        <w:rPr>
          <w:rFonts w:ascii="Garamond" w:hAnsi="Garamond"/>
          <w:color w:val="000000" w:themeColor="text1"/>
        </w:rPr>
        <w:t>”</w:t>
      </w:r>
      <w:r w:rsidR="00F84495">
        <w:rPr>
          <w:rFonts w:ascii="Garamond" w:hAnsi="Garamond"/>
          <w:color w:val="000000" w:themeColor="text1"/>
        </w:rPr>
        <w:t xml:space="preserve"> </w:t>
      </w:r>
      <w:r w:rsidRPr="00D43136">
        <w:rPr>
          <w:rFonts w:ascii="Garamond" w:hAnsi="Garamond"/>
          <w:color w:val="000000" w:themeColor="text1"/>
        </w:rPr>
        <w:t>Michigan</w:t>
      </w:r>
      <w:r w:rsidR="00E02A29" w:rsidRPr="00B53922">
        <w:rPr>
          <w:rFonts w:ascii="Garamond" w:hAnsi="Garamond"/>
          <w:color w:val="000000" w:themeColor="text1"/>
        </w:rPr>
        <w:t>’</w:t>
      </w:r>
      <w:r w:rsidRPr="00D43136">
        <w:rPr>
          <w:rFonts w:ascii="Garamond" w:hAnsi="Garamond"/>
          <w:color w:val="000000" w:themeColor="text1"/>
        </w:rPr>
        <w:t xml:space="preserve">s law encourages early settlement and seeks to curb medical costs. The pre-suit notice requirement is </w:t>
      </w:r>
      <w:r w:rsidR="00E02A29" w:rsidRPr="00B53922">
        <w:rPr>
          <w:rFonts w:ascii="Garamond" w:hAnsi="Garamond"/>
          <w:color w:val="000000" w:themeColor="text1"/>
        </w:rPr>
        <w:t>“</w:t>
      </w:r>
      <w:r w:rsidRPr="00D43136">
        <w:rPr>
          <w:rFonts w:ascii="Garamond" w:hAnsi="Garamond"/>
          <w:color w:val="000000" w:themeColor="text1"/>
        </w:rPr>
        <w:t>intertwined</w:t>
      </w:r>
      <w:r w:rsidR="00E02A29" w:rsidRPr="00B53922">
        <w:rPr>
          <w:rFonts w:ascii="Garamond" w:hAnsi="Garamond"/>
          <w:color w:val="000000" w:themeColor="text1"/>
        </w:rPr>
        <w:t>”</w:t>
      </w:r>
      <w:r w:rsidRPr="00D43136">
        <w:rPr>
          <w:rFonts w:ascii="Garamond" w:hAnsi="Garamond"/>
          <w:color w:val="000000" w:themeColor="text1"/>
        </w:rPr>
        <w:t xml:space="preserve"> with Michigan</w:t>
      </w:r>
      <w:r w:rsidR="00E02A29" w:rsidRPr="00B53922">
        <w:rPr>
          <w:rFonts w:ascii="Garamond" w:hAnsi="Garamond"/>
          <w:color w:val="000000" w:themeColor="text1"/>
        </w:rPr>
        <w:t>’</w:t>
      </w:r>
      <w:r w:rsidRPr="00D43136">
        <w:rPr>
          <w:rFonts w:ascii="Garamond" w:hAnsi="Garamond"/>
          <w:color w:val="000000" w:themeColor="text1"/>
        </w:rPr>
        <w:t xml:space="preserve">s malpractice liability scheme and a failure to enforce the requirement would </w:t>
      </w:r>
      <w:r w:rsidR="00E02A29" w:rsidRPr="00B53922">
        <w:rPr>
          <w:rFonts w:ascii="Garamond" w:hAnsi="Garamond"/>
          <w:color w:val="000000" w:themeColor="text1"/>
        </w:rPr>
        <w:t>“</w:t>
      </w:r>
      <w:r w:rsidRPr="00D43136">
        <w:rPr>
          <w:rFonts w:ascii="Garamond" w:hAnsi="Garamond"/>
          <w:color w:val="000000" w:themeColor="text1"/>
        </w:rPr>
        <w:t>frustrate the purposes of the statute.</w:t>
      </w:r>
      <w:r w:rsidR="00E02A29" w:rsidRPr="00B53922">
        <w:rPr>
          <w:rFonts w:ascii="Garamond" w:hAnsi="Garamond"/>
          <w:color w:val="000000" w:themeColor="text1"/>
        </w:rPr>
        <w:t>”</w:t>
      </w:r>
      <w:r w:rsidRPr="00D43136">
        <w:rPr>
          <w:rFonts w:ascii="Garamond" w:hAnsi="Garamond"/>
          <w:color w:val="000000" w:themeColor="text1"/>
        </w:rPr>
        <w:t xml:space="preserve"> </w:t>
      </w:r>
      <w:r w:rsidRPr="00D43136">
        <w:rPr>
          <w:rFonts w:ascii="Garamond" w:hAnsi="Garamond"/>
          <w:i/>
          <w:color w:val="000000" w:themeColor="text1"/>
        </w:rPr>
        <w:t>Baber v. Edman</w:t>
      </w:r>
      <w:r w:rsidRPr="00D43136">
        <w:rPr>
          <w:rFonts w:ascii="Garamond" w:hAnsi="Garamond"/>
          <w:color w:val="000000" w:themeColor="text1"/>
        </w:rPr>
        <w:t xml:space="preserve"> (5th Cir. 1983). To be sure, the majority</w:t>
      </w:r>
      <w:r w:rsidR="00E02A29" w:rsidRPr="00B53922">
        <w:rPr>
          <w:rFonts w:ascii="Garamond" w:hAnsi="Garamond"/>
          <w:color w:val="000000" w:themeColor="text1"/>
        </w:rPr>
        <w:t>’</w:t>
      </w:r>
      <w:r w:rsidRPr="00D43136">
        <w:rPr>
          <w:rFonts w:ascii="Garamond" w:hAnsi="Garamond"/>
          <w:color w:val="000000" w:themeColor="text1"/>
        </w:rPr>
        <w:t>s decision will lead to plaintiffs</w:t>
      </w:r>
      <w:r w:rsidR="00E02A29" w:rsidRPr="00B53922">
        <w:rPr>
          <w:rFonts w:ascii="Garamond" w:hAnsi="Garamond"/>
          <w:color w:val="000000" w:themeColor="text1"/>
        </w:rPr>
        <w:t>’</w:t>
      </w:r>
      <w:r w:rsidRPr="00D43136">
        <w:rPr>
          <w:rFonts w:ascii="Garamond" w:hAnsi="Garamond"/>
          <w:color w:val="000000" w:themeColor="text1"/>
        </w:rPr>
        <w:t xml:space="preserve"> choosing the federal forum.</w:t>
      </w:r>
    </w:p>
    <w:p w14:paraId="2BF925EF" w14:textId="77777777" w:rsidR="00937AE5" w:rsidRDefault="00D43136" w:rsidP="008C4390">
      <w:pPr>
        <w:spacing w:before="200" w:line="275" w:lineRule="atLeast"/>
        <w:jc w:val="both"/>
        <w:rPr>
          <w:rFonts w:ascii="Garamond" w:hAnsi="Garamond"/>
          <w:color w:val="000000" w:themeColor="text1"/>
        </w:rPr>
      </w:pPr>
      <w:r w:rsidRPr="00D43136">
        <w:rPr>
          <w:rFonts w:ascii="Garamond" w:hAnsi="Garamond"/>
          <w:color w:val="000000" w:themeColor="text1"/>
        </w:rPr>
        <w:t>Unsurprisingly, no United States Court of Appeals circuit has ever found a conflict between Federal Rule 3 and a similar pre-suit requirement. In diversity cases, this court must respect the substantive laws of the States. I would AFFIRM the district court.</w:t>
      </w:r>
      <w:bookmarkEnd w:id="1"/>
    </w:p>
    <w:p w14:paraId="6FA0E68F" w14:textId="703854C4" w:rsidR="008C4390" w:rsidRPr="00B53922" w:rsidRDefault="008C4390" w:rsidP="008C4390">
      <w:pPr>
        <w:spacing w:before="200" w:line="275" w:lineRule="atLeast"/>
        <w:jc w:val="both"/>
        <w:rPr>
          <w:rFonts w:ascii="Garamond" w:hAnsi="Garamond"/>
          <w:color w:val="000000" w:themeColor="text1"/>
        </w:rPr>
        <w:sectPr w:rsidR="008C4390" w:rsidRPr="00B53922">
          <w:footerReference w:type="even" r:id="rId6"/>
          <w:footerReference w:type="default" r:id="rId7"/>
          <w:pgSz w:w="12240" w:h="15840"/>
          <w:pgMar w:top="1800" w:right="1080" w:bottom="1080" w:left="1080" w:header="720" w:footer="720" w:gutter="0"/>
          <w:pgNumType w:start="1"/>
          <w:cols w:num="2" w:space="240"/>
        </w:sectPr>
      </w:pPr>
    </w:p>
    <w:p w14:paraId="7E519150" w14:textId="77777777" w:rsidR="0089003E" w:rsidRPr="00B53922" w:rsidRDefault="0089003E" w:rsidP="009B4383">
      <w:pPr>
        <w:rPr>
          <w:rFonts w:ascii="Garamond" w:hAnsi="Garamond"/>
          <w:color w:val="000000" w:themeColor="text1"/>
        </w:rPr>
      </w:pPr>
    </w:p>
    <w:sectPr w:rsidR="0089003E" w:rsidRPr="00B53922">
      <w:pgSz w:w="12240" w:h="15840"/>
      <w:pgMar w:top="1800" w:right="1080" w:bottom="108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98C5A" w14:textId="77777777" w:rsidR="00660586" w:rsidRDefault="00660586">
      <w:r>
        <w:separator/>
      </w:r>
    </w:p>
  </w:endnote>
  <w:endnote w:type="continuationSeparator" w:id="0">
    <w:p w14:paraId="609DAAD0" w14:textId="77777777" w:rsidR="00660586" w:rsidRDefault="00660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Garamond" w:hAnsi="Garamond"/>
      </w:rPr>
      <w:id w:val="2058893781"/>
      <w:docPartObj>
        <w:docPartGallery w:val="Page Numbers (Bottom of Page)"/>
        <w:docPartUnique/>
      </w:docPartObj>
    </w:sdtPr>
    <w:sdtContent>
      <w:p w14:paraId="3E381F1C" w14:textId="1FE39863" w:rsidR="00A0506D" w:rsidRPr="001523B2" w:rsidRDefault="00A0506D" w:rsidP="00B874D7">
        <w:pPr>
          <w:pStyle w:val="Footer"/>
          <w:framePr w:wrap="none" w:vAnchor="text" w:hAnchor="margin" w:xAlign="center" w:y="1"/>
          <w:rPr>
            <w:rStyle w:val="PageNumber"/>
            <w:rFonts w:ascii="Garamond" w:hAnsi="Garamond"/>
          </w:rPr>
        </w:pPr>
        <w:r w:rsidRPr="001523B2">
          <w:rPr>
            <w:rStyle w:val="PageNumber"/>
            <w:rFonts w:ascii="Garamond" w:hAnsi="Garamond"/>
          </w:rPr>
          <w:fldChar w:fldCharType="begin"/>
        </w:r>
        <w:r w:rsidRPr="001523B2">
          <w:rPr>
            <w:rStyle w:val="PageNumber"/>
            <w:rFonts w:ascii="Garamond" w:hAnsi="Garamond"/>
          </w:rPr>
          <w:instrText xml:space="preserve"> PAGE </w:instrText>
        </w:r>
        <w:r w:rsidRPr="001523B2">
          <w:rPr>
            <w:rStyle w:val="PageNumber"/>
            <w:rFonts w:ascii="Garamond" w:hAnsi="Garamond"/>
          </w:rPr>
          <w:fldChar w:fldCharType="separate"/>
        </w:r>
        <w:r w:rsidRPr="001523B2">
          <w:rPr>
            <w:rStyle w:val="PageNumber"/>
            <w:rFonts w:ascii="Garamond" w:hAnsi="Garamond"/>
            <w:noProof/>
          </w:rPr>
          <w:t>26</w:t>
        </w:r>
        <w:r w:rsidRPr="001523B2">
          <w:rPr>
            <w:rStyle w:val="PageNumber"/>
            <w:rFonts w:ascii="Garamond" w:hAnsi="Garamond"/>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Garamond" w:hAnsi="Garamond"/>
      </w:rPr>
      <w:id w:val="621657067"/>
      <w:docPartObj>
        <w:docPartGallery w:val="Page Numbers (Bottom of Page)"/>
        <w:docPartUnique/>
      </w:docPartObj>
    </w:sdtPr>
    <w:sdtContent>
      <w:p w14:paraId="7959DBAA" w14:textId="44D67257" w:rsidR="00A0506D" w:rsidRPr="00A0506D" w:rsidRDefault="00A0506D" w:rsidP="00B874D7">
        <w:pPr>
          <w:pStyle w:val="Footer"/>
          <w:framePr w:wrap="none" w:vAnchor="text" w:hAnchor="margin" w:xAlign="center" w:y="1"/>
          <w:rPr>
            <w:rStyle w:val="PageNumber"/>
            <w:rFonts w:ascii="Garamond" w:hAnsi="Garamond"/>
          </w:rPr>
        </w:pPr>
        <w:r w:rsidRPr="00A0506D">
          <w:rPr>
            <w:rStyle w:val="PageNumber"/>
            <w:rFonts w:ascii="Garamond" w:hAnsi="Garamond"/>
          </w:rPr>
          <w:fldChar w:fldCharType="begin"/>
        </w:r>
        <w:r w:rsidRPr="00A0506D">
          <w:rPr>
            <w:rStyle w:val="PageNumber"/>
            <w:rFonts w:ascii="Garamond" w:hAnsi="Garamond"/>
          </w:rPr>
          <w:instrText xml:space="preserve"> PAGE </w:instrText>
        </w:r>
        <w:r w:rsidRPr="00A0506D">
          <w:rPr>
            <w:rStyle w:val="PageNumber"/>
            <w:rFonts w:ascii="Garamond" w:hAnsi="Garamond"/>
          </w:rPr>
          <w:fldChar w:fldCharType="separate"/>
        </w:r>
        <w:r w:rsidRPr="00A0506D">
          <w:rPr>
            <w:rStyle w:val="PageNumber"/>
            <w:rFonts w:ascii="Garamond" w:hAnsi="Garamond"/>
            <w:noProof/>
          </w:rPr>
          <w:t>1</w:t>
        </w:r>
        <w:r w:rsidRPr="00A0506D">
          <w:rPr>
            <w:rStyle w:val="PageNumber"/>
            <w:rFonts w:ascii="Garamond" w:hAnsi="Garamond"/>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87844" w14:textId="77777777" w:rsidR="00660586" w:rsidRDefault="00660586">
      <w:r>
        <w:separator/>
      </w:r>
    </w:p>
  </w:footnote>
  <w:footnote w:type="continuationSeparator" w:id="0">
    <w:p w14:paraId="47015FED" w14:textId="77777777" w:rsidR="00660586" w:rsidRDefault="00660586">
      <w:r>
        <w:continuationSeparator/>
      </w:r>
    </w:p>
  </w:footnote>
  <w:footnote w:id="1">
    <w:p w14:paraId="4623B6EF" w14:textId="62250CBD" w:rsidR="00216AD5" w:rsidRPr="007362EF" w:rsidRDefault="00216AD5" w:rsidP="007362EF">
      <w:pPr>
        <w:pBdr>
          <w:bottom w:val="none" w:sz="0" w:space="8" w:color="auto"/>
        </w:pBdr>
        <w:spacing w:line="275" w:lineRule="atLeast"/>
        <w:rPr>
          <w:rFonts w:ascii="Garamond" w:hAnsi="Garamond"/>
        </w:rPr>
      </w:pPr>
      <w:r w:rsidRPr="007362EF">
        <w:rPr>
          <w:rStyle w:val="FootnoteReference"/>
          <w:rFonts w:ascii="Garamond" w:hAnsi="Garamond"/>
        </w:rPr>
        <w:footnoteRef/>
      </w:r>
      <w:r w:rsidRPr="007362EF">
        <w:rPr>
          <w:rFonts w:ascii="Garamond" w:hAnsi="Garamond"/>
        </w:rPr>
        <w:t xml:space="preserve"> </w:t>
      </w:r>
      <w:r w:rsidR="007362EF" w:rsidRPr="007362EF">
        <w:rPr>
          <w:rFonts w:ascii="Garamond" w:hAnsi="Garamond"/>
          <w:color w:val="000000"/>
          <w:sz w:val="20"/>
        </w:rPr>
        <w:t xml:space="preserve">In </w:t>
      </w:r>
      <w:r w:rsidR="007362EF" w:rsidRPr="0013053A">
        <w:rPr>
          <w:rFonts w:ascii="Garamond" w:hAnsi="Garamond"/>
          <w:i/>
          <w:iCs/>
          <w:color w:val="000000"/>
          <w:sz w:val="20"/>
        </w:rPr>
        <w:t>Gallivan</w:t>
      </w:r>
      <w:r w:rsidR="007362EF" w:rsidRPr="007362EF">
        <w:rPr>
          <w:rFonts w:ascii="Garamond" w:hAnsi="Garamond"/>
          <w:color w:val="000000"/>
          <w:sz w:val="20"/>
        </w:rPr>
        <w:t>, we wrote: “The Federal Rules are presumptively valid.</w:t>
      </w:r>
      <w:r w:rsidR="007362EF">
        <w:rPr>
          <w:rFonts w:ascii="Garamond" w:hAnsi="Garamond"/>
          <w:color w:val="000000"/>
          <w:sz w:val="20"/>
        </w:rPr>
        <w:t>”</w:t>
      </w:r>
      <w:r w:rsidR="007362EF" w:rsidRPr="007362EF">
        <w:rPr>
          <w:rFonts w:ascii="Garamond" w:hAnsi="Garamond"/>
          <w:color w:val="000000"/>
          <w:sz w:val="20"/>
        </w:rPr>
        <w:t xml:space="preserve"> </w:t>
      </w:r>
      <w:r w:rsidR="007362EF">
        <w:rPr>
          <w:rFonts w:ascii="Garamond" w:hAnsi="Garamond"/>
          <w:color w:val="000000"/>
          <w:sz w:val="20"/>
        </w:rPr>
        <w:t xml:space="preserve">. . . </w:t>
      </w:r>
      <w:r w:rsidR="007362EF" w:rsidRPr="007362EF">
        <w:rPr>
          <w:rFonts w:ascii="Garamond" w:hAnsi="Garamond"/>
          <w:color w:val="000000"/>
          <w:sz w:val="20"/>
        </w:rPr>
        <w:t xml:space="preserve">And, as the </w:t>
      </w:r>
      <w:r w:rsidR="007362EF" w:rsidRPr="0013053A">
        <w:rPr>
          <w:rFonts w:ascii="Garamond" w:hAnsi="Garamond"/>
          <w:i/>
          <w:iCs/>
          <w:color w:val="000000"/>
          <w:sz w:val="20"/>
        </w:rPr>
        <w:t>Gallivan</w:t>
      </w:r>
      <w:r w:rsidR="007362EF" w:rsidRPr="007362EF">
        <w:rPr>
          <w:rFonts w:ascii="Garamond" w:hAnsi="Garamond"/>
          <w:color w:val="000000"/>
          <w:sz w:val="20"/>
        </w:rPr>
        <w:t xml:space="preserve"> court correctly pointed out, “the Supreme Court has rejected every challenge to the Federal Rules that it has considered under the Rules Enabling Act.”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7"/>
  <w:bordersDoNotSurroundHeader/>
  <w:bordersDoNotSurroundFooter/>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E26EA"/>
    <w:rsid w:val="00013B45"/>
    <w:rsid w:val="00024A77"/>
    <w:rsid w:val="00027874"/>
    <w:rsid w:val="00030A6E"/>
    <w:rsid w:val="000358A9"/>
    <w:rsid w:val="000539B9"/>
    <w:rsid w:val="00072C44"/>
    <w:rsid w:val="00073827"/>
    <w:rsid w:val="000763E1"/>
    <w:rsid w:val="00077238"/>
    <w:rsid w:val="00086245"/>
    <w:rsid w:val="000A4AC0"/>
    <w:rsid w:val="000B5DEB"/>
    <w:rsid w:val="000B6734"/>
    <w:rsid w:val="000C3203"/>
    <w:rsid w:val="000E285E"/>
    <w:rsid w:val="000E2E7B"/>
    <w:rsid w:val="000E3E81"/>
    <w:rsid w:val="001237F6"/>
    <w:rsid w:val="001247CA"/>
    <w:rsid w:val="001257B6"/>
    <w:rsid w:val="00126891"/>
    <w:rsid w:val="00127360"/>
    <w:rsid w:val="0013053A"/>
    <w:rsid w:val="00151EFE"/>
    <w:rsid w:val="001523B2"/>
    <w:rsid w:val="00156557"/>
    <w:rsid w:val="00164056"/>
    <w:rsid w:val="00174779"/>
    <w:rsid w:val="00175DFC"/>
    <w:rsid w:val="0017764D"/>
    <w:rsid w:val="0018462F"/>
    <w:rsid w:val="001901A8"/>
    <w:rsid w:val="00195E01"/>
    <w:rsid w:val="001A6432"/>
    <w:rsid w:val="001B0CDE"/>
    <w:rsid w:val="001B0EB9"/>
    <w:rsid w:val="001B27C3"/>
    <w:rsid w:val="001D2C56"/>
    <w:rsid w:val="001D3B0E"/>
    <w:rsid w:val="001D5F1B"/>
    <w:rsid w:val="001D6255"/>
    <w:rsid w:val="001D7100"/>
    <w:rsid w:val="001E12D7"/>
    <w:rsid w:val="001E5AB3"/>
    <w:rsid w:val="001E7839"/>
    <w:rsid w:val="001F008E"/>
    <w:rsid w:val="001F50A3"/>
    <w:rsid w:val="00202E3B"/>
    <w:rsid w:val="0021139D"/>
    <w:rsid w:val="00214FC8"/>
    <w:rsid w:val="00216408"/>
    <w:rsid w:val="00216AD5"/>
    <w:rsid w:val="00226136"/>
    <w:rsid w:val="00233725"/>
    <w:rsid w:val="00236363"/>
    <w:rsid w:val="00247D45"/>
    <w:rsid w:val="0025015E"/>
    <w:rsid w:val="002534AD"/>
    <w:rsid w:val="00271958"/>
    <w:rsid w:val="0027482F"/>
    <w:rsid w:val="0027607F"/>
    <w:rsid w:val="00285B33"/>
    <w:rsid w:val="00295FBA"/>
    <w:rsid w:val="00297D70"/>
    <w:rsid w:val="002B1507"/>
    <w:rsid w:val="002B1B95"/>
    <w:rsid w:val="002B69DE"/>
    <w:rsid w:val="002B7C6C"/>
    <w:rsid w:val="002E7D91"/>
    <w:rsid w:val="002F05B1"/>
    <w:rsid w:val="00326DC4"/>
    <w:rsid w:val="00337B76"/>
    <w:rsid w:val="00343BBB"/>
    <w:rsid w:val="00346C60"/>
    <w:rsid w:val="00365545"/>
    <w:rsid w:val="00366AE6"/>
    <w:rsid w:val="00380D82"/>
    <w:rsid w:val="00380DB7"/>
    <w:rsid w:val="00385563"/>
    <w:rsid w:val="00386FBD"/>
    <w:rsid w:val="00394F89"/>
    <w:rsid w:val="0039775C"/>
    <w:rsid w:val="003C1CBA"/>
    <w:rsid w:val="003D6CF0"/>
    <w:rsid w:val="003D7139"/>
    <w:rsid w:val="003E1DBA"/>
    <w:rsid w:val="003F4979"/>
    <w:rsid w:val="00400762"/>
    <w:rsid w:val="00405D63"/>
    <w:rsid w:val="00410030"/>
    <w:rsid w:val="00411C1A"/>
    <w:rsid w:val="00422644"/>
    <w:rsid w:val="00431109"/>
    <w:rsid w:val="00457F72"/>
    <w:rsid w:val="00460F03"/>
    <w:rsid w:val="00462D8C"/>
    <w:rsid w:val="00464348"/>
    <w:rsid w:val="0048781D"/>
    <w:rsid w:val="0049116D"/>
    <w:rsid w:val="00492902"/>
    <w:rsid w:val="00497B96"/>
    <w:rsid w:val="004A3085"/>
    <w:rsid w:val="004B6845"/>
    <w:rsid w:val="004D1748"/>
    <w:rsid w:val="004D6DDE"/>
    <w:rsid w:val="004D75FD"/>
    <w:rsid w:val="004E22AB"/>
    <w:rsid w:val="004F24D2"/>
    <w:rsid w:val="004F57DC"/>
    <w:rsid w:val="0050136F"/>
    <w:rsid w:val="00501A7A"/>
    <w:rsid w:val="00520C71"/>
    <w:rsid w:val="00521C2F"/>
    <w:rsid w:val="00531A2E"/>
    <w:rsid w:val="005470CB"/>
    <w:rsid w:val="005578FD"/>
    <w:rsid w:val="00564673"/>
    <w:rsid w:val="005677FB"/>
    <w:rsid w:val="0057222A"/>
    <w:rsid w:val="00595815"/>
    <w:rsid w:val="005A3E87"/>
    <w:rsid w:val="005C0187"/>
    <w:rsid w:val="005C058E"/>
    <w:rsid w:val="005C0FBF"/>
    <w:rsid w:val="005D1864"/>
    <w:rsid w:val="005E021C"/>
    <w:rsid w:val="005E31CD"/>
    <w:rsid w:val="005E4806"/>
    <w:rsid w:val="005F1CA0"/>
    <w:rsid w:val="005F44D6"/>
    <w:rsid w:val="006000C5"/>
    <w:rsid w:val="00602EB1"/>
    <w:rsid w:val="00624EF9"/>
    <w:rsid w:val="00632930"/>
    <w:rsid w:val="00632F9E"/>
    <w:rsid w:val="006343E3"/>
    <w:rsid w:val="00640EE8"/>
    <w:rsid w:val="00645401"/>
    <w:rsid w:val="00651742"/>
    <w:rsid w:val="00655D74"/>
    <w:rsid w:val="00660586"/>
    <w:rsid w:val="0066385C"/>
    <w:rsid w:val="00667E7D"/>
    <w:rsid w:val="00690514"/>
    <w:rsid w:val="0069605B"/>
    <w:rsid w:val="006B756C"/>
    <w:rsid w:val="006D6858"/>
    <w:rsid w:val="006E0EAB"/>
    <w:rsid w:val="006E3E27"/>
    <w:rsid w:val="006F536F"/>
    <w:rsid w:val="00704CAF"/>
    <w:rsid w:val="00710F23"/>
    <w:rsid w:val="00723E83"/>
    <w:rsid w:val="00735A9D"/>
    <w:rsid w:val="007362EF"/>
    <w:rsid w:val="00740845"/>
    <w:rsid w:val="007449BD"/>
    <w:rsid w:val="0074558D"/>
    <w:rsid w:val="007710E0"/>
    <w:rsid w:val="007758FD"/>
    <w:rsid w:val="00776520"/>
    <w:rsid w:val="00796207"/>
    <w:rsid w:val="007B2E07"/>
    <w:rsid w:val="007B3FBE"/>
    <w:rsid w:val="007C0074"/>
    <w:rsid w:val="007C7532"/>
    <w:rsid w:val="007F2232"/>
    <w:rsid w:val="007F7710"/>
    <w:rsid w:val="008051AF"/>
    <w:rsid w:val="008144CD"/>
    <w:rsid w:val="0081683E"/>
    <w:rsid w:val="008223E9"/>
    <w:rsid w:val="00825422"/>
    <w:rsid w:val="0083209E"/>
    <w:rsid w:val="00836258"/>
    <w:rsid w:val="0083692E"/>
    <w:rsid w:val="008378A9"/>
    <w:rsid w:val="00841192"/>
    <w:rsid w:val="00857047"/>
    <w:rsid w:val="00865872"/>
    <w:rsid w:val="008747A5"/>
    <w:rsid w:val="0088107B"/>
    <w:rsid w:val="008811C7"/>
    <w:rsid w:val="008846FF"/>
    <w:rsid w:val="0089003E"/>
    <w:rsid w:val="00893913"/>
    <w:rsid w:val="008957BB"/>
    <w:rsid w:val="008A36D8"/>
    <w:rsid w:val="008A6B3D"/>
    <w:rsid w:val="008B14DF"/>
    <w:rsid w:val="008C3123"/>
    <w:rsid w:val="008C4390"/>
    <w:rsid w:val="008C4829"/>
    <w:rsid w:val="008E515C"/>
    <w:rsid w:val="008F0F18"/>
    <w:rsid w:val="008F43CD"/>
    <w:rsid w:val="009012B7"/>
    <w:rsid w:val="0091185B"/>
    <w:rsid w:val="00912D0B"/>
    <w:rsid w:val="00922560"/>
    <w:rsid w:val="00935924"/>
    <w:rsid w:val="00937AE5"/>
    <w:rsid w:val="00945182"/>
    <w:rsid w:val="00946F32"/>
    <w:rsid w:val="009525BD"/>
    <w:rsid w:val="009615C6"/>
    <w:rsid w:val="009640A1"/>
    <w:rsid w:val="00966427"/>
    <w:rsid w:val="009770DF"/>
    <w:rsid w:val="00977C5B"/>
    <w:rsid w:val="009820FF"/>
    <w:rsid w:val="00994C21"/>
    <w:rsid w:val="009B41C8"/>
    <w:rsid w:val="009B4383"/>
    <w:rsid w:val="009B54D4"/>
    <w:rsid w:val="009B5CFE"/>
    <w:rsid w:val="009C7CF1"/>
    <w:rsid w:val="009D6F4B"/>
    <w:rsid w:val="009E0BD5"/>
    <w:rsid w:val="009E473C"/>
    <w:rsid w:val="009E6C73"/>
    <w:rsid w:val="009E6EBD"/>
    <w:rsid w:val="009F1261"/>
    <w:rsid w:val="009F7085"/>
    <w:rsid w:val="00A0506D"/>
    <w:rsid w:val="00A27F35"/>
    <w:rsid w:val="00A332A4"/>
    <w:rsid w:val="00A352E6"/>
    <w:rsid w:val="00A35837"/>
    <w:rsid w:val="00A44512"/>
    <w:rsid w:val="00A46C24"/>
    <w:rsid w:val="00A47B4E"/>
    <w:rsid w:val="00A56B92"/>
    <w:rsid w:val="00A6385C"/>
    <w:rsid w:val="00A75077"/>
    <w:rsid w:val="00A7602C"/>
    <w:rsid w:val="00A85A32"/>
    <w:rsid w:val="00A86970"/>
    <w:rsid w:val="00A875CD"/>
    <w:rsid w:val="00A9216E"/>
    <w:rsid w:val="00AA032A"/>
    <w:rsid w:val="00AA39B8"/>
    <w:rsid w:val="00AA4167"/>
    <w:rsid w:val="00AA7652"/>
    <w:rsid w:val="00AB2E81"/>
    <w:rsid w:val="00AB6F7D"/>
    <w:rsid w:val="00AC6967"/>
    <w:rsid w:val="00AD1125"/>
    <w:rsid w:val="00AF64A3"/>
    <w:rsid w:val="00B00567"/>
    <w:rsid w:val="00B17D79"/>
    <w:rsid w:val="00B26868"/>
    <w:rsid w:val="00B415D9"/>
    <w:rsid w:val="00B47FBD"/>
    <w:rsid w:val="00B53922"/>
    <w:rsid w:val="00B54F6F"/>
    <w:rsid w:val="00B61810"/>
    <w:rsid w:val="00B70992"/>
    <w:rsid w:val="00B82CAB"/>
    <w:rsid w:val="00BA12FD"/>
    <w:rsid w:val="00BA6C9D"/>
    <w:rsid w:val="00BA7948"/>
    <w:rsid w:val="00BD67F9"/>
    <w:rsid w:val="00BD6FB7"/>
    <w:rsid w:val="00BE3F4D"/>
    <w:rsid w:val="00BE6770"/>
    <w:rsid w:val="00BE794D"/>
    <w:rsid w:val="00BF123C"/>
    <w:rsid w:val="00BF59C1"/>
    <w:rsid w:val="00C02BA5"/>
    <w:rsid w:val="00C24D6D"/>
    <w:rsid w:val="00C30851"/>
    <w:rsid w:val="00C32A90"/>
    <w:rsid w:val="00C53BFE"/>
    <w:rsid w:val="00C579C9"/>
    <w:rsid w:val="00C60E39"/>
    <w:rsid w:val="00C63F48"/>
    <w:rsid w:val="00C85DDF"/>
    <w:rsid w:val="00C905F5"/>
    <w:rsid w:val="00CA0894"/>
    <w:rsid w:val="00CB77BB"/>
    <w:rsid w:val="00CC3929"/>
    <w:rsid w:val="00CD35D5"/>
    <w:rsid w:val="00CD3B12"/>
    <w:rsid w:val="00CE26EA"/>
    <w:rsid w:val="00CE63A7"/>
    <w:rsid w:val="00CE73CF"/>
    <w:rsid w:val="00D128A1"/>
    <w:rsid w:val="00D24A38"/>
    <w:rsid w:val="00D32365"/>
    <w:rsid w:val="00D43136"/>
    <w:rsid w:val="00D4318E"/>
    <w:rsid w:val="00D512A9"/>
    <w:rsid w:val="00D56E2F"/>
    <w:rsid w:val="00D844A4"/>
    <w:rsid w:val="00D909C2"/>
    <w:rsid w:val="00D90F02"/>
    <w:rsid w:val="00D97120"/>
    <w:rsid w:val="00DB78F2"/>
    <w:rsid w:val="00DC2260"/>
    <w:rsid w:val="00DD4D73"/>
    <w:rsid w:val="00DF0CBB"/>
    <w:rsid w:val="00E01448"/>
    <w:rsid w:val="00E02A29"/>
    <w:rsid w:val="00E16E40"/>
    <w:rsid w:val="00E20501"/>
    <w:rsid w:val="00E24992"/>
    <w:rsid w:val="00E26DC6"/>
    <w:rsid w:val="00E31B34"/>
    <w:rsid w:val="00E42B2C"/>
    <w:rsid w:val="00E44E64"/>
    <w:rsid w:val="00E551EB"/>
    <w:rsid w:val="00E558B2"/>
    <w:rsid w:val="00E64DBB"/>
    <w:rsid w:val="00E717D1"/>
    <w:rsid w:val="00E724C4"/>
    <w:rsid w:val="00E733CF"/>
    <w:rsid w:val="00E80120"/>
    <w:rsid w:val="00E93862"/>
    <w:rsid w:val="00E94CD7"/>
    <w:rsid w:val="00EB720B"/>
    <w:rsid w:val="00EC5D69"/>
    <w:rsid w:val="00EE03E1"/>
    <w:rsid w:val="00EE76FC"/>
    <w:rsid w:val="00EF4153"/>
    <w:rsid w:val="00F04231"/>
    <w:rsid w:val="00F057EB"/>
    <w:rsid w:val="00F220EE"/>
    <w:rsid w:val="00F26E76"/>
    <w:rsid w:val="00F2701B"/>
    <w:rsid w:val="00F27BAF"/>
    <w:rsid w:val="00F3496F"/>
    <w:rsid w:val="00F36CF7"/>
    <w:rsid w:val="00F37578"/>
    <w:rsid w:val="00F415D0"/>
    <w:rsid w:val="00F522C8"/>
    <w:rsid w:val="00F5240D"/>
    <w:rsid w:val="00F60909"/>
    <w:rsid w:val="00F6349B"/>
    <w:rsid w:val="00F653F7"/>
    <w:rsid w:val="00F65DC3"/>
    <w:rsid w:val="00F700B2"/>
    <w:rsid w:val="00F70AC3"/>
    <w:rsid w:val="00F84495"/>
    <w:rsid w:val="00F84B81"/>
    <w:rsid w:val="00F8614F"/>
    <w:rsid w:val="00F96D2C"/>
    <w:rsid w:val="00FA51A1"/>
    <w:rsid w:val="00FA5ADF"/>
    <w:rsid w:val="00FA5EE7"/>
    <w:rsid w:val="00FB2942"/>
    <w:rsid w:val="00FC0CEA"/>
    <w:rsid w:val="00FC58F4"/>
    <w:rsid w:val="00FC7097"/>
    <w:rsid w:val="00FD1E88"/>
    <w:rsid w:val="00FD70EE"/>
    <w:rsid w:val="00FE20B1"/>
    <w:rsid w:val="00FE2427"/>
    <w:rsid w:val="00FE6813"/>
    <w:rsid w:val="00FF4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2EE86B"/>
  <w15:docId w15:val="{8964C997-E0B1-904F-98DF-1F6322170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6C60"/>
    <w:pPr>
      <w:tabs>
        <w:tab w:val="center" w:pos="4680"/>
        <w:tab w:val="right" w:pos="9360"/>
      </w:tabs>
    </w:pPr>
  </w:style>
  <w:style w:type="character" w:customStyle="1" w:styleId="HeaderChar">
    <w:name w:val="Header Char"/>
    <w:basedOn w:val="DefaultParagraphFont"/>
    <w:link w:val="Header"/>
    <w:uiPriority w:val="99"/>
    <w:rsid w:val="00346C60"/>
  </w:style>
  <w:style w:type="paragraph" w:styleId="Footer">
    <w:name w:val="footer"/>
    <w:basedOn w:val="Normal"/>
    <w:link w:val="FooterChar"/>
    <w:uiPriority w:val="99"/>
    <w:unhideWhenUsed/>
    <w:rsid w:val="00346C60"/>
    <w:pPr>
      <w:tabs>
        <w:tab w:val="center" w:pos="4680"/>
        <w:tab w:val="right" w:pos="9360"/>
      </w:tabs>
    </w:pPr>
  </w:style>
  <w:style w:type="character" w:customStyle="1" w:styleId="FooterChar">
    <w:name w:val="Footer Char"/>
    <w:basedOn w:val="DefaultParagraphFont"/>
    <w:link w:val="Footer"/>
    <w:uiPriority w:val="99"/>
    <w:rsid w:val="00346C60"/>
  </w:style>
  <w:style w:type="character" w:styleId="PageNumber">
    <w:name w:val="page number"/>
    <w:basedOn w:val="DefaultParagraphFont"/>
    <w:uiPriority w:val="99"/>
    <w:semiHidden/>
    <w:unhideWhenUsed/>
    <w:rsid w:val="00A0506D"/>
  </w:style>
  <w:style w:type="character" w:styleId="Hyperlink">
    <w:name w:val="Hyperlink"/>
    <w:basedOn w:val="DefaultParagraphFont"/>
    <w:uiPriority w:val="99"/>
    <w:unhideWhenUsed/>
    <w:rsid w:val="00E20501"/>
    <w:rPr>
      <w:color w:val="0563C1" w:themeColor="hyperlink"/>
      <w:u w:val="single"/>
    </w:rPr>
  </w:style>
  <w:style w:type="character" w:styleId="UnresolvedMention">
    <w:name w:val="Unresolved Mention"/>
    <w:basedOn w:val="DefaultParagraphFont"/>
    <w:uiPriority w:val="99"/>
    <w:semiHidden/>
    <w:unhideWhenUsed/>
    <w:rsid w:val="00E20501"/>
    <w:rPr>
      <w:color w:val="605E5C"/>
      <w:shd w:val="clear" w:color="auto" w:fill="E1DFDD"/>
    </w:rPr>
  </w:style>
  <w:style w:type="character" w:styleId="FollowedHyperlink">
    <w:name w:val="FollowedHyperlink"/>
    <w:basedOn w:val="DefaultParagraphFont"/>
    <w:uiPriority w:val="99"/>
    <w:semiHidden/>
    <w:unhideWhenUsed/>
    <w:rsid w:val="00D43136"/>
    <w:rPr>
      <w:color w:val="954F72" w:themeColor="followedHyperlink"/>
      <w:u w:val="single"/>
    </w:rPr>
  </w:style>
  <w:style w:type="paragraph" w:styleId="FootnoteText">
    <w:name w:val="footnote text"/>
    <w:basedOn w:val="Normal"/>
    <w:link w:val="FootnoteTextChar"/>
    <w:uiPriority w:val="99"/>
    <w:semiHidden/>
    <w:unhideWhenUsed/>
    <w:rsid w:val="00216AD5"/>
    <w:rPr>
      <w:sz w:val="20"/>
      <w:szCs w:val="20"/>
    </w:rPr>
  </w:style>
  <w:style w:type="character" w:customStyle="1" w:styleId="FootnoteTextChar">
    <w:name w:val="Footnote Text Char"/>
    <w:basedOn w:val="DefaultParagraphFont"/>
    <w:link w:val="FootnoteText"/>
    <w:uiPriority w:val="99"/>
    <w:semiHidden/>
    <w:rsid w:val="00216AD5"/>
    <w:rPr>
      <w:sz w:val="20"/>
      <w:szCs w:val="20"/>
    </w:rPr>
  </w:style>
  <w:style w:type="character" w:styleId="FootnoteReference">
    <w:name w:val="footnote reference"/>
    <w:basedOn w:val="DefaultParagraphFont"/>
    <w:uiPriority w:val="99"/>
    <w:semiHidden/>
    <w:unhideWhenUsed/>
    <w:rsid w:val="00216A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7</Pages>
  <Words>3132</Words>
  <Characters>17857</Characters>
  <Application>Microsoft Office Word</Application>
  <DocSecurity>0</DocSecurity>
  <Lines>148</Lines>
  <Paragraphs>41</Paragraphs>
  <ScaleCrop>false</ScaleCrop>
  <Company/>
  <LinksUpToDate>false</LinksUpToDate>
  <CharactersWithSpaces>20948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Tomas Gomez</cp:lastModifiedBy>
  <cp:revision>360</cp:revision>
  <cp:lastPrinted>2024-07-07T22:46:00Z</cp:lastPrinted>
  <dcterms:created xsi:type="dcterms:W3CDTF">2023-08-07T05:38:00Z</dcterms:created>
  <dcterms:modified xsi:type="dcterms:W3CDTF">2024-07-07T22:56:00Z</dcterms:modified>
</cp:coreProperties>
</file>